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page1"/>
    <w:bookmarkStart w:id="1" w:name="_GoBack"/>
    <w:bookmarkEnd w:id="0"/>
    <w:bookmarkEnd w:id="1"/>
    <w:p w:rsidR="000728AD" w:rsidRDefault="000561BE">
      <w:pPr>
        <w:rPr>
          <w:rFonts w:ascii="Arial" w:eastAsia="Arial" w:hAnsi="Arial" w:cs="Arial"/>
          <w:color w:val="0000FF"/>
          <w:sz w:val="18"/>
          <w:szCs w:val="18"/>
          <w:u w:val="single"/>
        </w:rPr>
      </w:pPr>
      <w:r>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61" w:lineRule="exact"/>
        <w:rPr>
          <w:sz w:val="24"/>
          <w:szCs w:val="24"/>
        </w:rPr>
      </w:pPr>
    </w:p>
    <w:p w:rsidR="000728AD" w:rsidRDefault="000561BE">
      <w:pPr>
        <w:ind w:right="20"/>
        <w:jc w:val="center"/>
        <w:rPr>
          <w:sz w:val="20"/>
          <w:szCs w:val="20"/>
        </w:rPr>
      </w:pPr>
      <w:r>
        <w:rPr>
          <w:rFonts w:ascii="Arial" w:eastAsia="Arial" w:hAnsi="Arial" w:cs="Arial"/>
          <w:b/>
          <w:bCs/>
          <w:sz w:val="29"/>
          <w:szCs w:val="29"/>
        </w:rPr>
        <w:t>UNITED STATES</w:t>
      </w:r>
    </w:p>
    <w:p w:rsidR="000728AD" w:rsidRDefault="000728AD">
      <w:pPr>
        <w:spacing w:line="36" w:lineRule="exact"/>
        <w:rPr>
          <w:sz w:val="24"/>
          <w:szCs w:val="24"/>
        </w:rPr>
      </w:pPr>
    </w:p>
    <w:p w:rsidR="000728AD" w:rsidRDefault="000561BE">
      <w:pPr>
        <w:ind w:right="20"/>
        <w:jc w:val="center"/>
        <w:rPr>
          <w:sz w:val="20"/>
          <w:szCs w:val="20"/>
        </w:rPr>
      </w:pPr>
      <w:r>
        <w:rPr>
          <w:rFonts w:ascii="Arial" w:eastAsia="Arial" w:hAnsi="Arial" w:cs="Arial"/>
          <w:b/>
          <w:bCs/>
          <w:sz w:val="29"/>
          <w:szCs w:val="29"/>
        </w:rPr>
        <w:t>SECURITIES AND EXCHANGE COMMISSION</w:t>
      </w:r>
    </w:p>
    <w:p w:rsidR="000728AD" w:rsidRDefault="000728AD">
      <w:pPr>
        <w:spacing w:line="3" w:lineRule="exact"/>
        <w:rPr>
          <w:sz w:val="24"/>
          <w:szCs w:val="24"/>
        </w:rPr>
      </w:pPr>
    </w:p>
    <w:p w:rsidR="000728AD" w:rsidRDefault="000561BE">
      <w:pPr>
        <w:ind w:right="20"/>
        <w:jc w:val="center"/>
        <w:rPr>
          <w:sz w:val="20"/>
          <w:szCs w:val="20"/>
        </w:rPr>
      </w:pPr>
      <w:r>
        <w:rPr>
          <w:rFonts w:ascii="Arial" w:eastAsia="Arial" w:hAnsi="Arial" w:cs="Arial"/>
          <w:b/>
          <w:bCs/>
          <w:sz w:val="20"/>
          <w:szCs w:val="20"/>
        </w:rPr>
        <w:t>WASHINGTON, D.C. 20549</w:t>
      </w:r>
    </w:p>
    <w:p w:rsidR="000728AD" w:rsidRDefault="000728AD">
      <w:pPr>
        <w:spacing w:line="41" w:lineRule="exact"/>
        <w:rPr>
          <w:sz w:val="24"/>
          <w:szCs w:val="24"/>
        </w:rPr>
      </w:pPr>
    </w:p>
    <w:p w:rsidR="000728AD" w:rsidRDefault="000561BE">
      <w:pPr>
        <w:ind w:left="3520"/>
        <w:rPr>
          <w:sz w:val="20"/>
          <w:szCs w:val="20"/>
        </w:rPr>
      </w:pPr>
      <w:r>
        <w:rPr>
          <w:rFonts w:ascii="Arial" w:eastAsia="Arial" w:hAnsi="Arial" w:cs="Arial"/>
          <w:b/>
          <w:bCs/>
          <w:sz w:val="11"/>
          <w:szCs w:val="11"/>
        </w:rPr>
        <w:t>______________________________________________________________________________</w:t>
      </w:r>
    </w:p>
    <w:p w:rsidR="000728AD" w:rsidRDefault="000728AD">
      <w:pPr>
        <w:spacing w:line="31" w:lineRule="exact"/>
        <w:rPr>
          <w:sz w:val="24"/>
          <w:szCs w:val="24"/>
        </w:rPr>
      </w:pPr>
    </w:p>
    <w:p w:rsidR="000728AD" w:rsidRDefault="000561BE">
      <w:pPr>
        <w:ind w:right="20"/>
        <w:jc w:val="center"/>
        <w:rPr>
          <w:sz w:val="20"/>
          <w:szCs w:val="20"/>
        </w:rPr>
      </w:pPr>
      <w:r>
        <w:rPr>
          <w:rFonts w:ascii="Arial" w:eastAsia="Arial" w:hAnsi="Arial" w:cs="Arial"/>
          <w:b/>
          <w:bCs/>
          <w:sz w:val="29"/>
          <w:szCs w:val="29"/>
        </w:rPr>
        <w:t>FORM 10-Q</w:t>
      </w:r>
    </w:p>
    <w:p w:rsidR="000728AD" w:rsidRDefault="000728AD">
      <w:pPr>
        <w:spacing w:line="76" w:lineRule="exact"/>
        <w:rPr>
          <w:sz w:val="24"/>
          <w:szCs w:val="24"/>
        </w:rPr>
      </w:pPr>
    </w:p>
    <w:p w:rsidR="000728AD" w:rsidRDefault="000561BE">
      <w:pPr>
        <w:ind w:left="3520"/>
        <w:rPr>
          <w:sz w:val="20"/>
          <w:szCs w:val="20"/>
        </w:rPr>
      </w:pPr>
      <w:r>
        <w:rPr>
          <w:rFonts w:ascii="Arial" w:eastAsia="Arial" w:hAnsi="Arial" w:cs="Arial"/>
          <w:b/>
          <w:bCs/>
          <w:sz w:val="11"/>
          <w:szCs w:val="11"/>
        </w:rPr>
        <w:t>______________________________________________________________________________</w:t>
      </w:r>
    </w:p>
    <w:p w:rsidR="000728AD" w:rsidRDefault="000728AD">
      <w:pPr>
        <w:spacing w:line="26" w:lineRule="exact"/>
        <w:rPr>
          <w:sz w:val="24"/>
          <w:szCs w:val="24"/>
        </w:rPr>
      </w:pPr>
    </w:p>
    <w:p w:rsidR="000728AD" w:rsidRDefault="000561BE">
      <w:pPr>
        <w:numPr>
          <w:ilvl w:val="0"/>
          <w:numId w:val="1"/>
        </w:numPr>
        <w:tabs>
          <w:tab w:val="left" w:pos="400"/>
        </w:tabs>
        <w:ind w:left="400" w:hanging="374"/>
        <w:rPr>
          <w:rFonts w:ascii="MS PGothic" w:eastAsia="MS PGothic" w:hAnsi="MS PGothic" w:cs="MS PGothic"/>
          <w:sz w:val="18"/>
          <w:szCs w:val="18"/>
        </w:rPr>
      </w:pPr>
      <w:r>
        <w:rPr>
          <w:rFonts w:ascii="Arial" w:eastAsia="Arial" w:hAnsi="Arial" w:cs="Arial"/>
          <w:b/>
          <w:bCs/>
          <w:sz w:val="20"/>
          <w:szCs w:val="20"/>
        </w:rPr>
        <w:t>QUARTERLY REPORT PURSUANT TO SECTION 13 OR 15(d) OF THE SECURITIES EXCHANGE ACT OF 19</w:t>
      </w:r>
      <w:r>
        <w:rPr>
          <w:rFonts w:ascii="Arial" w:eastAsia="Arial" w:hAnsi="Arial" w:cs="Arial"/>
          <w:b/>
          <w:bCs/>
          <w:sz w:val="20"/>
          <w:szCs w:val="20"/>
        </w:rPr>
        <w:t>34</w:t>
      </w:r>
    </w:p>
    <w:p w:rsidR="000728AD" w:rsidRDefault="000728AD">
      <w:pPr>
        <w:spacing w:line="157" w:lineRule="exact"/>
        <w:rPr>
          <w:sz w:val="24"/>
          <w:szCs w:val="24"/>
        </w:rPr>
      </w:pPr>
    </w:p>
    <w:p w:rsidR="000728AD" w:rsidRDefault="000561BE">
      <w:pPr>
        <w:ind w:right="20"/>
        <w:jc w:val="center"/>
        <w:rPr>
          <w:sz w:val="20"/>
          <w:szCs w:val="20"/>
        </w:rPr>
      </w:pPr>
      <w:r>
        <w:rPr>
          <w:rFonts w:ascii="Arial" w:eastAsia="Arial" w:hAnsi="Arial" w:cs="Arial"/>
          <w:b/>
          <w:bCs/>
          <w:sz w:val="16"/>
          <w:szCs w:val="16"/>
        </w:rPr>
        <w:t>FOR THE QUARTERLY PERIOD ENDED June 30, 2021</w:t>
      </w:r>
    </w:p>
    <w:p w:rsidR="000728AD" w:rsidRDefault="000728AD">
      <w:pPr>
        <w:spacing w:line="23" w:lineRule="exact"/>
        <w:rPr>
          <w:sz w:val="24"/>
          <w:szCs w:val="24"/>
        </w:rPr>
      </w:pPr>
    </w:p>
    <w:p w:rsidR="000728AD" w:rsidRDefault="000561BE">
      <w:pPr>
        <w:ind w:right="20"/>
        <w:jc w:val="center"/>
        <w:rPr>
          <w:sz w:val="20"/>
          <w:szCs w:val="20"/>
        </w:rPr>
      </w:pPr>
      <w:r>
        <w:rPr>
          <w:rFonts w:ascii="Arial" w:eastAsia="Arial" w:hAnsi="Arial" w:cs="Arial"/>
          <w:b/>
          <w:bCs/>
          <w:sz w:val="16"/>
          <w:szCs w:val="16"/>
        </w:rPr>
        <w:t>OR</w:t>
      </w:r>
    </w:p>
    <w:p w:rsidR="000728AD" w:rsidRDefault="000728AD">
      <w:pPr>
        <w:spacing w:line="19" w:lineRule="exact"/>
        <w:rPr>
          <w:sz w:val="24"/>
          <w:szCs w:val="24"/>
        </w:rPr>
      </w:pPr>
    </w:p>
    <w:p w:rsidR="000728AD" w:rsidRDefault="000561BE">
      <w:pPr>
        <w:numPr>
          <w:ilvl w:val="0"/>
          <w:numId w:val="2"/>
        </w:numPr>
        <w:tabs>
          <w:tab w:val="left" w:pos="400"/>
        </w:tabs>
        <w:ind w:left="400" w:hanging="334"/>
        <w:rPr>
          <w:rFonts w:ascii="MS PGothic" w:eastAsia="MS PGothic" w:hAnsi="MS PGothic" w:cs="MS PGothic"/>
          <w:sz w:val="18"/>
          <w:szCs w:val="18"/>
        </w:rPr>
      </w:pPr>
      <w:r>
        <w:rPr>
          <w:rFonts w:ascii="Arial" w:eastAsia="Arial" w:hAnsi="Arial" w:cs="Arial"/>
          <w:b/>
          <w:bCs/>
          <w:sz w:val="20"/>
          <w:szCs w:val="20"/>
        </w:rPr>
        <w:t>TRANSITION REPORT PURSUANT TO SECTION 13 OR 15(d) OF THE SECURITIES EXCHANGE ACT OF 1934</w:t>
      </w:r>
    </w:p>
    <w:p w:rsidR="000728AD" w:rsidRDefault="000728AD">
      <w:pPr>
        <w:spacing w:line="144" w:lineRule="exact"/>
        <w:rPr>
          <w:sz w:val="24"/>
          <w:szCs w:val="24"/>
        </w:rPr>
      </w:pPr>
    </w:p>
    <w:p w:rsidR="000728AD" w:rsidRDefault="000561BE">
      <w:pPr>
        <w:ind w:right="4120"/>
        <w:jc w:val="right"/>
        <w:rPr>
          <w:sz w:val="20"/>
          <w:szCs w:val="20"/>
        </w:rPr>
      </w:pPr>
      <w:r>
        <w:rPr>
          <w:rFonts w:ascii="Arial" w:eastAsia="Arial" w:hAnsi="Arial" w:cs="Arial"/>
          <w:b/>
          <w:bCs/>
          <w:sz w:val="16"/>
          <w:szCs w:val="16"/>
        </w:rPr>
        <w:t>FOR THE TRANSITION PERIOD FROM _ TO _</w:t>
      </w:r>
    </w:p>
    <w:p w:rsidR="000728AD" w:rsidRDefault="000728AD">
      <w:pPr>
        <w:spacing w:line="59" w:lineRule="exact"/>
        <w:rPr>
          <w:sz w:val="24"/>
          <w:szCs w:val="24"/>
        </w:rPr>
      </w:pPr>
    </w:p>
    <w:p w:rsidR="000728AD" w:rsidRDefault="000561BE">
      <w:pPr>
        <w:ind w:right="4120"/>
        <w:jc w:val="right"/>
        <w:rPr>
          <w:sz w:val="20"/>
          <w:szCs w:val="20"/>
        </w:rPr>
      </w:pPr>
      <w:r>
        <w:rPr>
          <w:rFonts w:ascii="Arial" w:eastAsia="Arial" w:hAnsi="Arial" w:cs="Arial"/>
          <w:b/>
          <w:bCs/>
          <w:sz w:val="16"/>
          <w:szCs w:val="16"/>
        </w:rPr>
        <w:t>COMMISSION FILE NUMBER 001-38501</w:t>
      </w:r>
    </w:p>
    <w:p w:rsidR="000728AD" w:rsidRDefault="000728AD">
      <w:pPr>
        <w:spacing w:line="59" w:lineRule="exact"/>
        <w:rPr>
          <w:sz w:val="24"/>
          <w:szCs w:val="24"/>
        </w:rPr>
      </w:pPr>
    </w:p>
    <w:p w:rsidR="000728AD" w:rsidRDefault="000561BE">
      <w:pPr>
        <w:ind w:left="3520"/>
        <w:rPr>
          <w:sz w:val="20"/>
          <w:szCs w:val="20"/>
        </w:rPr>
      </w:pPr>
      <w:r>
        <w:rPr>
          <w:rFonts w:ascii="Arial" w:eastAsia="Arial" w:hAnsi="Arial" w:cs="Arial"/>
          <w:b/>
          <w:bCs/>
          <w:sz w:val="11"/>
          <w:szCs w:val="11"/>
        </w:rPr>
        <w:t>______________________________________________________________________________</w:t>
      </w:r>
    </w:p>
    <w:p w:rsidR="000728AD" w:rsidRDefault="000728AD">
      <w:pPr>
        <w:spacing w:line="14" w:lineRule="exact"/>
        <w:rPr>
          <w:sz w:val="24"/>
          <w:szCs w:val="24"/>
        </w:rPr>
      </w:pPr>
    </w:p>
    <w:p w:rsidR="000728AD" w:rsidRDefault="000561BE">
      <w:pPr>
        <w:ind w:right="20"/>
        <w:jc w:val="center"/>
        <w:rPr>
          <w:sz w:val="20"/>
          <w:szCs w:val="20"/>
        </w:rPr>
      </w:pPr>
      <w:r>
        <w:rPr>
          <w:rFonts w:ascii="Arial" w:eastAsia="Arial" w:hAnsi="Arial" w:cs="Arial"/>
          <w:b/>
          <w:bCs/>
          <w:sz w:val="32"/>
          <w:szCs w:val="32"/>
        </w:rPr>
        <w:t>AXCELLA HEALTH INC.</w:t>
      </w:r>
    </w:p>
    <w:p w:rsidR="000728AD" w:rsidRDefault="000728AD">
      <w:pPr>
        <w:spacing w:line="8" w:lineRule="exact"/>
        <w:rPr>
          <w:sz w:val="24"/>
          <w:szCs w:val="24"/>
        </w:rPr>
      </w:pPr>
    </w:p>
    <w:p w:rsidR="000728AD" w:rsidRDefault="000561BE">
      <w:pPr>
        <w:ind w:right="20"/>
        <w:jc w:val="center"/>
        <w:rPr>
          <w:sz w:val="20"/>
          <w:szCs w:val="20"/>
        </w:rPr>
      </w:pPr>
      <w:r>
        <w:rPr>
          <w:rFonts w:ascii="Arial" w:eastAsia="Arial" w:hAnsi="Arial" w:cs="Arial"/>
          <w:b/>
          <w:bCs/>
          <w:sz w:val="16"/>
          <w:szCs w:val="16"/>
        </w:rPr>
        <w:t>(Exact name of registrant as specified in its charter)</w:t>
      </w:r>
    </w:p>
    <w:p w:rsidR="000728AD" w:rsidRDefault="000561BE">
      <w:pPr>
        <w:ind w:left="3520"/>
        <w:rPr>
          <w:sz w:val="20"/>
          <w:szCs w:val="20"/>
        </w:rPr>
      </w:pPr>
      <w:r>
        <w:rPr>
          <w:rFonts w:ascii="Arial" w:eastAsia="Arial" w:hAnsi="Arial" w:cs="Arial"/>
          <w:b/>
          <w:bCs/>
          <w:sz w:val="11"/>
          <w:szCs w:val="11"/>
        </w:rPr>
        <w:t>______________________________________________________________________________</w:t>
      </w:r>
    </w:p>
    <w:p w:rsidR="000728AD" w:rsidRDefault="000728AD">
      <w:pPr>
        <w:spacing w:line="27"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4500"/>
        <w:gridCol w:w="2260"/>
        <w:gridCol w:w="4460"/>
        <w:gridCol w:w="40"/>
      </w:tblGrid>
      <w:tr w:rsidR="000728AD">
        <w:trPr>
          <w:trHeight w:val="206"/>
        </w:trPr>
        <w:tc>
          <w:tcPr>
            <w:tcW w:w="4500" w:type="dxa"/>
            <w:vAlign w:val="bottom"/>
          </w:tcPr>
          <w:p w:rsidR="000728AD" w:rsidRDefault="000561BE">
            <w:pPr>
              <w:ind w:left="1036"/>
              <w:jc w:val="center"/>
              <w:rPr>
                <w:sz w:val="20"/>
                <w:szCs w:val="20"/>
              </w:rPr>
            </w:pPr>
            <w:r>
              <w:rPr>
                <w:rFonts w:ascii="Arial" w:eastAsia="Arial" w:hAnsi="Arial" w:cs="Arial"/>
                <w:w w:val="91"/>
                <w:sz w:val="16"/>
                <w:szCs w:val="16"/>
              </w:rPr>
              <w:t>Delaware</w:t>
            </w:r>
          </w:p>
        </w:tc>
        <w:tc>
          <w:tcPr>
            <w:tcW w:w="2260" w:type="dxa"/>
            <w:vAlign w:val="bottom"/>
          </w:tcPr>
          <w:p w:rsidR="000728AD" w:rsidRDefault="000728AD">
            <w:pPr>
              <w:rPr>
                <w:sz w:val="17"/>
                <w:szCs w:val="17"/>
              </w:rPr>
            </w:pPr>
          </w:p>
        </w:tc>
        <w:tc>
          <w:tcPr>
            <w:tcW w:w="4460" w:type="dxa"/>
            <w:vAlign w:val="bottom"/>
          </w:tcPr>
          <w:p w:rsidR="000728AD" w:rsidRDefault="000561BE">
            <w:pPr>
              <w:ind w:right="2316"/>
              <w:jc w:val="right"/>
              <w:rPr>
                <w:sz w:val="20"/>
                <w:szCs w:val="20"/>
              </w:rPr>
            </w:pPr>
            <w:r>
              <w:rPr>
                <w:rFonts w:ascii="Arial" w:eastAsia="Arial" w:hAnsi="Arial" w:cs="Arial"/>
                <w:sz w:val="16"/>
                <w:szCs w:val="16"/>
              </w:rPr>
              <w:t>26-3321056</w:t>
            </w:r>
          </w:p>
        </w:tc>
        <w:tc>
          <w:tcPr>
            <w:tcW w:w="40" w:type="dxa"/>
            <w:vAlign w:val="bottom"/>
          </w:tcPr>
          <w:p w:rsidR="000728AD" w:rsidRDefault="000728AD">
            <w:pPr>
              <w:rPr>
                <w:sz w:val="17"/>
                <w:szCs w:val="17"/>
              </w:rPr>
            </w:pPr>
          </w:p>
        </w:tc>
      </w:tr>
      <w:tr w:rsidR="000728AD">
        <w:trPr>
          <w:trHeight w:val="168"/>
        </w:trPr>
        <w:tc>
          <w:tcPr>
            <w:tcW w:w="4500" w:type="dxa"/>
            <w:vAlign w:val="bottom"/>
          </w:tcPr>
          <w:p w:rsidR="000728AD" w:rsidRDefault="000561BE">
            <w:pPr>
              <w:spacing w:line="168" w:lineRule="exact"/>
              <w:ind w:left="1036"/>
              <w:jc w:val="center"/>
              <w:rPr>
                <w:sz w:val="20"/>
                <w:szCs w:val="20"/>
              </w:rPr>
            </w:pPr>
            <w:r>
              <w:rPr>
                <w:rFonts w:ascii="Arial" w:eastAsia="Arial" w:hAnsi="Arial" w:cs="Arial"/>
                <w:b/>
                <w:bCs/>
                <w:w w:val="91"/>
                <w:sz w:val="16"/>
                <w:szCs w:val="16"/>
              </w:rPr>
              <w:t>(State or other jurisdiction of</w:t>
            </w:r>
          </w:p>
        </w:tc>
        <w:tc>
          <w:tcPr>
            <w:tcW w:w="2260" w:type="dxa"/>
            <w:vAlign w:val="bottom"/>
          </w:tcPr>
          <w:p w:rsidR="000728AD" w:rsidRDefault="000728AD">
            <w:pPr>
              <w:rPr>
                <w:sz w:val="14"/>
                <w:szCs w:val="14"/>
              </w:rPr>
            </w:pPr>
          </w:p>
        </w:tc>
        <w:tc>
          <w:tcPr>
            <w:tcW w:w="4460" w:type="dxa"/>
            <w:vAlign w:val="bottom"/>
          </w:tcPr>
          <w:p w:rsidR="000728AD" w:rsidRDefault="000561BE">
            <w:pPr>
              <w:spacing w:line="168" w:lineRule="exact"/>
              <w:ind w:right="1036"/>
              <w:jc w:val="center"/>
              <w:rPr>
                <w:sz w:val="20"/>
                <w:szCs w:val="20"/>
              </w:rPr>
            </w:pPr>
            <w:r>
              <w:rPr>
                <w:rFonts w:ascii="Arial" w:eastAsia="Arial" w:hAnsi="Arial" w:cs="Arial"/>
                <w:b/>
                <w:bCs/>
                <w:w w:val="96"/>
                <w:sz w:val="16"/>
                <w:szCs w:val="16"/>
              </w:rPr>
              <w:t>(I.R.S. Employer</w:t>
            </w:r>
          </w:p>
        </w:tc>
        <w:tc>
          <w:tcPr>
            <w:tcW w:w="40" w:type="dxa"/>
            <w:vAlign w:val="bottom"/>
          </w:tcPr>
          <w:p w:rsidR="000728AD" w:rsidRDefault="000728AD">
            <w:pPr>
              <w:rPr>
                <w:sz w:val="14"/>
                <w:szCs w:val="14"/>
              </w:rPr>
            </w:pPr>
          </w:p>
        </w:tc>
      </w:tr>
      <w:tr w:rsidR="000728AD">
        <w:trPr>
          <w:trHeight w:val="210"/>
        </w:trPr>
        <w:tc>
          <w:tcPr>
            <w:tcW w:w="4500" w:type="dxa"/>
            <w:vAlign w:val="bottom"/>
          </w:tcPr>
          <w:p w:rsidR="000728AD" w:rsidRDefault="000561BE">
            <w:pPr>
              <w:ind w:left="1056"/>
              <w:jc w:val="center"/>
              <w:rPr>
                <w:sz w:val="20"/>
                <w:szCs w:val="20"/>
              </w:rPr>
            </w:pPr>
            <w:r>
              <w:rPr>
                <w:rFonts w:ascii="Arial" w:eastAsia="Arial" w:hAnsi="Arial" w:cs="Arial"/>
                <w:b/>
                <w:bCs/>
                <w:w w:val="92"/>
                <w:sz w:val="16"/>
                <w:szCs w:val="16"/>
              </w:rPr>
              <w:t>incorporation or organization)</w:t>
            </w:r>
          </w:p>
        </w:tc>
        <w:tc>
          <w:tcPr>
            <w:tcW w:w="2260" w:type="dxa"/>
            <w:vAlign w:val="bottom"/>
          </w:tcPr>
          <w:p w:rsidR="000728AD" w:rsidRDefault="000728AD">
            <w:pPr>
              <w:rPr>
                <w:sz w:val="18"/>
                <w:szCs w:val="18"/>
              </w:rPr>
            </w:pPr>
          </w:p>
        </w:tc>
        <w:tc>
          <w:tcPr>
            <w:tcW w:w="4460" w:type="dxa"/>
            <w:vAlign w:val="bottom"/>
          </w:tcPr>
          <w:p w:rsidR="000728AD" w:rsidRDefault="000561BE">
            <w:pPr>
              <w:ind w:right="1036"/>
              <w:jc w:val="center"/>
              <w:rPr>
                <w:sz w:val="20"/>
                <w:szCs w:val="20"/>
              </w:rPr>
            </w:pPr>
            <w:r>
              <w:rPr>
                <w:rFonts w:ascii="Arial" w:eastAsia="Arial" w:hAnsi="Arial" w:cs="Arial"/>
                <w:b/>
                <w:bCs/>
                <w:w w:val="93"/>
                <w:sz w:val="16"/>
                <w:szCs w:val="16"/>
              </w:rPr>
              <w:t>Identification No.)</w:t>
            </w:r>
          </w:p>
        </w:tc>
        <w:tc>
          <w:tcPr>
            <w:tcW w:w="40" w:type="dxa"/>
            <w:vAlign w:val="bottom"/>
          </w:tcPr>
          <w:p w:rsidR="000728AD" w:rsidRDefault="000728AD">
            <w:pPr>
              <w:rPr>
                <w:sz w:val="18"/>
                <w:szCs w:val="18"/>
              </w:rPr>
            </w:pPr>
          </w:p>
        </w:tc>
      </w:tr>
      <w:tr w:rsidR="000728AD">
        <w:trPr>
          <w:trHeight w:val="306"/>
        </w:trPr>
        <w:tc>
          <w:tcPr>
            <w:tcW w:w="4500" w:type="dxa"/>
            <w:vAlign w:val="bottom"/>
          </w:tcPr>
          <w:p w:rsidR="000728AD" w:rsidRDefault="000561BE">
            <w:pPr>
              <w:ind w:left="1056"/>
              <w:jc w:val="center"/>
              <w:rPr>
                <w:sz w:val="20"/>
                <w:szCs w:val="20"/>
              </w:rPr>
            </w:pPr>
            <w:r>
              <w:rPr>
                <w:rFonts w:ascii="Arial" w:eastAsia="Arial" w:hAnsi="Arial" w:cs="Arial"/>
                <w:w w:val="95"/>
                <w:sz w:val="16"/>
                <w:szCs w:val="16"/>
              </w:rPr>
              <w:t>840 Memorial Drive</w:t>
            </w:r>
          </w:p>
        </w:tc>
        <w:tc>
          <w:tcPr>
            <w:tcW w:w="2260" w:type="dxa"/>
            <w:vAlign w:val="bottom"/>
          </w:tcPr>
          <w:p w:rsidR="000728AD" w:rsidRDefault="000728AD">
            <w:pPr>
              <w:rPr>
                <w:sz w:val="24"/>
                <w:szCs w:val="24"/>
              </w:rPr>
            </w:pPr>
          </w:p>
        </w:tc>
        <w:tc>
          <w:tcPr>
            <w:tcW w:w="4460" w:type="dxa"/>
            <w:vAlign w:val="bottom"/>
          </w:tcPr>
          <w:p w:rsidR="000728AD" w:rsidRDefault="000728AD">
            <w:pPr>
              <w:rPr>
                <w:sz w:val="24"/>
                <w:szCs w:val="24"/>
              </w:rPr>
            </w:pPr>
          </w:p>
        </w:tc>
        <w:tc>
          <w:tcPr>
            <w:tcW w:w="40" w:type="dxa"/>
            <w:vAlign w:val="bottom"/>
          </w:tcPr>
          <w:p w:rsidR="000728AD" w:rsidRDefault="000728AD">
            <w:pPr>
              <w:rPr>
                <w:sz w:val="24"/>
                <w:szCs w:val="24"/>
              </w:rPr>
            </w:pPr>
          </w:p>
        </w:tc>
      </w:tr>
      <w:tr w:rsidR="000728AD">
        <w:trPr>
          <w:trHeight w:val="185"/>
        </w:trPr>
        <w:tc>
          <w:tcPr>
            <w:tcW w:w="4500" w:type="dxa"/>
            <w:vAlign w:val="bottom"/>
          </w:tcPr>
          <w:p w:rsidR="000728AD" w:rsidRDefault="000561BE">
            <w:pPr>
              <w:ind w:left="1036"/>
              <w:jc w:val="center"/>
              <w:rPr>
                <w:sz w:val="20"/>
                <w:szCs w:val="20"/>
              </w:rPr>
            </w:pPr>
            <w:r>
              <w:rPr>
                <w:rFonts w:ascii="Arial" w:eastAsia="Arial" w:hAnsi="Arial" w:cs="Arial"/>
                <w:w w:val="89"/>
                <w:sz w:val="16"/>
                <w:szCs w:val="16"/>
              </w:rPr>
              <w:t>Cambridge, Massachusetts</w:t>
            </w:r>
          </w:p>
        </w:tc>
        <w:tc>
          <w:tcPr>
            <w:tcW w:w="2260" w:type="dxa"/>
            <w:vAlign w:val="bottom"/>
          </w:tcPr>
          <w:p w:rsidR="000728AD" w:rsidRDefault="000728AD">
            <w:pPr>
              <w:rPr>
                <w:sz w:val="16"/>
                <w:szCs w:val="16"/>
              </w:rPr>
            </w:pPr>
          </w:p>
        </w:tc>
        <w:tc>
          <w:tcPr>
            <w:tcW w:w="4460" w:type="dxa"/>
            <w:vAlign w:val="bottom"/>
          </w:tcPr>
          <w:p w:rsidR="000728AD" w:rsidRDefault="000561BE">
            <w:pPr>
              <w:ind w:right="2496"/>
              <w:jc w:val="right"/>
              <w:rPr>
                <w:sz w:val="20"/>
                <w:szCs w:val="20"/>
              </w:rPr>
            </w:pPr>
            <w:r>
              <w:rPr>
                <w:rFonts w:ascii="Arial" w:eastAsia="Arial" w:hAnsi="Arial" w:cs="Arial"/>
                <w:sz w:val="16"/>
                <w:szCs w:val="16"/>
              </w:rPr>
              <w:t>02139</w:t>
            </w:r>
          </w:p>
        </w:tc>
        <w:tc>
          <w:tcPr>
            <w:tcW w:w="40" w:type="dxa"/>
            <w:vAlign w:val="bottom"/>
          </w:tcPr>
          <w:p w:rsidR="000728AD" w:rsidRDefault="000728AD">
            <w:pPr>
              <w:rPr>
                <w:sz w:val="16"/>
                <w:szCs w:val="16"/>
              </w:rPr>
            </w:pPr>
          </w:p>
        </w:tc>
      </w:tr>
      <w:tr w:rsidR="000728AD">
        <w:trPr>
          <w:trHeight w:val="224"/>
        </w:trPr>
        <w:tc>
          <w:tcPr>
            <w:tcW w:w="4500" w:type="dxa"/>
            <w:vAlign w:val="bottom"/>
          </w:tcPr>
          <w:p w:rsidR="000728AD" w:rsidRDefault="000561BE">
            <w:pPr>
              <w:ind w:left="1056"/>
              <w:jc w:val="center"/>
              <w:rPr>
                <w:sz w:val="20"/>
                <w:szCs w:val="20"/>
              </w:rPr>
            </w:pPr>
            <w:r>
              <w:rPr>
                <w:rFonts w:ascii="Arial" w:eastAsia="Arial" w:hAnsi="Arial" w:cs="Arial"/>
                <w:b/>
                <w:bCs/>
                <w:w w:val="89"/>
                <w:sz w:val="16"/>
                <w:szCs w:val="16"/>
              </w:rPr>
              <w:t>(Address of principal executive offices)</w:t>
            </w:r>
          </w:p>
        </w:tc>
        <w:tc>
          <w:tcPr>
            <w:tcW w:w="2260" w:type="dxa"/>
            <w:vAlign w:val="bottom"/>
          </w:tcPr>
          <w:p w:rsidR="000728AD" w:rsidRDefault="000728AD">
            <w:pPr>
              <w:rPr>
                <w:sz w:val="19"/>
                <w:szCs w:val="19"/>
              </w:rPr>
            </w:pPr>
          </w:p>
        </w:tc>
        <w:tc>
          <w:tcPr>
            <w:tcW w:w="4460" w:type="dxa"/>
            <w:vAlign w:val="bottom"/>
          </w:tcPr>
          <w:p w:rsidR="000728AD" w:rsidRDefault="000561BE">
            <w:pPr>
              <w:ind w:right="1036"/>
              <w:jc w:val="center"/>
              <w:rPr>
                <w:sz w:val="20"/>
                <w:szCs w:val="20"/>
              </w:rPr>
            </w:pPr>
            <w:r>
              <w:rPr>
                <w:rFonts w:ascii="Arial" w:eastAsia="Arial" w:hAnsi="Arial" w:cs="Arial"/>
                <w:b/>
                <w:bCs/>
                <w:w w:val="93"/>
                <w:sz w:val="16"/>
                <w:szCs w:val="16"/>
              </w:rPr>
              <w:t>(Zip Code)</w:t>
            </w:r>
          </w:p>
        </w:tc>
        <w:tc>
          <w:tcPr>
            <w:tcW w:w="40" w:type="dxa"/>
            <w:vAlign w:val="bottom"/>
          </w:tcPr>
          <w:p w:rsidR="000728AD" w:rsidRDefault="000728AD">
            <w:pPr>
              <w:rPr>
                <w:sz w:val="19"/>
                <w:szCs w:val="19"/>
              </w:rPr>
            </w:pPr>
          </w:p>
        </w:tc>
      </w:tr>
      <w:tr w:rsidR="000728AD">
        <w:trPr>
          <w:trHeight w:val="330"/>
        </w:trPr>
        <w:tc>
          <w:tcPr>
            <w:tcW w:w="4500" w:type="dxa"/>
            <w:vAlign w:val="bottom"/>
          </w:tcPr>
          <w:p w:rsidR="000728AD" w:rsidRDefault="000728AD">
            <w:pPr>
              <w:rPr>
                <w:sz w:val="24"/>
                <w:szCs w:val="24"/>
              </w:rPr>
            </w:pPr>
          </w:p>
        </w:tc>
        <w:tc>
          <w:tcPr>
            <w:tcW w:w="2260" w:type="dxa"/>
            <w:vAlign w:val="bottom"/>
          </w:tcPr>
          <w:p w:rsidR="000728AD" w:rsidRDefault="000561BE">
            <w:pPr>
              <w:jc w:val="center"/>
              <w:rPr>
                <w:sz w:val="20"/>
                <w:szCs w:val="20"/>
              </w:rPr>
            </w:pPr>
            <w:r>
              <w:rPr>
                <w:rFonts w:ascii="Arial" w:eastAsia="Arial" w:hAnsi="Arial" w:cs="Arial"/>
                <w:w w:val="93"/>
                <w:sz w:val="16"/>
                <w:szCs w:val="16"/>
              </w:rPr>
              <w:t>(857) 320-2200</w:t>
            </w:r>
          </w:p>
        </w:tc>
        <w:tc>
          <w:tcPr>
            <w:tcW w:w="4460" w:type="dxa"/>
            <w:vAlign w:val="bottom"/>
          </w:tcPr>
          <w:p w:rsidR="000728AD" w:rsidRDefault="000728AD">
            <w:pPr>
              <w:rPr>
                <w:sz w:val="24"/>
                <w:szCs w:val="24"/>
              </w:rPr>
            </w:pPr>
          </w:p>
        </w:tc>
        <w:tc>
          <w:tcPr>
            <w:tcW w:w="40" w:type="dxa"/>
            <w:vAlign w:val="bottom"/>
          </w:tcPr>
          <w:p w:rsidR="000728AD" w:rsidRDefault="000728AD">
            <w:pPr>
              <w:rPr>
                <w:sz w:val="24"/>
                <w:szCs w:val="24"/>
              </w:rPr>
            </w:pPr>
          </w:p>
        </w:tc>
      </w:tr>
      <w:tr w:rsidR="000728AD">
        <w:trPr>
          <w:trHeight w:val="210"/>
        </w:trPr>
        <w:tc>
          <w:tcPr>
            <w:tcW w:w="11220" w:type="dxa"/>
            <w:gridSpan w:val="3"/>
            <w:vAlign w:val="bottom"/>
          </w:tcPr>
          <w:p w:rsidR="000728AD" w:rsidRDefault="000561BE">
            <w:pPr>
              <w:jc w:val="center"/>
              <w:rPr>
                <w:sz w:val="20"/>
                <w:szCs w:val="20"/>
              </w:rPr>
            </w:pPr>
            <w:r>
              <w:rPr>
                <w:rFonts w:ascii="Arial" w:eastAsia="Arial" w:hAnsi="Arial" w:cs="Arial"/>
                <w:b/>
                <w:bCs/>
                <w:w w:val="90"/>
                <w:sz w:val="16"/>
                <w:szCs w:val="16"/>
              </w:rPr>
              <w:t>(Registrant’s telephone number, including area code)</w:t>
            </w:r>
          </w:p>
        </w:tc>
        <w:tc>
          <w:tcPr>
            <w:tcW w:w="40" w:type="dxa"/>
            <w:vAlign w:val="bottom"/>
          </w:tcPr>
          <w:p w:rsidR="000728AD" w:rsidRDefault="000728AD">
            <w:pPr>
              <w:rPr>
                <w:sz w:val="18"/>
                <w:szCs w:val="18"/>
              </w:rPr>
            </w:pPr>
          </w:p>
        </w:tc>
      </w:tr>
      <w:tr w:rsidR="000728AD">
        <w:trPr>
          <w:trHeight w:val="256"/>
        </w:trPr>
        <w:tc>
          <w:tcPr>
            <w:tcW w:w="4500" w:type="dxa"/>
            <w:tcBorders>
              <w:bottom w:val="single" w:sz="8" w:space="0" w:color="auto"/>
            </w:tcBorders>
            <w:vAlign w:val="bottom"/>
          </w:tcPr>
          <w:p w:rsidR="000728AD" w:rsidRDefault="000728AD"/>
        </w:tc>
        <w:tc>
          <w:tcPr>
            <w:tcW w:w="2260" w:type="dxa"/>
            <w:tcBorders>
              <w:bottom w:val="single" w:sz="8" w:space="0" w:color="auto"/>
            </w:tcBorders>
            <w:vAlign w:val="bottom"/>
          </w:tcPr>
          <w:p w:rsidR="000728AD" w:rsidRDefault="000728AD"/>
        </w:tc>
        <w:tc>
          <w:tcPr>
            <w:tcW w:w="4460" w:type="dxa"/>
            <w:tcBorders>
              <w:bottom w:val="single" w:sz="8" w:space="0" w:color="auto"/>
            </w:tcBorders>
            <w:vAlign w:val="bottom"/>
          </w:tcPr>
          <w:p w:rsidR="000728AD" w:rsidRDefault="000728AD"/>
        </w:tc>
        <w:tc>
          <w:tcPr>
            <w:tcW w:w="40" w:type="dxa"/>
            <w:vAlign w:val="bottom"/>
          </w:tcPr>
          <w:p w:rsidR="000728AD" w:rsidRDefault="000728AD"/>
        </w:tc>
      </w:tr>
      <w:tr w:rsidR="000728AD">
        <w:trPr>
          <w:trHeight w:val="365"/>
        </w:trPr>
        <w:tc>
          <w:tcPr>
            <w:tcW w:w="4500" w:type="dxa"/>
            <w:vAlign w:val="bottom"/>
          </w:tcPr>
          <w:p w:rsidR="000728AD" w:rsidRDefault="000561BE">
            <w:pPr>
              <w:rPr>
                <w:sz w:val="20"/>
                <w:szCs w:val="20"/>
              </w:rPr>
            </w:pPr>
            <w:r>
              <w:rPr>
                <w:rFonts w:ascii="Arial" w:eastAsia="Arial" w:hAnsi="Arial" w:cs="Arial"/>
                <w:color w:val="211D1E"/>
                <w:w w:val="97"/>
                <w:sz w:val="18"/>
                <w:szCs w:val="18"/>
              </w:rPr>
              <w:t>Securities registered pursuant to Section 12(b) of the Act:</w:t>
            </w:r>
          </w:p>
        </w:tc>
        <w:tc>
          <w:tcPr>
            <w:tcW w:w="2260" w:type="dxa"/>
            <w:vAlign w:val="bottom"/>
          </w:tcPr>
          <w:p w:rsidR="000728AD" w:rsidRDefault="000728AD">
            <w:pPr>
              <w:rPr>
                <w:sz w:val="24"/>
                <w:szCs w:val="24"/>
              </w:rPr>
            </w:pPr>
          </w:p>
        </w:tc>
        <w:tc>
          <w:tcPr>
            <w:tcW w:w="4460" w:type="dxa"/>
            <w:vAlign w:val="bottom"/>
          </w:tcPr>
          <w:p w:rsidR="000728AD" w:rsidRDefault="000728AD">
            <w:pPr>
              <w:rPr>
                <w:sz w:val="24"/>
                <w:szCs w:val="24"/>
              </w:rPr>
            </w:pPr>
          </w:p>
        </w:tc>
        <w:tc>
          <w:tcPr>
            <w:tcW w:w="40" w:type="dxa"/>
            <w:vAlign w:val="bottom"/>
          </w:tcPr>
          <w:p w:rsidR="000728AD" w:rsidRDefault="000728AD">
            <w:pPr>
              <w:rPr>
                <w:sz w:val="24"/>
                <w:szCs w:val="24"/>
              </w:rPr>
            </w:pPr>
          </w:p>
        </w:tc>
      </w:tr>
      <w:tr w:rsidR="000728AD">
        <w:trPr>
          <w:trHeight w:val="27"/>
        </w:trPr>
        <w:tc>
          <w:tcPr>
            <w:tcW w:w="4500" w:type="dxa"/>
            <w:tcBorders>
              <w:bottom w:val="single" w:sz="8" w:space="0" w:color="auto"/>
            </w:tcBorders>
            <w:vAlign w:val="bottom"/>
          </w:tcPr>
          <w:p w:rsidR="000728AD" w:rsidRDefault="000728AD">
            <w:pPr>
              <w:rPr>
                <w:sz w:val="2"/>
                <w:szCs w:val="2"/>
              </w:rPr>
            </w:pPr>
          </w:p>
        </w:tc>
        <w:tc>
          <w:tcPr>
            <w:tcW w:w="2260" w:type="dxa"/>
            <w:tcBorders>
              <w:bottom w:val="single" w:sz="8" w:space="0" w:color="auto"/>
            </w:tcBorders>
            <w:vAlign w:val="bottom"/>
          </w:tcPr>
          <w:p w:rsidR="000728AD" w:rsidRDefault="000728AD">
            <w:pPr>
              <w:rPr>
                <w:sz w:val="2"/>
                <w:szCs w:val="2"/>
              </w:rPr>
            </w:pPr>
          </w:p>
        </w:tc>
        <w:tc>
          <w:tcPr>
            <w:tcW w:w="4460" w:type="dxa"/>
            <w:tcBorders>
              <w:bottom w:val="single" w:sz="8" w:space="0" w:color="auto"/>
            </w:tcBorders>
            <w:vAlign w:val="bottom"/>
          </w:tcPr>
          <w:p w:rsidR="000728AD" w:rsidRDefault="000728AD">
            <w:pPr>
              <w:rPr>
                <w:sz w:val="2"/>
                <w:szCs w:val="2"/>
              </w:rPr>
            </w:pPr>
          </w:p>
        </w:tc>
        <w:tc>
          <w:tcPr>
            <w:tcW w:w="40" w:type="dxa"/>
            <w:tcBorders>
              <w:bottom w:val="single" w:sz="8" w:space="0" w:color="auto"/>
            </w:tcBorders>
            <w:vAlign w:val="bottom"/>
          </w:tcPr>
          <w:p w:rsidR="000728AD" w:rsidRDefault="000728AD">
            <w:pPr>
              <w:rPr>
                <w:sz w:val="2"/>
                <w:szCs w:val="2"/>
              </w:rPr>
            </w:pPr>
          </w:p>
        </w:tc>
      </w:tr>
      <w:tr w:rsidR="000728AD">
        <w:trPr>
          <w:trHeight w:val="237"/>
        </w:trPr>
        <w:tc>
          <w:tcPr>
            <w:tcW w:w="4500" w:type="dxa"/>
            <w:tcBorders>
              <w:left w:val="single" w:sz="8" w:space="0" w:color="auto"/>
              <w:right w:val="single" w:sz="8" w:space="0" w:color="auto"/>
            </w:tcBorders>
            <w:vAlign w:val="bottom"/>
          </w:tcPr>
          <w:p w:rsidR="000728AD" w:rsidRDefault="000561BE">
            <w:pPr>
              <w:jc w:val="center"/>
              <w:rPr>
                <w:sz w:val="20"/>
                <w:szCs w:val="20"/>
              </w:rPr>
            </w:pPr>
            <w:r>
              <w:rPr>
                <w:rFonts w:ascii="Arial" w:eastAsia="Arial" w:hAnsi="Arial" w:cs="Arial"/>
                <w:b/>
                <w:bCs/>
                <w:w w:val="86"/>
                <w:sz w:val="18"/>
                <w:szCs w:val="18"/>
              </w:rPr>
              <w:t>Title of each class</w:t>
            </w:r>
          </w:p>
        </w:tc>
        <w:tc>
          <w:tcPr>
            <w:tcW w:w="2260" w:type="dxa"/>
            <w:tcBorders>
              <w:right w:val="single" w:sz="8" w:space="0" w:color="auto"/>
            </w:tcBorders>
            <w:vAlign w:val="bottom"/>
          </w:tcPr>
          <w:p w:rsidR="000728AD" w:rsidRDefault="000561BE">
            <w:pPr>
              <w:jc w:val="center"/>
              <w:rPr>
                <w:sz w:val="20"/>
                <w:szCs w:val="20"/>
              </w:rPr>
            </w:pPr>
            <w:r>
              <w:rPr>
                <w:rFonts w:ascii="Arial" w:eastAsia="Arial" w:hAnsi="Arial" w:cs="Arial"/>
                <w:b/>
                <w:bCs/>
                <w:w w:val="92"/>
                <w:sz w:val="18"/>
                <w:szCs w:val="18"/>
              </w:rPr>
              <w:t>Trading Symbol</w:t>
            </w:r>
          </w:p>
        </w:tc>
        <w:tc>
          <w:tcPr>
            <w:tcW w:w="4460" w:type="dxa"/>
            <w:vAlign w:val="bottom"/>
          </w:tcPr>
          <w:p w:rsidR="000728AD" w:rsidRDefault="000561BE">
            <w:pPr>
              <w:jc w:val="center"/>
              <w:rPr>
                <w:sz w:val="20"/>
                <w:szCs w:val="20"/>
              </w:rPr>
            </w:pPr>
            <w:r>
              <w:rPr>
                <w:rFonts w:ascii="Arial" w:eastAsia="Arial" w:hAnsi="Arial" w:cs="Arial"/>
                <w:b/>
                <w:bCs/>
                <w:w w:val="87"/>
                <w:sz w:val="18"/>
                <w:szCs w:val="18"/>
              </w:rPr>
              <w:t>Name of each exchange on which registered</w:t>
            </w:r>
          </w:p>
        </w:tc>
        <w:tc>
          <w:tcPr>
            <w:tcW w:w="40" w:type="dxa"/>
            <w:tcBorders>
              <w:right w:val="single" w:sz="8" w:space="0" w:color="auto"/>
            </w:tcBorders>
            <w:vAlign w:val="bottom"/>
          </w:tcPr>
          <w:p w:rsidR="000728AD" w:rsidRDefault="000728AD">
            <w:pPr>
              <w:rPr>
                <w:sz w:val="20"/>
                <w:szCs w:val="20"/>
              </w:rPr>
            </w:pPr>
          </w:p>
        </w:tc>
      </w:tr>
      <w:tr w:rsidR="000728AD">
        <w:trPr>
          <w:trHeight w:val="27"/>
        </w:trPr>
        <w:tc>
          <w:tcPr>
            <w:tcW w:w="4500" w:type="dxa"/>
            <w:tcBorders>
              <w:left w:val="single" w:sz="8" w:space="0" w:color="auto"/>
              <w:bottom w:val="single" w:sz="8" w:space="0" w:color="auto"/>
              <w:right w:val="single" w:sz="8" w:space="0" w:color="auto"/>
            </w:tcBorders>
            <w:vAlign w:val="bottom"/>
          </w:tcPr>
          <w:p w:rsidR="000728AD" w:rsidRDefault="000728AD">
            <w:pPr>
              <w:rPr>
                <w:sz w:val="2"/>
                <w:szCs w:val="2"/>
              </w:rPr>
            </w:pPr>
          </w:p>
        </w:tc>
        <w:tc>
          <w:tcPr>
            <w:tcW w:w="2260" w:type="dxa"/>
            <w:tcBorders>
              <w:bottom w:val="single" w:sz="8" w:space="0" w:color="auto"/>
              <w:right w:val="single" w:sz="8" w:space="0" w:color="auto"/>
            </w:tcBorders>
            <w:vAlign w:val="bottom"/>
          </w:tcPr>
          <w:p w:rsidR="000728AD" w:rsidRDefault="000728AD">
            <w:pPr>
              <w:rPr>
                <w:sz w:val="2"/>
                <w:szCs w:val="2"/>
              </w:rPr>
            </w:pPr>
          </w:p>
        </w:tc>
        <w:tc>
          <w:tcPr>
            <w:tcW w:w="4460" w:type="dxa"/>
            <w:tcBorders>
              <w:bottom w:val="single" w:sz="8" w:space="0" w:color="auto"/>
            </w:tcBorders>
            <w:vAlign w:val="bottom"/>
          </w:tcPr>
          <w:p w:rsidR="000728AD" w:rsidRDefault="000728AD">
            <w:pPr>
              <w:rPr>
                <w:sz w:val="2"/>
                <w:szCs w:val="2"/>
              </w:rPr>
            </w:pPr>
          </w:p>
        </w:tc>
        <w:tc>
          <w:tcPr>
            <w:tcW w:w="40" w:type="dxa"/>
            <w:tcBorders>
              <w:bottom w:val="single" w:sz="8" w:space="0" w:color="auto"/>
              <w:right w:val="single" w:sz="8" w:space="0" w:color="auto"/>
            </w:tcBorders>
            <w:vAlign w:val="bottom"/>
          </w:tcPr>
          <w:p w:rsidR="000728AD" w:rsidRDefault="000728AD">
            <w:pPr>
              <w:rPr>
                <w:sz w:val="2"/>
                <w:szCs w:val="2"/>
              </w:rPr>
            </w:pPr>
          </w:p>
        </w:tc>
      </w:tr>
      <w:tr w:rsidR="000728AD">
        <w:trPr>
          <w:trHeight w:val="237"/>
        </w:trPr>
        <w:tc>
          <w:tcPr>
            <w:tcW w:w="4500" w:type="dxa"/>
            <w:tcBorders>
              <w:left w:val="single" w:sz="8" w:space="0" w:color="auto"/>
              <w:right w:val="single" w:sz="8" w:space="0" w:color="auto"/>
            </w:tcBorders>
            <w:vAlign w:val="bottom"/>
          </w:tcPr>
          <w:p w:rsidR="000728AD" w:rsidRDefault="000561BE">
            <w:pPr>
              <w:jc w:val="center"/>
              <w:rPr>
                <w:sz w:val="20"/>
                <w:szCs w:val="20"/>
              </w:rPr>
            </w:pPr>
            <w:r>
              <w:rPr>
                <w:rFonts w:ascii="Arial" w:eastAsia="Arial" w:hAnsi="Arial" w:cs="Arial"/>
                <w:w w:val="89"/>
                <w:sz w:val="18"/>
                <w:szCs w:val="18"/>
              </w:rPr>
              <w:t xml:space="preserve">Common Stock, $0.001 par value per </w:t>
            </w:r>
            <w:r>
              <w:rPr>
                <w:rFonts w:ascii="Arial" w:eastAsia="Arial" w:hAnsi="Arial" w:cs="Arial"/>
                <w:w w:val="89"/>
                <w:sz w:val="18"/>
                <w:szCs w:val="18"/>
              </w:rPr>
              <w:t>share</w:t>
            </w:r>
          </w:p>
        </w:tc>
        <w:tc>
          <w:tcPr>
            <w:tcW w:w="2260" w:type="dxa"/>
            <w:tcBorders>
              <w:right w:val="single" w:sz="8" w:space="0" w:color="auto"/>
            </w:tcBorders>
            <w:vAlign w:val="bottom"/>
          </w:tcPr>
          <w:p w:rsidR="000728AD" w:rsidRDefault="000561BE">
            <w:pPr>
              <w:jc w:val="center"/>
              <w:rPr>
                <w:sz w:val="20"/>
                <w:szCs w:val="20"/>
              </w:rPr>
            </w:pPr>
            <w:r>
              <w:rPr>
                <w:rFonts w:ascii="Arial" w:eastAsia="Arial" w:hAnsi="Arial" w:cs="Arial"/>
                <w:sz w:val="18"/>
                <w:szCs w:val="18"/>
              </w:rPr>
              <w:t>AXLA</w:t>
            </w:r>
          </w:p>
        </w:tc>
        <w:tc>
          <w:tcPr>
            <w:tcW w:w="4460" w:type="dxa"/>
            <w:vAlign w:val="bottom"/>
          </w:tcPr>
          <w:p w:rsidR="000728AD" w:rsidRDefault="000561BE">
            <w:pPr>
              <w:jc w:val="center"/>
              <w:rPr>
                <w:sz w:val="20"/>
                <w:szCs w:val="20"/>
              </w:rPr>
            </w:pPr>
            <w:r>
              <w:rPr>
                <w:rFonts w:ascii="Arial" w:eastAsia="Arial" w:hAnsi="Arial" w:cs="Arial"/>
                <w:w w:val="91"/>
                <w:sz w:val="18"/>
                <w:szCs w:val="18"/>
              </w:rPr>
              <w:t>The Nasdaq Global Market</w:t>
            </w:r>
          </w:p>
        </w:tc>
        <w:tc>
          <w:tcPr>
            <w:tcW w:w="40" w:type="dxa"/>
            <w:tcBorders>
              <w:right w:val="single" w:sz="8" w:space="0" w:color="auto"/>
            </w:tcBorders>
            <w:vAlign w:val="bottom"/>
          </w:tcPr>
          <w:p w:rsidR="000728AD" w:rsidRDefault="000728AD">
            <w:pPr>
              <w:rPr>
                <w:sz w:val="20"/>
                <w:szCs w:val="20"/>
              </w:rPr>
            </w:pPr>
          </w:p>
        </w:tc>
      </w:tr>
      <w:tr w:rsidR="000728AD">
        <w:trPr>
          <w:trHeight w:val="27"/>
        </w:trPr>
        <w:tc>
          <w:tcPr>
            <w:tcW w:w="4500" w:type="dxa"/>
            <w:tcBorders>
              <w:left w:val="single" w:sz="8" w:space="0" w:color="auto"/>
              <w:bottom w:val="single" w:sz="8" w:space="0" w:color="auto"/>
              <w:right w:val="single" w:sz="8" w:space="0" w:color="auto"/>
            </w:tcBorders>
            <w:vAlign w:val="bottom"/>
          </w:tcPr>
          <w:p w:rsidR="000728AD" w:rsidRDefault="000728AD">
            <w:pPr>
              <w:rPr>
                <w:sz w:val="2"/>
                <w:szCs w:val="2"/>
              </w:rPr>
            </w:pPr>
          </w:p>
        </w:tc>
        <w:tc>
          <w:tcPr>
            <w:tcW w:w="2260" w:type="dxa"/>
            <w:tcBorders>
              <w:bottom w:val="single" w:sz="8" w:space="0" w:color="auto"/>
              <w:right w:val="single" w:sz="8" w:space="0" w:color="auto"/>
            </w:tcBorders>
            <w:vAlign w:val="bottom"/>
          </w:tcPr>
          <w:p w:rsidR="000728AD" w:rsidRDefault="000728AD">
            <w:pPr>
              <w:rPr>
                <w:sz w:val="2"/>
                <w:szCs w:val="2"/>
              </w:rPr>
            </w:pPr>
          </w:p>
        </w:tc>
        <w:tc>
          <w:tcPr>
            <w:tcW w:w="4460" w:type="dxa"/>
            <w:tcBorders>
              <w:bottom w:val="single" w:sz="8" w:space="0" w:color="auto"/>
            </w:tcBorders>
            <w:vAlign w:val="bottom"/>
          </w:tcPr>
          <w:p w:rsidR="000728AD" w:rsidRDefault="000728AD">
            <w:pPr>
              <w:rPr>
                <w:sz w:val="2"/>
                <w:szCs w:val="2"/>
              </w:rPr>
            </w:pPr>
          </w:p>
        </w:tc>
        <w:tc>
          <w:tcPr>
            <w:tcW w:w="40" w:type="dxa"/>
            <w:tcBorders>
              <w:bottom w:val="single" w:sz="8" w:space="0" w:color="auto"/>
              <w:right w:val="single" w:sz="8" w:space="0" w:color="auto"/>
            </w:tcBorders>
            <w:vAlign w:val="bottom"/>
          </w:tcPr>
          <w:p w:rsidR="000728AD" w:rsidRDefault="000728AD">
            <w:pPr>
              <w:rPr>
                <w:sz w:val="2"/>
                <w:szCs w:val="2"/>
              </w:rPr>
            </w:pPr>
          </w:p>
        </w:tc>
      </w:tr>
      <w:tr w:rsidR="000728AD">
        <w:trPr>
          <w:trHeight w:val="149"/>
        </w:trPr>
        <w:tc>
          <w:tcPr>
            <w:tcW w:w="4500" w:type="dxa"/>
            <w:tcBorders>
              <w:bottom w:val="single" w:sz="8" w:space="0" w:color="auto"/>
            </w:tcBorders>
            <w:vAlign w:val="bottom"/>
          </w:tcPr>
          <w:p w:rsidR="000728AD" w:rsidRDefault="000728AD">
            <w:pPr>
              <w:rPr>
                <w:sz w:val="12"/>
                <w:szCs w:val="12"/>
              </w:rPr>
            </w:pPr>
          </w:p>
        </w:tc>
        <w:tc>
          <w:tcPr>
            <w:tcW w:w="2260" w:type="dxa"/>
            <w:tcBorders>
              <w:bottom w:val="single" w:sz="8" w:space="0" w:color="auto"/>
            </w:tcBorders>
            <w:vAlign w:val="bottom"/>
          </w:tcPr>
          <w:p w:rsidR="000728AD" w:rsidRDefault="000728AD">
            <w:pPr>
              <w:rPr>
                <w:sz w:val="12"/>
                <w:szCs w:val="12"/>
              </w:rPr>
            </w:pPr>
          </w:p>
        </w:tc>
        <w:tc>
          <w:tcPr>
            <w:tcW w:w="4460" w:type="dxa"/>
            <w:tcBorders>
              <w:bottom w:val="single" w:sz="8" w:space="0" w:color="auto"/>
            </w:tcBorders>
            <w:vAlign w:val="bottom"/>
          </w:tcPr>
          <w:p w:rsidR="000728AD" w:rsidRDefault="000728AD">
            <w:pPr>
              <w:rPr>
                <w:sz w:val="12"/>
                <w:szCs w:val="12"/>
              </w:rPr>
            </w:pPr>
          </w:p>
        </w:tc>
        <w:tc>
          <w:tcPr>
            <w:tcW w:w="40" w:type="dxa"/>
            <w:vAlign w:val="bottom"/>
          </w:tcPr>
          <w:p w:rsidR="000728AD" w:rsidRDefault="000728AD">
            <w:pPr>
              <w:rPr>
                <w:sz w:val="12"/>
                <w:szCs w:val="12"/>
              </w:rPr>
            </w:pPr>
          </w:p>
        </w:tc>
      </w:tr>
    </w:tbl>
    <w:p w:rsidR="000728AD" w:rsidRDefault="000728AD">
      <w:pPr>
        <w:spacing w:line="242" w:lineRule="exact"/>
        <w:rPr>
          <w:sz w:val="24"/>
          <w:szCs w:val="24"/>
        </w:rPr>
      </w:pPr>
    </w:p>
    <w:p w:rsidR="000728AD" w:rsidRDefault="000561BE">
      <w:pPr>
        <w:spacing w:line="227" w:lineRule="exact"/>
        <w:ind w:right="320"/>
        <w:rPr>
          <w:sz w:val="20"/>
          <w:szCs w:val="20"/>
        </w:rPr>
      </w:pPr>
      <w:r>
        <w:rPr>
          <w:rFonts w:ascii="Arial" w:eastAsia="Arial" w:hAnsi="Arial" w:cs="Arial"/>
          <w:sz w:val="18"/>
          <w:szCs w:val="18"/>
        </w:rPr>
        <w:t>Indicate by check mark whether the registrant (1) has filed all reports required to be filed by Section 13 or 15(d) of the Securities Exchange Act of 1934 during the preceding 12 months (or for such shorter period that the registrant was required to file s</w:t>
      </w:r>
      <w:r>
        <w:rPr>
          <w:rFonts w:ascii="Arial" w:eastAsia="Arial" w:hAnsi="Arial" w:cs="Arial"/>
          <w:sz w:val="18"/>
          <w:szCs w:val="18"/>
        </w:rPr>
        <w:t xml:space="preserve">uch reports), and (2) has been subject to such filing requirements for the past 90 days. Yes </w:t>
      </w:r>
      <w:r>
        <w:rPr>
          <w:rFonts w:ascii="MS PGothic" w:eastAsia="MS PGothic" w:hAnsi="MS PGothic" w:cs="MS PGothic"/>
          <w:sz w:val="18"/>
          <w:szCs w:val="18"/>
        </w:rPr>
        <w:t>☒</w:t>
      </w:r>
      <w:r>
        <w:rPr>
          <w:rFonts w:ascii="Arial" w:eastAsia="Arial" w:hAnsi="Arial" w:cs="Arial"/>
          <w:sz w:val="18"/>
          <w:szCs w:val="18"/>
        </w:rPr>
        <w:t xml:space="preserve"> No </w:t>
      </w:r>
      <w:r>
        <w:rPr>
          <w:rFonts w:ascii="MS PGothic" w:eastAsia="MS PGothic" w:hAnsi="MS PGothic" w:cs="MS PGothic"/>
          <w:sz w:val="18"/>
          <w:szCs w:val="18"/>
        </w:rPr>
        <w:t>☐</w:t>
      </w:r>
    </w:p>
    <w:p w:rsidR="000728AD" w:rsidRDefault="000728AD">
      <w:pPr>
        <w:spacing w:line="184" w:lineRule="exact"/>
        <w:rPr>
          <w:sz w:val="24"/>
          <w:szCs w:val="24"/>
        </w:rPr>
      </w:pPr>
    </w:p>
    <w:p w:rsidR="000728AD" w:rsidRDefault="000561BE">
      <w:pPr>
        <w:spacing w:line="227" w:lineRule="exact"/>
        <w:ind w:right="100"/>
        <w:rPr>
          <w:sz w:val="20"/>
          <w:szCs w:val="20"/>
        </w:rPr>
      </w:pPr>
      <w:r>
        <w:rPr>
          <w:rFonts w:ascii="Arial" w:eastAsia="Arial" w:hAnsi="Arial" w:cs="Arial"/>
          <w:sz w:val="18"/>
          <w:szCs w:val="18"/>
        </w:rPr>
        <w:t>Indicate by check mark whether the registrant has submitted electronically and posted on its corporate Web site, if any, every Interactive Data File required to be submitted and posted pursuant to Rule 405 of Regulation S-T (§232.405 of this chapter) durin</w:t>
      </w:r>
      <w:r>
        <w:rPr>
          <w:rFonts w:ascii="Arial" w:eastAsia="Arial" w:hAnsi="Arial" w:cs="Arial"/>
          <w:sz w:val="18"/>
          <w:szCs w:val="18"/>
        </w:rPr>
        <w:t xml:space="preserve">g the preceding 12 months (or for such shorter period that the registrant was required to submit and post such files). Yes </w:t>
      </w:r>
      <w:r>
        <w:rPr>
          <w:rFonts w:ascii="MS PGothic" w:eastAsia="MS PGothic" w:hAnsi="MS PGothic" w:cs="MS PGothic"/>
          <w:sz w:val="18"/>
          <w:szCs w:val="18"/>
        </w:rPr>
        <w:t>☒</w:t>
      </w:r>
      <w:r>
        <w:rPr>
          <w:rFonts w:ascii="Arial" w:eastAsia="Arial" w:hAnsi="Arial" w:cs="Arial"/>
          <w:sz w:val="18"/>
          <w:szCs w:val="18"/>
        </w:rPr>
        <w:t xml:space="preserve"> No </w:t>
      </w:r>
      <w:r>
        <w:rPr>
          <w:rFonts w:ascii="MS PGothic" w:eastAsia="MS PGothic" w:hAnsi="MS PGothic" w:cs="MS PGothic"/>
          <w:sz w:val="18"/>
          <w:szCs w:val="18"/>
        </w:rPr>
        <w:t>☐</w:t>
      </w:r>
    </w:p>
    <w:p w:rsidR="000728AD" w:rsidRDefault="000728AD">
      <w:pPr>
        <w:spacing w:line="184" w:lineRule="exact"/>
        <w:rPr>
          <w:sz w:val="24"/>
          <w:szCs w:val="24"/>
        </w:rPr>
      </w:pPr>
    </w:p>
    <w:p w:rsidR="000728AD" w:rsidRDefault="000561BE">
      <w:pPr>
        <w:spacing w:line="263" w:lineRule="auto"/>
        <w:ind w:right="340"/>
        <w:rPr>
          <w:sz w:val="20"/>
          <w:szCs w:val="20"/>
        </w:rPr>
      </w:pPr>
      <w:r>
        <w:rPr>
          <w:rFonts w:ascii="Arial" w:eastAsia="Arial" w:hAnsi="Arial" w:cs="Arial"/>
          <w:sz w:val="18"/>
          <w:szCs w:val="18"/>
        </w:rPr>
        <w:t xml:space="preserve">Indicate by check mark whether the registrant is a large accelerated filer, an accelerated filer, a non-accelerated filer, a </w:t>
      </w:r>
      <w:r>
        <w:rPr>
          <w:rFonts w:ascii="Arial" w:eastAsia="Arial" w:hAnsi="Arial" w:cs="Arial"/>
          <w:sz w:val="18"/>
          <w:szCs w:val="18"/>
        </w:rPr>
        <w:t>smaller reporting company, or an emerging growth company. See the definitions of “large accelerated filer,” “accelerated filer,” “smaller reporting company,” and “emerging growth company” in Rule 12b-2 of the Exchange Act.</w:t>
      </w:r>
    </w:p>
    <w:p w:rsidR="000728AD" w:rsidRDefault="000728AD">
      <w:pPr>
        <w:spacing w:line="137" w:lineRule="exact"/>
        <w:rPr>
          <w:sz w:val="24"/>
          <w:szCs w:val="24"/>
        </w:rPr>
      </w:pPr>
    </w:p>
    <w:tbl>
      <w:tblPr>
        <w:tblW w:w="0" w:type="auto"/>
        <w:tblInd w:w="60" w:type="dxa"/>
        <w:tblLayout w:type="fixed"/>
        <w:tblCellMar>
          <w:left w:w="0" w:type="dxa"/>
          <w:right w:w="0" w:type="dxa"/>
        </w:tblCellMar>
        <w:tblLook w:val="04A0" w:firstRow="1" w:lastRow="0" w:firstColumn="1" w:lastColumn="0" w:noHBand="0" w:noVBand="1"/>
      </w:tblPr>
      <w:tblGrid>
        <w:gridCol w:w="2060"/>
        <w:gridCol w:w="2960"/>
        <w:gridCol w:w="5100"/>
        <w:gridCol w:w="960"/>
      </w:tblGrid>
      <w:tr w:rsidR="000728AD">
        <w:trPr>
          <w:trHeight w:val="283"/>
        </w:trPr>
        <w:tc>
          <w:tcPr>
            <w:tcW w:w="2060" w:type="dxa"/>
            <w:vAlign w:val="bottom"/>
          </w:tcPr>
          <w:p w:rsidR="000728AD" w:rsidRDefault="000561BE">
            <w:pPr>
              <w:rPr>
                <w:sz w:val="20"/>
                <w:szCs w:val="20"/>
              </w:rPr>
            </w:pPr>
            <w:r>
              <w:rPr>
                <w:rFonts w:ascii="Arial" w:eastAsia="Arial" w:hAnsi="Arial" w:cs="Arial"/>
                <w:sz w:val="18"/>
                <w:szCs w:val="18"/>
              </w:rPr>
              <w:t>Large accelerated filer</w:t>
            </w:r>
          </w:p>
        </w:tc>
        <w:tc>
          <w:tcPr>
            <w:tcW w:w="2960" w:type="dxa"/>
            <w:vAlign w:val="bottom"/>
          </w:tcPr>
          <w:p w:rsidR="000728AD" w:rsidRDefault="000561BE">
            <w:pPr>
              <w:spacing w:line="181" w:lineRule="exact"/>
              <w:ind w:left="460"/>
              <w:rPr>
                <w:sz w:val="20"/>
                <w:szCs w:val="20"/>
              </w:rPr>
            </w:pPr>
            <w:r>
              <w:rPr>
                <w:rFonts w:ascii="MS PGothic" w:eastAsia="MS PGothic" w:hAnsi="MS PGothic" w:cs="MS PGothic"/>
                <w:sz w:val="18"/>
                <w:szCs w:val="18"/>
              </w:rPr>
              <w:t>☐</w:t>
            </w:r>
          </w:p>
        </w:tc>
        <w:tc>
          <w:tcPr>
            <w:tcW w:w="5100" w:type="dxa"/>
            <w:vAlign w:val="bottom"/>
          </w:tcPr>
          <w:p w:rsidR="000728AD" w:rsidRDefault="000561BE">
            <w:pPr>
              <w:ind w:left="2340"/>
              <w:rPr>
                <w:sz w:val="20"/>
                <w:szCs w:val="20"/>
              </w:rPr>
            </w:pPr>
            <w:r>
              <w:rPr>
                <w:rFonts w:ascii="Arial" w:eastAsia="Arial" w:hAnsi="Arial" w:cs="Arial"/>
                <w:sz w:val="18"/>
                <w:szCs w:val="18"/>
              </w:rPr>
              <w:t>Accele</w:t>
            </w:r>
            <w:r>
              <w:rPr>
                <w:rFonts w:ascii="Arial" w:eastAsia="Arial" w:hAnsi="Arial" w:cs="Arial"/>
                <w:sz w:val="18"/>
                <w:szCs w:val="18"/>
              </w:rPr>
              <w:t>rated filer</w:t>
            </w:r>
          </w:p>
        </w:tc>
        <w:tc>
          <w:tcPr>
            <w:tcW w:w="960" w:type="dxa"/>
            <w:vAlign w:val="bottom"/>
          </w:tcPr>
          <w:p w:rsidR="000728AD" w:rsidRDefault="000561BE">
            <w:pPr>
              <w:spacing w:line="181" w:lineRule="exact"/>
              <w:ind w:left="800"/>
              <w:rPr>
                <w:sz w:val="20"/>
                <w:szCs w:val="20"/>
              </w:rPr>
            </w:pPr>
            <w:r>
              <w:rPr>
                <w:rFonts w:ascii="MS PGothic" w:eastAsia="MS PGothic" w:hAnsi="MS PGothic" w:cs="MS PGothic"/>
                <w:w w:val="77"/>
                <w:sz w:val="18"/>
                <w:szCs w:val="18"/>
              </w:rPr>
              <w:t>☐</w:t>
            </w:r>
          </w:p>
        </w:tc>
      </w:tr>
      <w:tr w:rsidR="000728AD">
        <w:trPr>
          <w:trHeight w:val="283"/>
        </w:trPr>
        <w:tc>
          <w:tcPr>
            <w:tcW w:w="2060" w:type="dxa"/>
            <w:vAlign w:val="bottom"/>
          </w:tcPr>
          <w:p w:rsidR="000728AD" w:rsidRDefault="000561BE">
            <w:pPr>
              <w:rPr>
                <w:sz w:val="20"/>
                <w:szCs w:val="20"/>
              </w:rPr>
            </w:pPr>
            <w:r>
              <w:rPr>
                <w:rFonts w:ascii="Arial" w:eastAsia="Arial" w:hAnsi="Arial" w:cs="Arial"/>
                <w:sz w:val="18"/>
                <w:szCs w:val="18"/>
              </w:rPr>
              <w:t>Non-accelerated filer</w:t>
            </w:r>
          </w:p>
        </w:tc>
        <w:tc>
          <w:tcPr>
            <w:tcW w:w="2960" w:type="dxa"/>
            <w:vAlign w:val="bottom"/>
          </w:tcPr>
          <w:p w:rsidR="000728AD" w:rsidRDefault="000561BE">
            <w:pPr>
              <w:spacing w:line="181" w:lineRule="exact"/>
              <w:ind w:left="460"/>
              <w:rPr>
                <w:sz w:val="20"/>
                <w:szCs w:val="20"/>
              </w:rPr>
            </w:pPr>
            <w:r>
              <w:rPr>
                <w:rFonts w:ascii="MS PGothic" w:eastAsia="MS PGothic" w:hAnsi="MS PGothic" w:cs="MS PGothic"/>
                <w:sz w:val="18"/>
                <w:szCs w:val="18"/>
              </w:rPr>
              <w:t>☒</w:t>
            </w:r>
          </w:p>
        </w:tc>
        <w:tc>
          <w:tcPr>
            <w:tcW w:w="5100" w:type="dxa"/>
            <w:vAlign w:val="bottom"/>
          </w:tcPr>
          <w:p w:rsidR="000728AD" w:rsidRDefault="000561BE">
            <w:pPr>
              <w:ind w:left="2340"/>
              <w:rPr>
                <w:sz w:val="20"/>
                <w:szCs w:val="20"/>
              </w:rPr>
            </w:pPr>
            <w:r>
              <w:rPr>
                <w:rFonts w:ascii="Arial" w:eastAsia="Arial" w:hAnsi="Arial" w:cs="Arial"/>
                <w:sz w:val="18"/>
                <w:szCs w:val="18"/>
              </w:rPr>
              <w:t>Smaller reporting company</w:t>
            </w:r>
          </w:p>
        </w:tc>
        <w:tc>
          <w:tcPr>
            <w:tcW w:w="960" w:type="dxa"/>
            <w:vAlign w:val="bottom"/>
          </w:tcPr>
          <w:p w:rsidR="000728AD" w:rsidRDefault="000561BE">
            <w:pPr>
              <w:spacing w:line="181" w:lineRule="exact"/>
              <w:ind w:left="800"/>
              <w:rPr>
                <w:sz w:val="20"/>
                <w:szCs w:val="20"/>
              </w:rPr>
            </w:pPr>
            <w:r>
              <w:rPr>
                <w:rFonts w:ascii="MS PGothic" w:eastAsia="MS PGothic" w:hAnsi="MS PGothic" w:cs="MS PGothic"/>
                <w:w w:val="77"/>
                <w:sz w:val="18"/>
                <w:szCs w:val="18"/>
              </w:rPr>
              <w:t>☒</w:t>
            </w:r>
          </w:p>
        </w:tc>
      </w:tr>
      <w:tr w:rsidR="000728AD">
        <w:trPr>
          <w:trHeight w:val="283"/>
        </w:trPr>
        <w:tc>
          <w:tcPr>
            <w:tcW w:w="2060" w:type="dxa"/>
            <w:vAlign w:val="bottom"/>
          </w:tcPr>
          <w:p w:rsidR="000728AD" w:rsidRDefault="000728AD">
            <w:pPr>
              <w:rPr>
                <w:sz w:val="24"/>
                <w:szCs w:val="24"/>
              </w:rPr>
            </w:pPr>
          </w:p>
        </w:tc>
        <w:tc>
          <w:tcPr>
            <w:tcW w:w="2960" w:type="dxa"/>
            <w:vAlign w:val="bottom"/>
          </w:tcPr>
          <w:p w:rsidR="000728AD" w:rsidRDefault="000728AD">
            <w:pPr>
              <w:rPr>
                <w:sz w:val="24"/>
                <w:szCs w:val="24"/>
              </w:rPr>
            </w:pPr>
          </w:p>
        </w:tc>
        <w:tc>
          <w:tcPr>
            <w:tcW w:w="5100" w:type="dxa"/>
            <w:vAlign w:val="bottom"/>
          </w:tcPr>
          <w:p w:rsidR="000728AD" w:rsidRDefault="000561BE">
            <w:pPr>
              <w:ind w:left="2340"/>
              <w:rPr>
                <w:sz w:val="20"/>
                <w:szCs w:val="20"/>
              </w:rPr>
            </w:pPr>
            <w:r>
              <w:rPr>
                <w:rFonts w:ascii="Arial" w:eastAsia="Arial" w:hAnsi="Arial" w:cs="Arial"/>
                <w:sz w:val="18"/>
                <w:szCs w:val="18"/>
              </w:rPr>
              <w:t>Emerging growth company</w:t>
            </w:r>
          </w:p>
        </w:tc>
        <w:tc>
          <w:tcPr>
            <w:tcW w:w="960" w:type="dxa"/>
            <w:vAlign w:val="bottom"/>
          </w:tcPr>
          <w:p w:rsidR="000728AD" w:rsidRDefault="000561BE">
            <w:pPr>
              <w:spacing w:line="181" w:lineRule="exact"/>
              <w:ind w:left="800"/>
              <w:rPr>
                <w:sz w:val="20"/>
                <w:szCs w:val="20"/>
              </w:rPr>
            </w:pPr>
            <w:r>
              <w:rPr>
                <w:rFonts w:ascii="MS PGothic" w:eastAsia="MS PGothic" w:hAnsi="MS PGothic" w:cs="MS PGothic"/>
                <w:w w:val="77"/>
                <w:sz w:val="18"/>
                <w:szCs w:val="18"/>
              </w:rPr>
              <w:t>☒</w:t>
            </w:r>
          </w:p>
        </w:tc>
      </w:tr>
    </w:tbl>
    <w:p w:rsidR="000728AD" w:rsidRDefault="000728AD">
      <w:pPr>
        <w:spacing w:line="222" w:lineRule="exact"/>
        <w:rPr>
          <w:sz w:val="24"/>
          <w:szCs w:val="24"/>
        </w:rPr>
      </w:pPr>
    </w:p>
    <w:p w:rsidR="000728AD" w:rsidRDefault="000561BE">
      <w:pPr>
        <w:spacing w:line="233" w:lineRule="exact"/>
        <w:ind w:right="180"/>
        <w:rPr>
          <w:sz w:val="20"/>
          <w:szCs w:val="20"/>
        </w:rPr>
      </w:pPr>
      <w:r>
        <w:rPr>
          <w:rFonts w:ascii="Arial" w:eastAsia="Arial" w:hAnsi="Arial" w:cs="Arial"/>
          <w:sz w:val="18"/>
          <w:szCs w:val="18"/>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eastAsia="MS PGothic" w:hAnsi="MS PGothic" w:cs="MS PGothic"/>
          <w:sz w:val="18"/>
          <w:szCs w:val="18"/>
        </w:rPr>
        <w:t>☐</w:t>
      </w:r>
    </w:p>
    <w:p w:rsidR="000728AD" w:rsidRDefault="000728AD">
      <w:pPr>
        <w:spacing w:line="150" w:lineRule="exact"/>
        <w:rPr>
          <w:sz w:val="24"/>
          <w:szCs w:val="24"/>
        </w:rPr>
      </w:pPr>
    </w:p>
    <w:p w:rsidR="000728AD" w:rsidRDefault="000561BE">
      <w:pPr>
        <w:tabs>
          <w:tab w:val="left" w:pos="8340"/>
          <w:tab w:val="left" w:pos="9020"/>
        </w:tabs>
        <w:spacing w:line="207" w:lineRule="exact"/>
        <w:rPr>
          <w:sz w:val="20"/>
          <w:szCs w:val="20"/>
        </w:rPr>
      </w:pPr>
      <w:r>
        <w:rPr>
          <w:rFonts w:ascii="Arial" w:eastAsia="Arial" w:hAnsi="Arial" w:cs="Arial"/>
          <w:sz w:val="17"/>
          <w:szCs w:val="17"/>
        </w:rPr>
        <w:t>In</w:t>
      </w:r>
      <w:r>
        <w:rPr>
          <w:rFonts w:ascii="Arial" w:eastAsia="Arial" w:hAnsi="Arial" w:cs="Arial"/>
          <w:sz w:val="17"/>
          <w:szCs w:val="17"/>
        </w:rPr>
        <w:t>dicate by check mark whether the registrant is a shell company (as defined in Rule 12b-2 of the Exchange Act).</w:t>
      </w:r>
      <w:r>
        <w:rPr>
          <w:sz w:val="20"/>
          <w:szCs w:val="20"/>
        </w:rPr>
        <w:tab/>
      </w:r>
      <w:r>
        <w:rPr>
          <w:rFonts w:ascii="Arial" w:eastAsia="Arial" w:hAnsi="Arial" w:cs="Arial"/>
          <w:sz w:val="18"/>
          <w:szCs w:val="18"/>
        </w:rPr>
        <w:t xml:space="preserve">Yes </w:t>
      </w:r>
      <w:r>
        <w:rPr>
          <w:rFonts w:ascii="MS PGothic" w:eastAsia="MS PGothic" w:hAnsi="MS PGothic" w:cs="MS PGothic"/>
          <w:sz w:val="18"/>
          <w:szCs w:val="18"/>
        </w:rPr>
        <w:t>☐</w:t>
      </w:r>
      <w:r>
        <w:rPr>
          <w:rFonts w:ascii="Arial" w:eastAsia="Arial" w:hAnsi="Arial" w:cs="Arial"/>
          <w:sz w:val="18"/>
          <w:szCs w:val="18"/>
        </w:rPr>
        <w:tab/>
        <w:t xml:space="preserve">No </w:t>
      </w:r>
      <w:r>
        <w:rPr>
          <w:rFonts w:ascii="MS PGothic" w:eastAsia="MS PGothic" w:hAnsi="MS PGothic" w:cs="MS PGothic"/>
          <w:sz w:val="18"/>
          <w:szCs w:val="18"/>
        </w:rPr>
        <w:t>☒</w:t>
      </w:r>
    </w:p>
    <w:p w:rsidR="000728AD" w:rsidRDefault="000728AD">
      <w:pPr>
        <w:spacing w:line="258" w:lineRule="exact"/>
        <w:rPr>
          <w:sz w:val="24"/>
          <w:szCs w:val="24"/>
        </w:rPr>
      </w:pPr>
    </w:p>
    <w:p w:rsidR="000728AD" w:rsidRDefault="000561BE">
      <w:pPr>
        <w:rPr>
          <w:sz w:val="20"/>
          <w:szCs w:val="20"/>
        </w:rPr>
      </w:pPr>
      <w:r>
        <w:rPr>
          <w:rFonts w:ascii="Arial" w:eastAsia="Arial" w:hAnsi="Arial" w:cs="Arial"/>
          <w:sz w:val="18"/>
          <w:szCs w:val="18"/>
        </w:rPr>
        <w:t>As of July 23, 2021, the registrant had 38,177,972 shares of common stock, $0.001 par value per share, outstanding.</w:t>
      </w:r>
    </w:p>
    <w:p w:rsidR="000728AD" w:rsidRDefault="000561BE">
      <w:pPr>
        <w:spacing w:line="20" w:lineRule="exact"/>
        <w:rPr>
          <w:sz w:val="24"/>
          <w:szCs w:val="24"/>
        </w:rPr>
      </w:pPr>
      <w:r>
        <w:rPr>
          <w:noProof/>
          <w:sz w:val="24"/>
          <w:szCs w:val="24"/>
        </w:rPr>
        <w:drawing>
          <wp:anchor distT="0" distB="0" distL="114300" distR="114300" simplePos="0" relativeHeight="251598848" behindDoc="1" locked="0" layoutInCell="0" allowOverlap="1">
            <wp:simplePos x="0" y="0"/>
            <wp:positionH relativeFrom="column">
              <wp:posOffset>-6985</wp:posOffset>
            </wp:positionH>
            <wp:positionV relativeFrom="paragraph">
              <wp:posOffset>748030</wp:posOffset>
            </wp:positionV>
            <wp:extent cx="7157720" cy="42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r>
        <w:rPr>
          <w:noProof/>
          <w:sz w:val="24"/>
          <w:szCs w:val="24"/>
        </w:rPr>
        <w:drawing>
          <wp:anchor distT="0" distB="0" distL="114300" distR="114300" simplePos="0" relativeHeight="251599872" behindDoc="1" locked="0" layoutInCell="0" allowOverlap="1">
            <wp:simplePos x="0" y="0"/>
            <wp:positionH relativeFrom="column">
              <wp:posOffset>5080</wp:posOffset>
            </wp:positionH>
            <wp:positionV relativeFrom="paragraph">
              <wp:posOffset>366395</wp:posOffset>
            </wp:positionV>
            <wp:extent cx="7132320" cy="17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r>
        <w:rPr>
          <w:noProof/>
          <w:sz w:val="24"/>
          <w:szCs w:val="24"/>
        </w:rPr>
        <w:drawing>
          <wp:anchor distT="0" distB="0" distL="114300" distR="114300" simplePos="0" relativeHeight="251600896" behindDoc="1" locked="0" layoutInCell="0" allowOverlap="1">
            <wp:simplePos x="0" y="0"/>
            <wp:positionH relativeFrom="column">
              <wp:posOffset>5080</wp:posOffset>
            </wp:positionH>
            <wp:positionV relativeFrom="paragraph">
              <wp:posOffset>332105</wp:posOffset>
            </wp:positionV>
            <wp:extent cx="7132320" cy="17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r>
        <w:rPr>
          <w:noProof/>
          <w:sz w:val="24"/>
          <w:szCs w:val="24"/>
        </w:rPr>
        <w:drawing>
          <wp:anchor distT="0" distB="0" distL="114300" distR="114300" simplePos="0" relativeHeight="251601920" behindDoc="1" locked="0" layoutInCell="0" allowOverlap="1">
            <wp:simplePos x="0" y="0"/>
            <wp:positionH relativeFrom="column">
              <wp:posOffset>5080</wp:posOffset>
            </wp:positionH>
            <wp:positionV relativeFrom="paragraph">
              <wp:posOffset>168910</wp:posOffset>
            </wp:positionV>
            <wp:extent cx="7132320" cy="17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rsidR="000728AD" w:rsidRDefault="000728AD">
      <w:pPr>
        <w:sectPr w:rsidR="000728AD">
          <w:pgSz w:w="11900" w:h="16838"/>
          <w:pgMar w:top="233" w:right="319" w:bottom="1440" w:left="320" w:header="0" w:footer="0" w:gutter="0"/>
          <w:cols w:space="720" w:equalWidth="0">
            <w:col w:w="11260"/>
          </w:cols>
        </w:sectPr>
      </w:pPr>
    </w:p>
    <w:bookmarkStart w:id="2" w:name="page2"/>
    <w:bookmarkEnd w:id="2"/>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395" w:lineRule="exact"/>
        <w:rPr>
          <w:sz w:val="20"/>
          <w:szCs w:val="20"/>
        </w:rPr>
      </w:pPr>
    </w:p>
    <w:p w:rsidR="000728AD" w:rsidRDefault="000561BE">
      <w:pPr>
        <w:ind w:left="2520"/>
        <w:rPr>
          <w:sz w:val="20"/>
          <w:szCs w:val="20"/>
        </w:rPr>
      </w:pPr>
      <w:r>
        <w:rPr>
          <w:rFonts w:ascii="Arial" w:eastAsia="Arial" w:hAnsi="Arial" w:cs="Arial"/>
          <w:b/>
          <w:bCs/>
          <w:sz w:val="20"/>
          <w:szCs w:val="20"/>
        </w:rPr>
        <w:t>SPECIAL NOTE REGARDING FORWARD-LOOKING STATEMENTS</w:t>
      </w:r>
    </w:p>
    <w:p w:rsidR="000728AD" w:rsidRDefault="000728AD">
      <w:pPr>
        <w:spacing w:line="249" w:lineRule="exact"/>
        <w:rPr>
          <w:sz w:val="20"/>
          <w:szCs w:val="20"/>
        </w:rPr>
      </w:pPr>
    </w:p>
    <w:p w:rsidR="000728AD" w:rsidRDefault="000561BE">
      <w:pPr>
        <w:rPr>
          <w:sz w:val="20"/>
          <w:szCs w:val="20"/>
        </w:rPr>
      </w:pPr>
      <w:r>
        <w:rPr>
          <w:rFonts w:ascii="Arial" w:eastAsia="Arial" w:hAnsi="Arial" w:cs="Arial"/>
          <w:sz w:val="20"/>
          <w:szCs w:val="20"/>
        </w:rPr>
        <w:t>In this Quarterly Report on Form 10-Q, or Quarterly Report, we use the following defined terms:</w:t>
      </w:r>
    </w:p>
    <w:p w:rsidR="000728AD" w:rsidRDefault="000728AD">
      <w:pPr>
        <w:spacing w:line="243" w:lineRule="exact"/>
        <w:rPr>
          <w:sz w:val="20"/>
          <w:szCs w:val="20"/>
        </w:rPr>
      </w:pPr>
    </w:p>
    <w:p w:rsidR="000728AD" w:rsidRDefault="000561BE">
      <w:pPr>
        <w:ind w:left="660"/>
        <w:rPr>
          <w:sz w:val="20"/>
          <w:szCs w:val="20"/>
        </w:rPr>
      </w:pPr>
      <w:r>
        <w:rPr>
          <w:rFonts w:ascii="Arial" w:eastAsia="Arial" w:hAnsi="Arial" w:cs="Arial"/>
          <w:sz w:val="20"/>
          <w:szCs w:val="20"/>
        </w:rPr>
        <w:t xml:space="preserve">"product candidate" to refer to one </w:t>
      </w:r>
      <w:r>
        <w:rPr>
          <w:rFonts w:ascii="Arial" w:eastAsia="Arial" w:hAnsi="Arial" w:cs="Arial"/>
          <w:sz w:val="20"/>
          <w:szCs w:val="20"/>
        </w:rPr>
        <w:t>of our investigational product candidates.</w:t>
      </w:r>
    </w:p>
    <w:p w:rsidR="000728AD" w:rsidRDefault="000728AD">
      <w:pPr>
        <w:spacing w:line="216" w:lineRule="exact"/>
        <w:rPr>
          <w:sz w:val="20"/>
          <w:szCs w:val="20"/>
        </w:rPr>
      </w:pPr>
    </w:p>
    <w:p w:rsidR="000728AD" w:rsidRDefault="000561BE">
      <w:pPr>
        <w:ind w:left="660"/>
        <w:rPr>
          <w:sz w:val="20"/>
          <w:szCs w:val="20"/>
        </w:rPr>
      </w:pPr>
      <w:r>
        <w:rPr>
          <w:rFonts w:ascii="Arial" w:eastAsia="Arial" w:hAnsi="Arial" w:cs="Arial"/>
          <w:sz w:val="20"/>
          <w:szCs w:val="20"/>
        </w:rPr>
        <w:t>"development platform" to refer to our proprietary human-focused development platform.</w:t>
      </w:r>
    </w:p>
    <w:p w:rsidR="000728AD" w:rsidRDefault="000728AD">
      <w:pPr>
        <w:spacing w:line="216" w:lineRule="exact"/>
        <w:rPr>
          <w:sz w:val="20"/>
          <w:szCs w:val="20"/>
        </w:rPr>
      </w:pPr>
    </w:p>
    <w:p w:rsidR="000728AD" w:rsidRDefault="000561BE">
      <w:pPr>
        <w:ind w:left="660"/>
        <w:rPr>
          <w:sz w:val="20"/>
          <w:szCs w:val="20"/>
        </w:rPr>
      </w:pPr>
      <w:r>
        <w:rPr>
          <w:rFonts w:ascii="Arial" w:eastAsia="Arial" w:hAnsi="Arial" w:cs="Arial"/>
          <w:sz w:val="20"/>
          <w:szCs w:val="20"/>
        </w:rPr>
        <w:t>"dose" to refer to the exposure amount of a product candidate in Clinical Studies or Clinical Trials.</w:t>
      </w:r>
    </w:p>
    <w:p w:rsidR="000728AD" w:rsidRDefault="000728AD">
      <w:pPr>
        <w:spacing w:line="216" w:lineRule="exact"/>
        <w:rPr>
          <w:sz w:val="20"/>
          <w:szCs w:val="20"/>
        </w:rPr>
      </w:pPr>
    </w:p>
    <w:p w:rsidR="000728AD" w:rsidRDefault="000561BE">
      <w:pPr>
        <w:spacing w:line="260" w:lineRule="auto"/>
        <w:ind w:left="660" w:right="520"/>
        <w:rPr>
          <w:sz w:val="20"/>
          <w:szCs w:val="20"/>
        </w:rPr>
      </w:pPr>
      <w:r>
        <w:rPr>
          <w:rFonts w:ascii="Arial" w:eastAsia="Arial" w:hAnsi="Arial" w:cs="Arial"/>
          <w:sz w:val="20"/>
          <w:szCs w:val="20"/>
        </w:rPr>
        <w:t>"non-drug" to refer t</w:t>
      </w:r>
      <w:r>
        <w:rPr>
          <w:rFonts w:ascii="Arial" w:eastAsia="Arial" w:hAnsi="Arial" w:cs="Arial"/>
          <w:sz w:val="20"/>
          <w:szCs w:val="20"/>
        </w:rPr>
        <w:t>o a non-therapeutic use of a product candidate. Such use may be as a medical food, food product or dietary supplement.</w:t>
      </w:r>
    </w:p>
    <w:p w:rsidR="000728AD" w:rsidRDefault="000728AD">
      <w:pPr>
        <w:spacing w:line="177" w:lineRule="exact"/>
        <w:rPr>
          <w:sz w:val="20"/>
          <w:szCs w:val="20"/>
        </w:rPr>
      </w:pPr>
    </w:p>
    <w:p w:rsidR="000728AD" w:rsidRDefault="000561BE">
      <w:pPr>
        <w:spacing w:line="260" w:lineRule="auto"/>
        <w:ind w:left="660" w:right="1040"/>
        <w:rPr>
          <w:sz w:val="20"/>
          <w:szCs w:val="20"/>
        </w:rPr>
      </w:pPr>
      <w:r>
        <w:rPr>
          <w:rFonts w:ascii="Arial" w:eastAsia="Arial" w:hAnsi="Arial" w:cs="Arial"/>
          <w:sz w:val="20"/>
          <w:szCs w:val="20"/>
        </w:rPr>
        <w:t xml:space="preserve">"Clinical Trial" to refer to a human clinical study of a drug product candidate subject to the requirements for an effective </w:t>
      </w:r>
      <w:r>
        <w:rPr>
          <w:rFonts w:ascii="Arial" w:eastAsia="Arial" w:hAnsi="Arial" w:cs="Arial"/>
          <w:sz w:val="20"/>
          <w:szCs w:val="20"/>
        </w:rPr>
        <w:t>Investigational New Drug application, or an IND.</w:t>
      </w:r>
    </w:p>
    <w:p w:rsidR="000728AD" w:rsidRDefault="000728AD">
      <w:pPr>
        <w:spacing w:line="177" w:lineRule="exact"/>
        <w:rPr>
          <w:sz w:val="20"/>
          <w:szCs w:val="20"/>
        </w:rPr>
      </w:pPr>
    </w:p>
    <w:p w:rsidR="000728AD" w:rsidRDefault="000561BE">
      <w:pPr>
        <w:spacing w:line="313" w:lineRule="auto"/>
        <w:ind w:left="660" w:right="140"/>
        <w:rPr>
          <w:sz w:val="20"/>
          <w:szCs w:val="20"/>
        </w:rPr>
      </w:pPr>
      <w:r>
        <w:rPr>
          <w:rFonts w:ascii="Arial" w:eastAsia="Arial" w:hAnsi="Arial" w:cs="Arial"/>
          <w:sz w:val="16"/>
          <w:szCs w:val="16"/>
        </w:rPr>
        <w:t>"Clinical Study" to refer to Institutional Review Board-Approved, or IRB-Approved, clinical studies conducted in humans with our product candidates under U.S. Food and Drug Administration, or the FDA, regul</w:t>
      </w:r>
      <w:r>
        <w:rPr>
          <w:rFonts w:ascii="Arial" w:eastAsia="Arial" w:hAnsi="Arial" w:cs="Arial"/>
          <w:sz w:val="16"/>
          <w:szCs w:val="16"/>
        </w:rPr>
        <w:t>ations and guidance supporting research with food outside of an IND (prior to any decision to develop a product candidate as a drug product candidate under an IND or a non-drug product candidate). In these food studies, based on our understanding of FDA re</w:t>
      </w:r>
      <w:r>
        <w:rPr>
          <w:rFonts w:ascii="Arial" w:eastAsia="Arial" w:hAnsi="Arial" w:cs="Arial"/>
          <w:sz w:val="16"/>
          <w:szCs w:val="16"/>
        </w:rPr>
        <w:t>gulations and guidance, we evaluate in humans, including individuals with disease, a product candidate for safety, tolerability and effects on the normal structures and functions of the body. These studies are not designed or intended to evaluate a product</w:t>
      </w:r>
      <w:r>
        <w:rPr>
          <w:rFonts w:ascii="Arial" w:eastAsia="Arial" w:hAnsi="Arial" w:cs="Arial"/>
          <w:sz w:val="16"/>
          <w:szCs w:val="16"/>
        </w:rPr>
        <w:t xml:space="preserve"> candidate’s ability to diagnose, cure, mitigate, treat or prevent a disease as these would be evaluated in Clinical Trials if we decide to develop a product candidate as a drug or therapeutic.</w:t>
      </w:r>
    </w:p>
    <w:p w:rsidR="000728AD" w:rsidRDefault="000728AD">
      <w:pPr>
        <w:spacing w:line="143" w:lineRule="exact"/>
        <w:rPr>
          <w:sz w:val="20"/>
          <w:szCs w:val="20"/>
        </w:rPr>
      </w:pPr>
    </w:p>
    <w:p w:rsidR="000728AD" w:rsidRDefault="000561BE">
      <w:pPr>
        <w:spacing w:line="243" w:lineRule="auto"/>
        <w:ind w:right="40"/>
        <w:rPr>
          <w:sz w:val="20"/>
          <w:szCs w:val="20"/>
        </w:rPr>
      </w:pPr>
      <w:r>
        <w:rPr>
          <w:rFonts w:ascii="Arial" w:eastAsia="Arial" w:hAnsi="Arial" w:cs="Arial"/>
          <w:sz w:val="20"/>
          <w:szCs w:val="20"/>
        </w:rPr>
        <w:t xml:space="preserve">This Quarterly Report contains forward-looking </w:t>
      </w:r>
      <w:r>
        <w:rPr>
          <w:rFonts w:ascii="Arial" w:eastAsia="Arial" w:hAnsi="Arial" w:cs="Arial"/>
          <w:sz w:val="20"/>
          <w:szCs w:val="20"/>
        </w:rPr>
        <w:t xml:space="preserve">statements that involve risks and uncertainties. We make such forward-looking statements pursuant to the safe harbor provisions of the Private Securities Litigation Reform Act of 1995 and other federal securities laws. All statements other than statements </w:t>
      </w:r>
      <w:r>
        <w:rPr>
          <w:rFonts w:ascii="Arial" w:eastAsia="Arial" w:hAnsi="Arial" w:cs="Arial"/>
          <w:sz w:val="20"/>
          <w:szCs w:val="20"/>
        </w:rPr>
        <w:t>of historical facts contained in this Quarterly Report are forward-looking statements. In some cases, you can identify forward-looking statements by terminology such as “may”, “will”, “should”, “expects”, “intends”, “plans”, “anticipates”, “believes”, “est</w:t>
      </w:r>
      <w:r>
        <w:rPr>
          <w:rFonts w:ascii="Arial" w:eastAsia="Arial" w:hAnsi="Arial" w:cs="Arial"/>
          <w:sz w:val="20"/>
          <w:szCs w:val="20"/>
        </w:rPr>
        <w:t>imates”, “predicts”, “potential”, “continue” or the negative of these terms or other comparable terminology. These forward-looking statements include, but are not limited to, statements about:</w:t>
      </w:r>
    </w:p>
    <w:p w:rsidR="000728AD" w:rsidRDefault="000728AD">
      <w:pPr>
        <w:spacing w:line="196" w:lineRule="exact"/>
        <w:rPr>
          <w:sz w:val="20"/>
          <w:szCs w:val="20"/>
        </w:rPr>
      </w:pPr>
    </w:p>
    <w:p w:rsidR="000728AD" w:rsidRDefault="000561BE">
      <w:pPr>
        <w:numPr>
          <w:ilvl w:val="0"/>
          <w:numId w:val="3"/>
        </w:numPr>
        <w:tabs>
          <w:tab w:val="left" w:pos="640"/>
        </w:tabs>
        <w:ind w:left="640" w:hanging="308"/>
        <w:rPr>
          <w:rFonts w:ascii="Arial" w:eastAsia="Arial" w:hAnsi="Arial" w:cs="Arial"/>
          <w:sz w:val="20"/>
          <w:szCs w:val="20"/>
        </w:rPr>
      </w:pPr>
      <w:r>
        <w:rPr>
          <w:rFonts w:ascii="Arial" w:eastAsia="Arial" w:hAnsi="Arial" w:cs="Arial"/>
          <w:sz w:val="20"/>
          <w:szCs w:val="20"/>
        </w:rPr>
        <w:t>the benefits of our product candidates to health and/or diseas</w:t>
      </w:r>
      <w:r>
        <w:rPr>
          <w:rFonts w:ascii="Arial" w:eastAsia="Arial" w:hAnsi="Arial" w:cs="Arial"/>
          <w:sz w:val="20"/>
          <w:szCs w:val="20"/>
        </w:rPr>
        <w:t>e and their commercial potential;</w:t>
      </w:r>
    </w:p>
    <w:p w:rsidR="000728AD" w:rsidRDefault="000728AD">
      <w:pPr>
        <w:spacing w:line="215" w:lineRule="exact"/>
        <w:rPr>
          <w:rFonts w:ascii="Arial" w:eastAsia="Arial" w:hAnsi="Arial" w:cs="Arial"/>
          <w:sz w:val="20"/>
          <w:szCs w:val="20"/>
        </w:rPr>
      </w:pPr>
    </w:p>
    <w:p w:rsidR="000728AD" w:rsidRDefault="000561BE">
      <w:pPr>
        <w:numPr>
          <w:ilvl w:val="0"/>
          <w:numId w:val="3"/>
        </w:numPr>
        <w:tabs>
          <w:tab w:val="left" w:pos="648"/>
        </w:tabs>
        <w:spacing w:line="246" w:lineRule="auto"/>
        <w:ind w:left="660" w:hanging="328"/>
        <w:rPr>
          <w:rFonts w:ascii="Arial" w:eastAsia="Arial" w:hAnsi="Arial" w:cs="Arial"/>
          <w:sz w:val="20"/>
          <w:szCs w:val="20"/>
        </w:rPr>
      </w:pPr>
      <w:r>
        <w:rPr>
          <w:rFonts w:ascii="Arial" w:eastAsia="Arial" w:hAnsi="Arial" w:cs="Arial"/>
          <w:sz w:val="20"/>
          <w:szCs w:val="20"/>
        </w:rPr>
        <w:t>the success, cost and timing of our product development activities, including statements regarding the timing of initiation and completion of preclinical studies, Clinical Studies or Clinical Trials and related preparator</w:t>
      </w:r>
      <w:r>
        <w:rPr>
          <w:rFonts w:ascii="Arial" w:eastAsia="Arial" w:hAnsi="Arial" w:cs="Arial"/>
          <w:sz w:val="20"/>
          <w:szCs w:val="20"/>
        </w:rPr>
        <w:t>y work, and the timing of the availability of the results of these preclinical studies, Clinical Studies and Clinical Trials, including our ongoing Clinical Trials for AXA1665 and AXA1125;</w:t>
      </w:r>
    </w:p>
    <w:p w:rsidR="000728AD" w:rsidRDefault="000728AD">
      <w:pPr>
        <w:spacing w:line="191" w:lineRule="exact"/>
        <w:rPr>
          <w:rFonts w:ascii="Arial" w:eastAsia="Arial" w:hAnsi="Arial" w:cs="Arial"/>
          <w:sz w:val="20"/>
          <w:szCs w:val="20"/>
        </w:rPr>
      </w:pPr>
    </w:p>
    <w:p w:rsidR="000728AD" w:rsidRDefault="000561BE">
      <w:pPr>
        <w:numPr>
          <w:ilvl w:val="0"/>
          <w:numId w:val="3"/>
        </w:numPr>
        <w:tabs>
          <w:tab w:val="left" w:pos="640"/>
        </w:tabs>
        <w:ind w:left="640" w:hanging="308"/>
        <w:rPr>
          <w:rFonts w:ascii="Arial" w:eastAsia="Arial" w:hAnsi="Arial" w:cs="Arial"/>
          <w:sz w:val="20"/>
          <w:szCs w:val="20"/>
        </w:rPr>
      </w:pPr>
      <w:r>
        <w:rPr>
          <w:rFonts w:ascii="Arial" w:eastAsia="Arial" w:hAnsi="Arial" w:cs="Arial"/>
          <w:sz w:val="20"/>
          <w:szCs w:val="20"/>
        </w:rPr>
        <w:t>our ability to use our research platform to design new product can</w:t>
      </w:r>
      <w:r>
        <w:rPr>
          <w:rFonts w:ascii="Arial" w:eastAsia="Arial" w:hAnsi="Arial" w:cs="Arial"/>
          <w:sz w:val="20"/>
          <w:szCs w:val="20"/>
        </w:rPr>
        <w:t>didates with desirable biological activity;</w:t>
      </w:r>
    </w:p>
    <w:p w:rsidR="000728AD" w:rsidRDefault="000728AD">
      <w:pPr>
        <w:spacing w:line="215" w:lineRule="exact"/>
        <w:rPr>
          <w:rFonts w:ascii="Arial" w:eastAsia="Arial" w:hAnsi="Arial" w:cs="Arial"/>
          <w:sz w:val="20"/>
          <w:szCs w:val="20"/>
        </w:rPr>
      </w:pPr>
    </w:p>
    <w:p w:rsidR="000728AD" w:rsidRDefault="000561BE">
      <w:pPr>
        <w:numPr>
          <w:ilvl w:val="0"/>
          <w:numId w:val="3"/>
        </w:numPr>
        <w:tabs>
          <w:tab w:val="left" w:pos="648"/>
        </w:tabs>
        <w:spacing w:line="250" w:lineRule="auto"/>
        <w:ind w:left="660" w:right="260" w:hanging="328"/>
        <w:rPr>
          <w:rFonts w:ascii="Arial" w:eastAsia="Arial" w:hAnsi="Arial" w:cs="Arial"/>
          <w:sz w:val="20"/>
          <w:szCs w:val="20"/>
        </w:rPr>
      </w:pPr>
      <w:r>
        <w:rPr>
          <w:rFonts w:ascii="Arial" w:eastAsia="Arial" w:hAnsi="Arial" w:cs="Arial"/>
          <w:sz w:val="20"/>
          <w:szCs w:val="20"/>
        </w:rPr>
        <w:t>our ability to obtain and maintain regulatory approval or find alternate regulatory commercialization pathways from the FDA, the European Medicines Agency, or the EMA, and other comparable regulatory authorities</w:t>
      </w:r>
      <w:r>
        <w:rPr>
          <w:rFonts w:ascii="Arial" w:eastAsia="Arial" w:hAnsi="Arial" w:cs="Arial"/>
          <w:sz w:val="20"/>
          <w:szCs w:val="20"/>
        </w:rPr>
        <w:t xml:space="preserve"> for our product candidates, and any related restrictions, limitations or warnings in the label of an approved product candidate;</w:t>
      </w:r>
    </w:p>
    <w:p w:rsidR="000728AD" w:rsidRDefault="000728AD">
      <w:pPr>
        <w:spacing w:line="185" w:lineRule="exact"/>
        <w:rPr>
          <w:rFonts w:ascii="Arial" w:eastAsia="Arial" w:hAnsi="Arial" w:cs="Arial"/>
          <w:sz w:val="20"/>
          <w:szCs w:val="20"/>
        </w:rPr>
      </w:pPr>
    </w:p>
    <w:p w:rsidR="000728AD" w:rsidRDefault="000561BE">
      <w:pPr>
        <w:numPr>
          <w:ilvl w:val="0"/>
          <w:numId w:val="3"/>
        </w:numPr>
        <w:tabs>
          <w:tab w:val="left" w:pos="648"/>
        </w:tabs>
        <w:spacing w:line="250" w:lineRule="auto"/>
        <w:ind w:left="660" w:right="220" w:hanging="328"/>
        <w:rPr>
          <w:rFonts w:ascii="Arial" w:eastAsia="Arial" w:hAnsi="Arial" w:cs="Arial"/>
          <w:sz w:val="20"/>
          <w:szCs w:val="20"/>
        </w:rPr>
      </w:pPr>
      <w:r>
        <w:rPr>
          <w:rFonts w:ascii="Arial" w:eastAsia="Arial" w:hAnsi="Arial" w:cs="Arial"/>
          <w:sz w:val="20"/>
          <w:szCs w:val="20"/>
        </w:rPr>
        <w:t xml:space="preserve">the financing needs and sufficiency of our funds to support company operations and business plans through certain periods of </w:t>
      </w:r>
      <w:r>
        <w:rPr>
          <w:rFonts w:ascii="Arial" w:eastAsia="Arial" w:hAnsi="Arial" w:cs="Arial"/>
          <w:sz w:val="20"/>
          <w:szCs w:val="20"/>
        </w:rPr>
        <w:t>time, including funding necessary to complete further development of our product candidates, and, if successful, commercialization of these candidates as drug or non-drug products;</w:t>
      </w:r>
    </w:p>
    <w:p w:rsidR="000728AD" w:rsidRDefault="000728AD">
      <w:pPr>
        <w:spacing w:line="185" w:lineRule="exact"/>
        <w:rPr>
          <w:rFonts w:ascii="Arial" w:eastAsia="Arial" w:hAnsi="Arial" w:cs="Arial"/>
          <w:sz w:val="20"/>
          <w:szCs w:val="20"/>
        </w:rPr>
      </w:pPr>
    </w:p>
    <w:p w:rsidR="000728AD" w:rsidRDefault="000561BE">
      <w:pPr>
        <w:numPr>
          <w:ilvl w:val="0"/>
          <w:numId w:val="3"/>
        </w:numPr>
        <w:tabs>
          <w:tab w:val="left" w:pos="648"/>
        </w:tabs>
        <w:spacing w:line="260" w:lineRule="auto"/>
        <w:ind w:left="660" w:right="40" w:hanging="328"/>
        <w:rPr>
          <w:rFonts w:ascii="Arial" w:eastAsia="Arial" w:hAnsi="Arial" w:cs="Arial"/>
          <w:sz w:val="20"/>
          <w:szCs w:val="20"/>
        </w:rPr>
      </w:pPr>
      <w:r>
        <w:rPr>
          <w:rFonts w:ascii="Arial" w:eastAsia="Arial" w:hAnsi="Arial" w:cs="Arial"/>
          <w:sz w:val="20"/>
          <w:szCs w:val="20"/>
        </w:rPr>
        <w:t>our expectations regarding our ability to obtain and maintain intellectual</w:t>
      </w:r>
      <w:r>
        <w:rPr>
          <w:rFonts w:ascii="Arial" w:eastAsia="Arial" w:hAnsi="Arial" w:cs="Arial"/>
          <w:sz w:val="20"/>
          <w:szCs w:val="20"/>
        </w:rPr>
        <w:t xml:space="preserve"> property protection for our product candidates, development platform and the type of such protection;</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19" w:lineRule="exact"/>
        <w:rPr>
          <w:sz w:val="20"/>
          <w:szCs w:val="20"/>
        </w:rPr>
      </w:pPr>
    </w:p>
    <w:p w:rsidR="000728AD" w:rsidRDefault="000561BE">
      <w:pPr>
        <w:ind w:right="-19"/>
        <w:jc w:val="center"/>
        <w:rPr>
          <w:sz w:val="20"/>
          <w:szCs w:val="20"/>
        </w:rPr>
      </w:pPr>
      <w:r>
        <w:rPr>
          <w:rFonts w:ascii="Arial" w:eastAsia="Arial" w:hAnsi="Arial" w:cs="Arial"/>
          <w:sz w:val="18"/>
          <w:szCs w:val="18"/>
        </w:rPr>
        <w:t>2</w:t>
      </w:r>
    </w:p>
    <w:p w:rsidR="000728AD" w:rsidRDefault="000561BE">
      <w:pPr>
        <w:spacing w:line="20" w:lineRule="exact"/>
        <w:rPr>
          <w:sz w:val="20"/>
          <w:szCs w:val="20"/>
        </w:rPr>
      </w:pPr>
      <w:r>
        <w:rPr>
          <w:noProof/>
          <w:sz w:val="20"/>
          <w:szCs w:val="20"/>
        </w:rPr>
        <w:drawing>
          <wp:anchor distT="0" distB="0" distL="114300" distR="114300" simplePos="0" relativeHeight="251602944"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3" w:name="page3"/>
    <w:bookmarkEnd w:id="3"/>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numPr>
          <w:ilvl w:val="0"/>
          <w:numId w:val="4"/>
        </w:numPr>
        <w:tabs>
          <w:tab w:val="left" w:pos="648"/>
        </w:tabs>
        <w:spacing w:line="260" w:lineRule="auto"/>
        <w:ind w:left="660" w:right="420" w:hanging="328"/>
        <w:rPr>
          <w:rFonts w:ascii="Arial" w:eastAsia="Arial" w:hAnsi="Arial" w:cs="Arial"/>
          <w:sz w:val="20"/>
          <w:szCs w:val="20"/>
        </w:rPr>
      </w:pPr>
      <w:r>
        <w:rPr>
          <w:rFonts w:ascii="Arial" w:eastAsia="Arial" w:hAnsi="Arial" w:cs="Arial"/>
          <w:sz w:val="20"/>
          <w:szCs w:val="20"/>
        </w:rPr>
        <w:t xml:space="preserve">our ability to successfully manufacture our product candidates for </w:t>
      </w:r>
      <w:r>
        <w:rPr>
          <w:rFonts w:ascii="Arial" w:eastAsia="Arial" w:hAnsi="Arial" w:cs="Arial"/>
          <w:sz w:val="20"/>
          <w:szCs w:val="20"/>
        </w:rPr>
        <w:t>preclinical studies, Clinical Studies and Clinical Trials and for commercial use, if approved;</w:t>
      </w:r>
    </w:p>
    <w:p w:rsidR="000728AD" w:rsidRDefault="000728AD">
      <w:pPr>
        <w:spacing w:line="176" w:lineRule="exact"/>
        <w:rPr>
          <w:rFonts w:ascii="Arial" w:eastAsia="Arial" w:hAnsi="Arial" w:cs="Arial"/>
          <w:sz w:val="20"/>
          <w:szCs w:val="20"/>
        </w:rPr>
      </w:pPr>
    </w:p>
    <w:p w:rsidR="000728AD" w:rsidRDefault="000561BE">
      <w:pPr>
        <w:numPr>
          <w:ilvl w:val="0"/>
          <w:numId w:val="4"/>
        </w:numPr>
        <w:tabs>
          <w:tab w:val="left" w:pos="648"/>
        </w:tabs>
        <w:spacing w:line="260" w:lineRule="auto"/>
        <w:ind w:left="660" w:right="540" w:hanging="328"/>
        <w:rPr>
          <w:rFonts w:ascii="Arial" w:eastAsia="Arial" w:hAnsi="Arial" w:cs="Arial"/>
          <w:sz w:val="20"/>
          <w:szCs w:val="20"/>
        </w:rPr>
      </w:pPr>
      <w:r>
        <w:rPr>
          <w:rFonts w:ascii="Arial" w:eastAsia="Arial" w:hAnsi="Arial" w:cs="Arial"/>
          <w:sz w:val="20"/>
          <w:szCs w:val="20"/>
        </w:rPr>
        <w:t>the size and growth potential of the markets for our product candidates and our ability to serve those markets, either alone or in combination with others;</w:t>
      </w:r>
    </w:p>
    <w:p w:rsidR="000728AD" w:rsidRDefault="000728AD">
      <w:pPr>
        <w:spacing w:line="176" w:lineRule="exact"/>
        <w:rPr>
          <w:rFonts w:ascii="Arial" w:eastAsia="Arial" w:hAnsi="Arial" w:cs="Arial"/>
          <w:sz w:val="20"/>
          <w:szCs w:val="20"/>
        </w:rPr>
      </w:pPr>
    </w:p>
    <w:p w:rsidR="000728AD" w:rsidRDefault="000561BE">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the</w:t>
      </w:r>
      <w:r>
        <w:rPr>
          <w:rFonts w:ascii="Arial" w:eastAsia="Arial" w:hAnsi="Arial" w:cs="Arial"/>
          <w:sz w:val="20"/>
          <w:szCs w:val="20"/>
        </w:rPr>
        <w:t xml:space="preserve"> rate and degree of market acceptance of our product candidates, if approved;</w:t>
      </w:r>
    </w:p>
    <w:p w:rsidR="000728AD" w:rsidRDefault="000728AD">
      <w:pPr>
        <w:spacing w:line="215" w:lineRule="exact"/>
        <w:rPr>
          <w:rFonts w:ascii="Arial" w:eastAsia="Arial" w:hAnsi="Arial" w:cs="Arial"/>
          <w:sz w:val="20"/>
          <w:szCs w:val="20"/>
        </w:rPr>
      </w:pPr>
    </w:p>
    <w:p w:rsidR="000728AD" w:rsidRDefault="000561BE">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regulatory developments in the United States and foreign countries;</w:t>
      </w:r>
    </w:p>
    <w:p w:rsidR="000728AD" w:rsidRDefault="000728AD">
      <w:pPr>
        <w:spacing w:line="215" w:lineRule="exact"/>
        <w:rPr>
          <w:rFonts w:ascii="Arial" w:eastAsia="Arial" w:hAnsi="Arial" w:cs="Arial"/>
          <w:sz w:val="20"/>
          <w:szCs w:val="20"/>
        </w:rPr>
      </w:pPr>
    </w:p>
    <w:p w:rsidR="000728AD" w:rsidRDefault="000561BE">
      <w:pPr>
        <w:numPr>
          <w:ilvl w:val="0"/>
          <w:numId w:val="4"/>
        </w:numPr>
        <w:tabs>
          <w:tab w:val="left" w:pos="648"/>
        </w:tabs>
        <w:spacing w:line="260" w:lineRule="auto"/>
        <w:ind w:left="660" w:right="40" w:hanging="328"/>
        <w:rPr>
          <w:rFonts w:ascii="Arial" w:eastAsia="Arial" w:hAnsi="Arial" w:cs="Arial"/>
          <w:sz w:val="20"/>
          <w:szCs w:val="20"/>
        </w:rPr>
      </w:pPr>
      <w:r>
        <w:rPr>
          <w:rFonts w:ascii="Arial" w:eastAsia="Arial" w:hAnsi="Arial" w:cs="Arial"/>
          <w:sz w:val="20"/>
          <w:szCs w:val="20"/>
        </w:rPr>
        <w:t xml:space="preserve">our ability to enter into a collaboration, partnership, or other agreement with a third party on </w:t>
      </w:r>
      <w:r>
        <w:rPr>
          <w:rFonts w:ascii="Arial" w:eastAsia="Arial" w:hAnsi="Arial" w:cs="Arial"/>
          <w:sz w:val="20"/>
          <w:szCs w:val="20"/>
        </w:rPr>
        <w:t>reasonable terms or at all to develop one or more product candidates or commercialize any of our product candidates, if approved;</w:t>
      </w:r>
    </w:p>
    <w:p w:rsidR="000728AD" w:rsidRDefault="000728AD">
      <w:pPr>
        <w:spacing w:line="176" w:lineRule="exact"/>
        <w:rPr>
          <w:rFonts w:ascii="Arial" w:eastAsia="Arial" w:hAnsi="Arial" w:cs="Arial"/>
          <w:sz w:val="20"/>
          <w:szCs w:val="20"/>
        </w:rPr>
      </w:pPr>
    </w:p>
    <w:p w:rsidR="000728AD" w:rsidRDefault="000561BE">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our ability to secure sufficient manufacturing and supply chain capacity;</w:t>
      </w:r>
    </w:p>
    <w:p w:rsidR="000728AD" w:rsidRDefault="000728AD">
      <w:pPr>
        <w:spacing w:line="215" w:lineRule="exact"/>
        <w:rPr>
          <w:rFonts w:ascii="Arial" w:eastAsia="Arial" w:hAnsi="Arial" w:cs="Arial"/>
          <w:sz w:val="20"/>
          <w:szCs w:val="20"/>
        </w:rPr>
      </w:pPr>
    </w:p>
    <w:p w:rsidR="000728AD" w:rsidRDefault="000561BE">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the success of competing products or therapies tha</w:t>
      </w:r>
      <w:r>
        <w:rPr>
          <w:rFonts w:ascii="Arial" w:eastAsia="Arial" w:hAnsi="Arial" w:cs="Arial"/>
          <w:sz w:val="20"/>
          <w:szCs w:val="20"/>
        </w:rPr>
        <w:t>t are or may become available;</w:t>
      </w:r>
    </w:p>
    <w:p w:rsidR="000728AD" w:rsidRDefault="000728AD">
      <w:pPr>
        <w:spacing w:line="215" w:lineRule="exact"/>
        <w:rPr>
          <w:rFonts w:ascii="Arial" w:eastAsia="Arial" w:hAnsi="Arial" w:cs="Arial"/>
          <w:sz w:val="20"/>
          <w:szCs w:val="20"/>
        </w:rPr>
      </w:pPr>
    </w:p>
    <w:p w:rsidR="000728AD" w:rsidRDefault="000561BE">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our ability to attract and retain key scientific, management or other necessary personnel;</w:t>
      </w:r>
    </w:p>
    <w:p w:rsidR="000728AD" w:rsidRDefault="000728AD">
      <w:pPr>
        <w:spacing w:line="215" w:lineRule="exact"/>
        <w:rPr>
          <w:rFonts w:ascii="Arial" w:eastAsia="Arial" w:hAnsi="Arial" w:cs="Arial"/>
          <w:sz w:val="20"/>
          <w:szCs w:val="20"/>
        </w:rPr>
      </w:pPr>
    </w:p>
    <w:p w:rsidR="000728AD" w:rsidRDefault="000561BE">
      <w:pPr>
        <w:numPr>
          <w:ilvl w:val="0"/>
          <w:numId w:val="4"/>
        </w:numPr>
        <w:tabs>
          <w:tab w:val="left" w:pos="648"/>
        </w:tabs>
        <w:spacing w:line="260" w:lineRule="auto"/>
        <w:ind w:left="660" w:right="280" w:hanging="328"/>
        <w:rPr>
          <w:rFonts w:ascii="Arial" w:eastAsia="Arial" w:hAnsi="Arial" w:cs="Arial"/>
          <w:sz w:val="20"/>
          <w:szCs w:val="20"/>
        </w:rPr>
      </w:pPr>
      <w:r>
        <w:rPr>
          <w:rFonts w:ascii="Arial" w:eastAsia="Arial" w:hAnsi="Arial" w:cs="Arial"/>
          <w:sz w:val="20"/>
          <w:szCs w:val="20"/>
        </w:rPr>
        <w:t xml:space="preserve">our estimates regarding expenses for both product development and as a public company, future revenue, capital </w:t>
      </w:r>
      <w:r>
        <w:rPr>
          <w:rFonts w:ascii="Arial" w:eastAsia="Arial" w:hAnsi="Arial" w:cs="Arial"/>
          <w:sz w:val="20"/>
          <w:szCs w:val="20"/>
        </w:rPr>
        <w:t>requirements and needs for additional financing;</w:t>
      </w:r>
    </w:p>
    <w:p w:rsidR="000728AD" w:rsidRDefault="000728AD">
      <w:pPr>
        <w:spacing w:line="176" w:lineRule="exact"/>
        <w:rPr>
          <w:rFonts w:ascii="Arial" w:eastAsia="Arial" w:hAnsi="Arial" w:cs="Arial"/>
          <w:sz w:val="20"/>
          <w:szCs w:val="20"/>
        </w:rPr>
      </w:pPr>
    </w:p>
    <w:p w:rsidR="000728AD" w:rsidRDefault="000561BE">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the potential for faults in our internal controls;</w:t>
      </w:r>
    </w:p>
    <w:p w:rsidR="000728AD" w:rsidRDefault="000728AD">
      <w:pPr>
        <w:spacing w:line="215" w:lineRule="exact"/>
        <w:rPr>
          <w:rFonts w:ascii="Arial" w:eastAsia="Arial" w:hAnsi="Arial" w:cs="Arial"/>
          <w:sz w:val="20"/>
          <w:szCs w:val="20"/>
        </w:rPr>
      </w:pPr>
    </w:p>
    <w:p w:rsidR="000728AD" w:rsidRDefault="000561BE">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the effect of the COVID-19 pandemic on any of the foregoing; and</w:t>
      </w:r>
    </w:p>
    <w:p w:rsidR="000728AD" w:rsidRDefault="000728AD">
      <w:pPr>
        <w:spacing w:line="215" w:lineRule="exact"/>
        <w:rPr>
          <w:rFonts w:ascii="Arial" w:eastAsia="Arial" w:hAnsi="Arial" w:cs="Arial"/>
          <w:sz w:val="20"/>
          <w:szCs w:val="20"/>
        </w:rPr>
      </w:pPr>
    </w:p>
    <w:p w:rsidR="000728AD" w:rsidRDefault="000561BE">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other risks and uncertainties, including those discussed in Part II, Item 1A, Risk Facto</w:t>
      </w:r>
      <w:r>
        <w:rPr>
          <w:rFonts w:ascii="Arial" w:eastAsia="Arial" w:hAnsi="Arial" w:cs="Arial"/>
          <w:sz w:val="20"/>
          <w:szCs w:val="20"/>
        </w:rPr>
        <w:t>rs in this Quarterly Report.</w:t>
      </w:r>
    </w:p>
    <w:p w:rsidR="000728AD" w:rsidRDefault="000728AD">
      <w:pPr>
        <w:spacing w:line="216" w:lineRule="exact"/>
        <w:rPr>
          <w:sz w:val="20"/>
          <w:szCs w:val="20"/>
        </w:rPr>
      </w:pPr>
    </w:p>
    <w:p w:rsidR="000728AD" w:rsidRDefault="000561BE">
      <w:pPr>
        <w:spacing w:line="274" w:lineRule="auto"/>
        <w:ind w:right="60"/>
        <w:rPr>
          <w:sz w:val="20"/>
          <w:szCs w:val="20"/>
        </w:rPr>
      </w:pPr>
      <w:r>
        <w:rPr>
          <w:rFonts w:ascii="Arial" w:eastAsia="Arial" w:hAnsi="Arial" w:cs="Arial"/>
          <w:sz w:val="18"/>
          <w:szCs w:val="18"/>
        </w:rPr>
        <w:t>Any forward-looking statements in this Quarterly Report reflect our current views with respect to future events and with respect to our future financial performance, and involve known and unknown risks, uncertainties and other</w:t>
      </w:r>
      <w:r>
        <w:rPr>
          <w:rFonts w:ascii="Arial" w:eastAsia="Arial" w:hAnsi="Arial" w:cs="Arial"/>
          <w:sz w:val="18"/>
          <w:szCs w:val="18"/>
        </w:rPr>
        <w:t xml:space="preserve"> factors that may cause our actual results, performance or achievements to be materially different from any future results, performance or achievements expressed or implied by these forward-looking statements. Factors that may cause actual results to diffe</w:t>
      </w:r>
      <w:r>
        <w:rPr>
          <w:rFonts w:ascii="Arial" w:eastAsia="Arial" w:hAnsi="Arial" w:cs="Arial"/>
          <w:sz w:val="18"/>
          <w:szCs w:val="18"/>
        </w:rPr>
        <w:t>r materially from current expectations include, among other things, those described under Part II, Item 1A, Risk Factors and elsewhere in this Quarterly Report. Given these uncertainties, you should not place undue reliance on these forward-looking stateme</w:t>
      </w:r>
      <w:r>
        <w:rPr>
          <w:rFonts w:ascii="Arial" w:eastAsia="Arial" w:hAnsi="Arial" w:cs="Arial"/>
          <w:sz w:val="18"/>
          <w:szCs w:val="18"/>
        </w:rPr>
        <w:t>nts. Except as required by law, we assume no obligation to update or revise these forward-looking statements for any reason, even if new information becomes available in the future.</w:t>
      </w:r>
    </w:p>
    <w:p w:rsidR="000728AD" w:rsidRDefault="000728AD">
      <w:pPr>
        <w:spacing w:line="168" w:lineRule="exact"/>
        <w:rPr>
          <w:sz w:val="20"/>
          <w:szCs w:val="20"/>
        </w:rPr>
      </w:pPr>
    </w:p>
    <w:p w:rsidR="000728AD" w:rsidRDefault="000561BE">
      <w:pPr>
        <w:spacing w:line="273" w:lineRule="auto"/>
        <w:rPr>
          <w:sz w:val="20"/>
          <w:szCs w:val="20"/>
        </w:rPr>
      </w:pPr>
      <w:r>
        <w:rPr>
          <w:rFonts w:ascii="Arial" w:eastAsia="Arial" w:hAnsi="Arial" w:cs="Arial"/>
          <w:sz w:val="18"/>
          <w:szCs w:val="18"/>
        </w:rPr>
        <w:t xml:space="preserve">We may from time to time provide estimates, projections and other </w:t>
      </w:r>
      <w:r>
        <w:rPr>
          <w:rFonts w:ascii="Arial" w:eastAsia="Arial" w:hAnsi="Arial" w:cs="Arial"/>
          <w:sz w:val="18"/>
          <w:szCs w:val="18"/>
        </w:rPr>
        <w:t>information concerning our industry, the general business environment, and the markets for certain diseases, including estimates regarding the potential size of those markets and the estimated incidence and prevalence of certain medical conditions. Informa</w:t>
      </w:r>
      <w:r>
        <w:rPr>
          <w:rFonts w:ascii="Arial" w:eastAsia="Arial" w:hAnsi="Arial" w:cs="Arial"/>
          <w:sz w:val="18"/>
          <w:szCs w:val="18"/>
        </w:rPr>
        <w:t>tion that is based on estimates, forecasts, projections, market research or similar methodologies is inherently subject to uncertainties, and actual events, circumstances or numbers, including actual disease prevalence rates and market size, may differ mat</w:t>
      </w:r>
      <w:r>
        <w:rPr>
          <w:rFonts w:ascii="Arial" w:eastAsia="Arial" w:hAnsi="Arial" w:cs="Arial"/>
          <w:sz w:val="18"/>
          <w:szCs w:val="18"/>
        </w:rPr>
        <w:t>erially from the information reflected in this Quarterly Report. Unless otherwise expressly stated, we obtained this industry, business information, market data, prevalence information and other data from reports, research surveys, studies and similar data</w:t>
      </w:r>
      <w:r>
        <w:rPr>
          <w:rFonts w:ascii="Arial" w:eastAsia="Arial" w:hAnsi="Arial" w:cs="Arial"/>
          <w:sz w:val="18"/>
          <w:szCs w:val="18"/>
        </w:rPr>
        <w:t xml:space="preserve"> prepared by market research firms and other third parties, industry, medical and general publications, government data, and similar sources, in some cases applying our own assumptions and analysis that may, in the future, prove not to have been accurate.</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11" w:lineRule="exact"/>
        <w:rPr>
          <w:sz w:val="20"/>
          <w:szCs w:val="20"/>
        </w:rPr>
      </w:pPr>
    </w:p>
    <w:p w:rsidR="000728AD" w:rsidRDefault="000561BE">
      <w:pPr>
        <w:ind w:right="-19"/>
        <w:jc w:val="center"/>
        <w:rPr>
          <w:sz w:val="20"/>
          <w:szCs w:val="20"/>
        </w:rPr>
      </w:pPr>
      <w:r>
        <w:rPr>
          <w:rFonts w:ascii="Arial" w:eastAsia="Arial" w:hAnsi="Arial" w:cs="Arial"/>
          <w:sz w:val="18"/>
          <w:szCs w:val="18"/>
        </w:rPr>
        <w:t>3</w:t>
      </w:r>
    </w:p>
    <w:p w:rsidR="000728AD" w:rsidRDefault="000561BE">
      <w:pPr>
        <w:spacing w:line="20" w:lineRule="exact"/>
        <w:rPr>
          <w:sz w:val="20"/>
          <w:szCs w:val="20"/>
        </w:rPr>
      </w:pPr>
      <w:r>
        <w:rPr>
          <w:noProof/>
          <w:sz w:val="20"/>
          <w:szCs w:val="20"/>
        </w:rPr>
        <w:drawing>
          <wp:anchor distT="0" distB="0" distL="114300" distR="114300" simplePos="0" relativeHeight="251603968"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4" w:name="page4"/>
    <w:bookmarkEnd w:id="4"/>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395" w:lineRule="exact"/>
        <w:rPr>
          <w:sz w:val="20"/>
          <w:szCs w:val="20"/>
        </w:rPr>
      </w:pPr>
    </w:p>
    <w:p w:rsidR="000728AD" w:rsidRDefault="000561BE">
      <w:pPr>
        <w:jc w:val="center"/>
        <w:rPr>
          <w:sz w:val="20"/>
          <w:szCs w:val="20"/>
        </w:rPr>
      </w:pPr>
      <w:r>
        <w:rPr>
          <w:rFonts w:ascii="Arial" w:eastAsia="Arial" w:hAnsi="Arial" w:cs="Arial"/>
          <w:b/>
          <w:bCs/>
          <w:sz w:val="20"/>
          <w:szCs w:val="20"/>
        </w:rPr>
        <w:t>AXCELLA HEALTH INC.</w:t>
      </w:r>
    </w:p>
    <w:p w:rsidR="000728AD" w:rsidRDefault="000728AD">
      <w:pPr>
        <w:spacing w:line="21" w:lineRule="exact"/>
        <w:rPr>
          <w:sz w:val="20"/>
          <w:szCs w:val="20"/>
        </w:rPr>
      </w:pPr>
    </w:p>
    <w:p w:rsidR="000728AD" w:rsidRDefault="000561BE">
      <w:pPr>
        <w:jc w:val="center"/>
        <w:rPr>
          <w:sz w:val="20"/>
          <w:szCs w:val="20"/>
        </w:rPr>
      </w:pPr>
      <w:r>
        <w:rPr>
          <w:rFonts w:ascii="Arial" w:eastAsia="Arial" w:hAnsi="Arial" w:cs="Arial"/>
          <w:b/>
          <w:bCs/>
          <w:sz w:val="20"/>
          <w:szCs w:val="20"/>
        </w:rPr>
        <w:t>FORM 10-Q</w:t>
      </w:r>
    </w:p>
    <w:p w:rsidR="000728AD" w:rsidRDefault="000561BE">
      <w:pPr>
        <w:jc w:val="center"/>
        <w:rPr>
          <w:sz w:val="20"/>
          <w:szCs w:val="20"/>
        </w:rPr>
      </w:pPr>
      <w:r>
        <w:rPr>
          <w:rFonts w:ascii="Arial" w:eastAsia="Arial" w:hAnsi="Arial" w:cs="Arial"/>
          <w:b/>
          <w:bCs/>
          <w:sz w:val="20"/>
          <w:szCs w:val="20"/>
        </w:rPr>
        <w:t>TABLE OF CONTENTS</w:t>
      </w:r>
    </w:p>
    <w:p w:rsidR="000728AD" w:rsidRDefault="000728AD">
      <w:pPr>
        <w:spacing w:line="1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0"/>
        <w:gridCol w:w="400"/>
        <w:gridCol w:w="880"/>
        <w:gridCol w:w="80"/>
        <w:gridCol w:w="520"/>
        <w:gridCol w:w="320"/>
        <w:gridCol w:w="40"/>
        <w:gridCol w:w="520"/>
        <w:gridCol w:w="660"/>
        <w:gridCol w:w="380"/>
        <w:gridCol w:w="120"/>
        <w:gridCol w:w="100"/>
        <w:gridCol w:w="840"/>
        <w:gridCol w:w="920"/>
        <w:gridCol w:w="80"/>
        <w:gridCol w:w="280"/>
        <w:gridCol w:w="320"/>
        <w:gridCol w:w="560"/>
        <w:gridCol w:w="80"/>
        <w:gridCol w:w="220"/>
        <w:gridCol w:w="1040"/>
        <w:gridCol w:w="1760"/>
        <w:gridCol w:w="380"/>
        <w:gridCol w:w="40"/>
        <w:gridCol w:w="60"/>
        <w:gridCol w:w="100"/>
        <w:gridCol w:w="60"/>
        <w:gridCol w:w="60"/>
        <w:gridCol w:w="360"/>
        <w:gridCol w:w="20"/>
      </w:tblGrid>
      <w:tr w:rsidR="000728AD">
        <w:trPr>
          <w:trHeight w:val="274"/>
        </w:trPr>
        <w:tc>
          <w:tcPr>
            <w:tcW w:w="20" w:type="dxa"/>
            <w:vAlign w:val="bottom"/>
          </w:tcPr>
          <w:p w:rsidR="000728AD" w:rsidRDefault="000728AD">
            <w:pPr>
              <w:rPr>
                <w:sz w:val="23"/>
                <w:szCs w:val="23"/>
              </w:rPr>
            </w:pPr>
          </w:p>
        </w:tc>
        <w:tc>
          <w:tcPr>
            <w:tcW w:w="40" w:type="dxa"/>
            <w:vAlign w:val="bottom"/>
          </w:tcPr>
          <w:p w:rsidR="000728AD" w:rsidRDefault="000728AD">
            <w:pPr>
              <w:rPr>
                <w:sz w:val="23"/>
                <w:szCs w:val="23"/>
              </w:rPr>
            </w:pPr>
          </w:p>
        </w:tc>
        <w:tc>
          <w:tcPr>
            <w:tcW w:w="400" w:type="dxa"/>
            <w:vAlign w:val="bottom"/>
          </w:tcPr>
          <w:p w:rsidR="000728AD" w:rsidRDefault="000728AD">
            <w:pPr>
              <w:rPr>
                <w:sz w:val="23"/>
                <w:szCs w:val="23"/>
              </w:rPr>
            </w:pPr>
          </w:p>
        </w:tc>
        <w:tc>
          <w:tcPr>
            <w:tcW w:w="880" w:type="dxa"/>
            <w:vAlign w:val="bottom"/>
          </w:tcPr>
          <w:p w:rsidR="000728AD" w:rsidRDefault="000728AD">
            <w:pPr>
              <w:rPr>
                <w:sz w:val="23"/>
                <w:szCs w:val="23"/>
              </w:rPr>
            </w:pPr>
          </w:p>
        </w:tc>
        <w:tc>
          <w:tcPr>
            <w:tcW w:w="80" w:type="dxa"/>
            <w:vAlign w:val="bottom"/>
          </w:tcPr>
          <w:p w:rsidR="000728AD" w:rsidRDefault="000728AD">
            <w:pPr>
              <w:rPr>
                <w:sz w:val="23"/>
                <w:szCs w:val="23"/>
              </w:rPr>
            </w:pPr>
          </w:p>
        </w:tc>
        <w:tc>
          <w:tcPr>
            <w:tcW w:w="520" w:type="dxa"/>
            <w:vAlign w:val="bottom"/>
          </w:tcPr>
          <w:p w:rsidR="000728AD" w:rsidRDefault="000728AD">
            <w:pPr>
              <w:rPr>
                <w:sz w:val="23"/>
                <w:szCs w:val="23"/>
              </w:rPr>
            </w:pPr>
          </w:p>
        </w:tc>
        <w:tc>
          <w:tcPr>
            <w:tcW w:w="320" w:type="dxa"/>
            <w:vAlign w:val="bottom"/>
          </w:tcPr>
          <w:p w:rsidR="000728AD" w:rsidRDefault="000728AD">
            <w:pPr>
              <w:rPr>
                <w:sz w:val="23"/>
                <w:szCs w:val="23"/>
              </w:rPr>
            </w:pPr>
          </w:p>
        </w:tc>
        <w:tc>
          <w:tcPr>
            <w:tcW w:w="40" w:type="dxa"/>
            <w:vAlign w:val="bottom"/>
          </w:tcPr>
          <w:p w:rsidR="000728AD" w:rsidRDefault="000728AD">
            <w:pPr>
              <w:rPr>
                <w:sz w:val="23"/>
                <w:szCs w:val="23"/>
              </w:rPr>
            </w:pPr>
          </w:p>
        </w:tc>
        <w:tc>
          <w:tcPr>
            <w:tcW w:w="520" w:type="dxa"/>
            <w:vAlign w:val="bottom"/>
          </w:tcPr>
          <w:p w:rsidR="000728AD" w:rsidRDefault="000728AD">
            <w:pPr>
              <w:rPr>
                <w:sz w:val="23"/>
                <w:szCs w:val="23"/>
              </w:rPr>
            </w:pPr>
          </w:p>
        </w:tc>
        <w:tc>
          <w:tcPr>
            <w:tcW w:w="660" w:type="dxa"/>
            <w:vAlign w:val="bottom"/>
          </w:tcPr>
          <w:p w:rsidR="000728AD" w:rsidRDefault="000728AD">
            <w:pPr>
              <w:rPr>
                <w:sz w:val="23"/>
                <w:szCs w:val="23"/>
              </w:rPr>
            </w:pPr>
          </w:p>
        </w:tc>
        <w:tc>
          <w:tcPr>
            <w:tcW w:w="380" w:type="dxa"/>
            <w:vAlign w:val="bottom"/>
          </w:tcPr>
          <w:p w:rsidR="000728AD" w:rsidRDefault="000728AD">
            <w:pPr>
              <w:rPr>
                <w:sz w:val="23"/>
                <w:szCs w:val="23"/>
              </w:rPr>
            </w:pPr>
          </w:p>
        </w:tc>
        <w:tc>
          <w:tcPr>
            <w:tcW w:w="120" w:type="dxa"/>
            <w:vAlign w:val="bottom"/>
          </w:tcPr>
          <w:p w:rsidR="000728AD" w:rsidRDefault="000728AD">
            <w:pPr>
              <w:rPr>
                <w:sz w:val="23"/>
                <w:szCs w:val="23"/>
              </w:rPr>
            </w:pPr>
          </w:p>
        </w:tc>
        <w:tc>
          <w:tcPr>
            <w:tcW w:w="100" w:type="dxa"/>
            <w:vAlign w:val="bottom"/>
          </w:tcPr>
          <w:p w:rsidR="000728AD" w:rsidRDefault="000728AD">
            <w:pPr>
              <w:rPr>
                <w:sz w:val="23"/>
                <w:szCs w:val="23"/>
              </w:rPr>
            </w:pPr>
          </w:p>
        </w:tc>
        <w:tc>
          <w:tcPr>
            <w:tcW w:w="840" w:type="dxa"/>
            <w:vAlign w:val="bottom"/>
          </w:tcPr>
          <w:p w:rsidR="000728AD" w:rsidRDefault="000728AD">
            <w:pPr>
              <w:rPr>
                <w:sz w:val="23"/>
                <w:szCs w:val="23"/>
              </w:rPr>
            </w:pPr>
          </w:p>
        </w:tc>
        <w:tc>
          <w:tcPr>
            <w:tcW w:w="920" w:type="dxa"/>
            <w:vAlign w:val="bottom"/>
          </w:tcPr>
          <w:p w:rsidR="000728AD" w:rsidRDefault="000728AD">
            <w:pPr>
              <w:rPr>
                <w:sz w:val="23"/>
                <w:szCs w:val="23"/>
              </w:rPr>
            </w:pPr>
          </w:p>
        </w:tc>
        <w:tc>
          <w:tcPr>
            <w:tcW w:w="80" w:type="dxa"/>
            <w:vAlign w:val="bottom"/>
          </w:tcPr>
          <w:p w:rsidR="000728AD" w:rsidRDefault="000728AD">
            <w:pPr>
              <w:rPr>
                <w:sz w:val="23"/>
                <w:szCs w:val="23"/>
              </w:rPr>
            </w:pPr>
          </w:p>
        </w:tc>
        <w:tc>
          <w:tcPr>
            <w:tcW w:w="280" w:type="dxa"/>
            <w:vAlign w:val="bottom"/>
          </w:tcPr>
          <w:p w:rsidR="000728AD" w:rsidRDefault="000728AD">
            <w:pPr>
              <w:rPr>
                <w:sz w:val="23"/>
                <w:szCs w:val="23"/>
              </w:rPr>
            </w:pPr>
          </w:p>
        </w:tc>
        <w:tc>
          <w:tcPr>
            <w:tcW w:w="320" w:type="dxa"/>
            <w:vAlign w:val="bottom"/>
          </w:tcPr>
          <w:p w:rsidR="000728AD" w:rsidRDefault="000728AD">
            <w:pPr>
              <w:rPr>
                <w:sz w:val="23"/>
                <w:szCs w:val="23"/>
              </w:rPr>
            </w:pPr>
          </w:p>
        </w:tc>
        <w:tc>
          <w:tcPr>
            <w:tcW w:w="560" w:type="dxa"/>
            <w:vAlign w:val="bottom"/>
          </w:tcPr>
          <w:p w:rsidR="000728AD" w:rsidRDefault="000728AD">
            <w:pPr>
              <w:rPr>
                <w:sz w:val="23"/>
                <w:szCs w:val="23"/>
              </w:rPr>
            </w:pPr>
          </w:p>
        </w:tc>
        <w:tc>
          <w:tcPr>
            <w:tcW w:w="80" w:type="dxa"/>
            <w:vAlign w:val="bottom"/>
          </w:tcPr>
          <w:p w:rsidR="000728AD" w:rsidRDefault="000728AD">
            <w:pPr>
              <w:rPr>
                <w:sz w:val="23"/>
                <w:szCs w:val="23"/>
              </w:rPr>
            </w:pPr>
          </w:p>
        </w:tc>
        <w:tc>
          <w:tcPr>
            <w:tcW w:w="220" w:type="dxa"/>
            <w:vAlign w:val="bottom"/>
          </w:tcPr>
          <w:p w:rsidR="000728AD" w:rsidRDefault="000728AD">
            <w:pPr>
              <w:rPr>
                <w:sz w:val="23"/>
                <w:szCs w:val="23"/>
              </w:rPr>
            </w:pPr>
          </w:p>
        </w:tc>
        <w:tc>
          <w:tcPr>
            <w:tcW w:w="1040" w:type="dxa"/>
            <w:vAlign w:val="bottom"/>
          </w:tcPr>
          <w:p w:rsidR="000728AD" w:rsidRDefault="000728AD">
            <w:pPr>
              <w:rPr>
                <w:sz w:val="23"/>
                <w:szCs w:val="23"/>
              </w:rPr>
            </w:pPr>
          </w:p>
        </w:tc>
        <w:tc>
          <w:tcPr>
            <w:tcW w:w="1760" w:type="dxa"/>
            <w:vAlign w:val="bottom"/>
          </w:tcPr>
          <w:p w:rsidR="000728AD" w:rsidRDefault="000728AD">
            <w:pPr>
              <w:rPr>
                <w:sz w:val="23"/>
                <w:szCs w:val="23"/>
              </w:rPr>
            </w:pPr>
          </w:p>
        </w:tc>
        <w:tc>
          <w:tcPr>
            <w:tcW w:w="1060" w:type="dxa"/>
            <w:gridSpan w:val="7"/>
            <w:tcBorders>
              <w:bottom w:val="single" w:sz="8" w:space="0" w:color="auto"/>
            </w:tcBorders>
            <w:vAlign w:val="bottom"/>
          </w:tcPr>
          <w:p w:rsidR="000728AD" w:rsidRDefault="000561BE">
            <w:pPr>
              <w:ind w:left="320"/>
              <w:rPr>
                <w:sz w:val="20"/>
                <w:szCs w:val="20"/>
              </w:rPr>
            </w:pPr>
            <w:r>
              <w:rPr>
                <w:rFonts w:ascii="Arial" w:eastAsia="Arial" w:hAnsi="Arial" w:cs="Arial"/>
              </w:rPr>
              <w:t>Page</w:t>
            </w:r>
          </w:p>
        </w:tc>
        <w:tc>
          <w:tcPr>
            <w:tcW w:w="0" w:type="dxa"/>
            <w:vAlign w:val="bottom"/>
          </w:tcPr>
          <w:p w:rsidR="000728AD" w:rsidRDefault="000728AD">
            <w:pPr>
              <w:rPr>
                <w:sz w:val="1"/>
                <w:szCs w:val="1"/>
              </w:rPr>
            </w:pPr>
          </w:p>
        </w:tc>
      </w:tr>
      <w:tr w:rsidR="000728AD">
        <w:trPr>
          <w:trHeight w:val="226"/>
        </w:trPr>
        <w:tc>
          <w:tcPr>
            <w:tcW w:w="20" w:type="dxa"/>
            <w:vAlign w:val="bottom"/>
          </w:tcPr>
          <w:p w:rsidR="000728AD" w:rsidRDefault="000728AD">
            <w:pPr>
              <w:rPr>
                <w:sz w:val="19"/>
                <w:szCs w:val="19"/>
              </w:rPr>
            </w:pPr>
          </w:p>
        </w:tc>
        <w:tc>
          <w:tcPr>
            <w:tcW w:w="40" w:type="dxa"/>
            <w:vAlign w:val="bottom"/>
          </w:tcPr>
          <w:p w:rsidR="000728AD" w:rsidRDefault="000728AD">
            <w:pPr>
              <w:rPr>
                <w:sz w:val="19"/>
                <w:szCs w:val="19"/>
              </w:rPr>
            </w:pPr>
          </w:p>
        </w:tc>
        <w:tc>
          <w:tcPr>
            <w:tcW w:w="400" w:type="dxa"/>
            <w:vAlign w:val="bottom"/>
          </w:tcPr>
          <w:p w:rsidR="000728AD" w:rsidRDefault="000728AD">
            <w:pPr>
              <w:rPr>
                <w:sz w:val="19"/>
                <w:szCs w:val="19"/>
              </w:rPr>
            </w:pPr>
          </w:p>
        </w:tc>
        <w:tc>
          <w:tcPr>
            <w:tcW w:w="880" w:type="dxa"/>
            <w:vAlign w:val="bottom"/>
          </w:tcPr>
          <w:p w:rsidR="000728AD" w:rsidRDefault="000728AD">
            <w:pPr>
              <w:rPr>
                <w:sz w:val="19"/>
                <w:szCs w:val="19"/>
              </w:rPr>
            </w:pPr>
          </w:p>
        </w:tc>
        <w:tc>
          <w:tcPr>
            <w:tcW w:w="80" w:type="dxa"/>
            <w:vAlign w:val="bottom"/>
          </w:tcPr>
          <w:p w:rsidR="000728AD" w:rsidRDefault="000728AD">
            <w:pPr>
              <w:rPr>
                <w:sz w:val="19"/>
                <w:szCs w:val="19"/>
              </w:rPr>
            </w:pPr>
          </w:p>
        </w:tc>
        <w:tc>
          <w:tcPr>
            <w:tcW w:w="520" w:type="dxa"/>
            <w:vAlign w:val="bottom"/>
          </w:tcPr>
          <w:p w:rsidR="000728AD" w:rsidRDefault="000728AD">
            <w:pPr>
              <w:rPr>
                <w:sz w:val="19"/>
                <w:szCs w:val="19"/>
              </w:rPr>
            </w:pPr>
          </w:p>
        </w:tc>
        <w:tc>
          <w:tcPr>
            <w:tcW w:w="320" w:type="dxa"/>
            <w:vAlign w:val="bottom"/>
          </w:tcPr>
          <w:p w:rsidR="000728AD" w:rsidRDefault="000728AD">
            <w:pPr>
              <w:rPr>
                <w:sz w:val="19"/>
                <w:szCs w:val="19"/>
              </w:rPr>
            </w:pPr>
          </w:p>
        </w:tc>
        <w:tc>
          <w:tcPr>
            <w:tcW w:w="40" w:type="dxa"/>
            <w:vAlign w:val="bottom"/>
          </w:tcPr>
          <w:p w:rsidR="000728AD" w:rsidRDefault="000728AD">
            <w:pPr>
              <w:rPr>
                <w:sz w:val="19"/>
                <w:szCs w:val="19"/>
              </w:rPr>
            </w:pPr>
          </w:p>
        </w:tc>
        <w:tc>
          <w:tcPr>
            <w:tcW w:w="520" w:type="dxa"/>
            <w:vAlign w:val="bottom"/>
          </w:tcPr>
          <w:p w:rsidR="000728AD" w:rsidRDefault="000728AD">
            <w:pPr>
              <w:rPr>
                <w:sz w:val="19"/>
                <w:szCs w:val="19"/>
              </w:rPr>
            </w:pPr>
          </w:p>
        </w:tc>
        <w:tc>
          <w:tcPr>
            <w:tcW w:w="660" w:type="dxa"/>
            <w:vAlign w:val="bottom"/>
          </w:tcPr>
          <w:p w:rsidR="000728AD" w:rsidRDefault="000728AD">
            <w:pPr>
              <w:rPr>
                <w:sz w:val="19"/>
                <w:szCs w:val="19"/>
              </w:rPr>
            </w:pPr>
          </w:p>
        </w:tc>
        <w:tc>
          <w:tcPr>
            <w:tcW w:w="380" w:type="dxa"/>
            <w:vAlign w:val="bottom"/>
          </w:tcPr>
          <w:p w:rsidR="000728AD" w:rsidRDefault="000728AD">
            <w:pPr>
              <w:rPr>
                <w:sz w:val="19"/>
                <w:szCs w:val="19"/>
              </w:rPr>
            </w:pPr>
          </w:p>
        </w:tc>
        <w:tc>
          <w:tcPr>
            <w:tcW w:w="6320" w:type="dxa"/>
            <w:gridSpan w:val="12"/>
            <w:vAlign w:val="bottom"/>
          </w:tcPr>
          <w:p w:rsidR="000728AD" w:rsidRDefault="000561BE">
            <w:pPr>
              <w:spacing w:line="226" w:lineRule="exact"/>
              <w:ind w:right="2800"/>
              <w:jc w:val="center"/>
              <w:rPr>
                <w:rFonts w:ascii="Arial" w:eastAsia="Arial" w:hAnsi="Arial" w:cs="Arial"/>
                <w:color w:val="0000FF"/>
                <w:w w:val="96"/>
              </w:rPr>
            </w:pPr>
            <w:hyperlink w:anchor="page4">
              <w:r>
                <w:rPr>
                  <w:rFonts w:ascii="Arial" w:eastAsia="Arial" w:hAnsi="Arial" w:cs="Arial"/>
                  <w:color w:val="0000FF"/>
                  <w:w w:val="96"/>
                </w:rPr>
                <w:t>PART I - FINANCIAL INFORMATION</w:t>
              </w:r>
            </w:hyperlink>
          </w:p>
        </w:tc>
        <w:tc>
          <w:tcPr>
            <w:tcW w:w="380" w:type="dxa"/>
            <w:vAlign w:val="bottom"/>
          </w:tcPr>
          <w:p w:rsidR="000728AD" w:rsidRDefault="000728AD">
            <w:pPr>
              <w:rPr>
                <w:sz w:val="19"/>
                <w:szCs w:val="19"/>
              </w:rPr>
            </w:pPr>
          </w:p>
        </w:tc>
        <w:tc>
          <w:tcPr>
            <w:tcW w:w="40" w:type="dxa"/>
            <w:vAlign w:val="bottom"/>
          </w:tcPr>
          <w:p w:rsidR="000728AD" w:rsidRDefault="000728AD">
            <w:pPr>
              <w:rPr>
                <w:sz w:val="19"/>
                <w:szCs w:val="19"/>
              </w:rPr>
            </w:pPr>
          </w:p>
        </w:tc>
        <w:tc>
          <w:tcPr>
            <w:tcW w:w="6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60" w:type="dxa"/>
            <w:vAlign w:val="bottom"/>
          </w:tcPr>
          <w:p w:rsidR="000728AD" w:rsidRDefault="000728AD">
            <w:pPr>
              <w:rPr>
                <w:sz w:val="19"/>
                <w:szCs w:val="19"/>
              </w:rPr>
            </w:pPr>
          </w:p>
        </w:tc>
        <w:tc>
          <w:tcPr>
            <w:tcW w:w="60" w:type="dxa"/>
            <w:vAlign w:val="bottom"/>
          </w:tcPr>
          <w:p w:rsidR="000728AD" w:rsidRDefault="000728AD">
            <w:pPr>
              <w:rPr>
                <w:sz w:val="19"/>
                <w:szCs w:val="19"/>
              </w:rPr>
            </w:pPr>
          </w:p>
        </w:tc>
        <w:tc>
          <w:tcPr>
            <w:tcW w:w="360" w:type="dxa"/>
            <w:vAlign w:val="bottom"/>
          </w:tcPr>
          <w:p w:rsidR="000728AD" w:rsidRDefault="000728AD">
            <w:pPr>
              <w:rPr>
                <w:sz w:val="19"/>
                <w:szCs w:val="19"/>
              </w:rPr>
            </w:pPr>
          </w:p>
        </w:tc>
        <w:tc>
          <w:tcPr>
            <w:tcW w:w="0" w:type="dxa"/>
            <w:vAlign w:val="bottom"/>
          </w:tcPr>
          <w:p w:rsidR="000728AD" w:rsidRDefault="000728AD">
            <w:pPr>
              <w:rPr>
                <w:sz w:val="1"/>
                <w:szCs w:val="1"/>
              </w:rPr>
            </w:pPr>
          </w:p>
        </w:tc>
      </w:tr>
      <w:tr w:rsidR="000728AD">
        <w:trPr>
          <w:trHeight w:val="20"/>
        </w:trPr>
        <w:tc>
          <w:tcPr>
            <w:tcW w:w="20" w:type="dxa"/>
            <w:vAlign w:val="bottom"/>
          </w:tcPr>
          <w:p w:rsidR="000728AD" w:rsidRDefault="000728AD">
            <w:pPr>
              <w:spacing w:line="20" w:lineRule="exact"/>
              <w:rPr>
                <w:sz w:val="1"/>
                <w:szCs w:val="1"/>
              </w:rPr>
            </w:pPr>
          </w:p>
        </w:tc>
        <w:tc>
          <w:tcPr>
            <w:tcW w:w="40" w:type="dxa"/>
            <w:vAlign w:val="bottom"/>
          </w:tcPr>
          <w:p w:rsidR="000728AD" w:rsidRDefault="000728AD">
            <w:pPr>
              <w:spacing w:line="20" w:lineRule="exact"/>
              <w:rPr>
                <w:sz w:val="1"/>
                <w:szCs w:val="1"/>
              </w:rPr>
            </w:pPr>
          </w:p>
        </w:tc>
        <w:tc>
          <w:tcPr>
            <w:tcW w:w="400" w:type="dxa"/>
            <w:vAlign w:val="bottom"/>
          </w:tcPr>
          <w:p w:rsidR="000728AD" w:rsidRDefault="000728AD">
            <w:pPr>
              <w:spacing w:line="20" w:lineRule="exact"/>
              <w:rPr>
                <w:sz w:val="1"/>
                <w:szCs w:val="1"/>
              </w:rPr>
            </w:pPr>
          </w:p>
        </w:tc>
        <w:tc>
          <w:tcPr>
            <w:tcW w:w="880" w:type="dxa"/>
            <w:vAlign w:val="bottom"/>
          </w:tcPr>
          <w:p w:rsidR="000728AD" w:rsidRDefault="000728AD">
            <w:pPr>
              <w:spacing w:line="20" w:lineRule="exact"/>
              <w:rPr>
                <w:sz w:val="1"/>
                <w:szCs w:val="1"/>
              </w:rPr>
            </w:pPr>
          </w:p>
        </w:tc>
        <w:tc>
          <w:tcPr>
            <w:tcW w:w="80" w:type="dxa"/>
            <w:vAlign w:val="bottom"/>
          </w:tcPr>
          <w:p w:rsidR="000728AD" w:rsidRDefault="000728AD">
            <w:pPr>
              <w:spacing w:line="20" w:lineRule="exact"/>
              <w:rPr>
                <w:sz w:val="1"/>
                <w:szCs w:val="1"/>
              </w:rPr>
            </w:pPr>
          </w:p>
        </w:tc>
        <w:tc>
          <w:tcPr>
            <w:tcW w:w="520" w:type="dxa"/>
            <w:vAlign w:val="bottom"/>
          </w:tcPr>
          <w:p w:rsidR="000728AD" w:rsidRDefault="000728AD">
            <w:pPr>
              <w:spacing w:line="20" w:lineRule="exact"/>
              <w:rPr>
                <w:sz w:val="1"/>
                <w:szCs w:val="1"/>
              </w:rPr>
            </w:pPr>
          </w:p>
        </w:tc>
        <w:tc>
          <w:tcPr>
            <w:tcW w:w="320" w:type="dxa"/>
            <w:vAlign w:val="bottom"/>
          </w:tcPr>
          <w:p w:rsidR="000728AD" w:rsidRDefault="000728AD">
            <w:pPr>
              <w:spacing w:line="20" w:lineRule="exact"/>
              <w:rPr>
                <w:sz w:val="1"/>
                <w:szCs w:val="1"/>
              </w:rPr>
            </w:pPr>
          </w:p>
        </w:tc>
        <w:tc>
          <w:tcPr>
            <w:tcW w:w="40" w:type="dxa"/>
            <w:vAlign w:val="bottom"/>
          </w:tcPr>
          <w:p w:rsidR="000728AD" w:rsidRDefault="000728AD">
            <w:pPr>
              <w:spacing w:line="20" w:lineRule="exact"/>
              <w:rPr>
                <w:sz w:val="1"/>
                <w:szCs w:val="1"/>
              </w:rPr>
            </w:pPr>
          </w:p>
        </w:tc>
        <w:tc>
          <w:tcPr>
            <w:tcW w:w="520" w:type="dxa"/>
            <w:vAlign w:val="bottom"/>
          </w:tcPr>
          <w:p w:rsidR="000728AD" w:rsidRDefault="000728AD">
            <w:pPr>
              <w:spacing w:line="20" w:lineRule="exact"/>
              <w:rPr>
                <w:sz w:val="1"/>
                <w:szCs w:val="1"/>
              </w:rPr>
            </w:pPr>
          </w:p>
        </w:tc>
        <w:tc>
          <w:tcPr>
            <w:tcW w:w="660" w:type="dxa"/>
            <w:vAlign w:val="bottom"/>
          </w:tcPr>
          <w:p w:rsidR="000728AD" w:rsidRDefault="000728AD">
            <w:pPr>
              <w:spacing w:line="20" w:lineRule="exact"/>
              <w:rPr>
                <w:sz w:val="1"/>
                <w:szCs w:val="1"/>
              </w:rPr>
            </w:pPr>
          </w:p>
        </w:tc>
        <w:tc>
          <w:tcPr>
            <w:tcW w:w="380" w:type="dxa"/>
            <w:vAlign w:val="bottom"/>
          </w:tcPr>
          <w:p w:rsidR="000728AD" w:rsidRDefault="000728AD">
            <w:pPr>
              <w:spacing w:line="20" w:lineRule="exact"/>
              <w:rPr>
                <w:sz w:val="1"/>
                <w:szCs w:val="1"/>
              </w:rPr>
            </w:pPr>
          </w:p>
        </w:tc>
        <w:tc>
          <w:tcPr>
            <w:tcW w:w="120" w:type="dxa"/>
            <w:shd w:val="clear" w:color="auto" w:fill="0000FF"/>
            <w:vAlign w:val="bottom"/>
          </w:tcPr>
          <w:p w:rsidR="000728AD" w:rsidRDefault="000728AD">
            <w:pPr>
              <w:spacing w:line="20" w:lineRule="exact"/>
              <w:rPr>
                <w:sz w:val="1"/>
                <w:szCs w:val="1"/>
              </w:rPr>
            </w:pPr>
          </w:p>
        </w:tc>
        <w:tc>
          <w:tcPr>
            <w:tcW w:w="100" w:type="dxa"/>
            <w:shd w:val="clear" w:color="auto" w:fill="0000FF"/>
            <w:vAlign w:val="bottom"/>
          </w:tcPr>
          <w:p w:rsidR="000728AD" w:rsidRDefault="000728AD">
            <w:pPr>
              <w:spacing w:line="20" w:lineRule="exact"/>
              <w:rPr>
                <w:sz w:val="1"/>
                <w:szCs w:val="1"/>
              </w:rPr>
            </w:pPr>
          </w:p>
        </w:tc>
        <w:tc>
          <w:tcPr>
            <w:tcW w:w="840" w:type="dxa"/>
            <w:shd w:val="clear" w:color="auto" w:fill="0000FF"/>
            <w:vAlign w:val="bottom"/>
          </w:tcPr>
          <w:p w:rsidR="000728AD" w:rsidRDefault="000728AD">
            <w:pPr>
              <w:spacing w:line="20" w:lineRule="exact"/>
              <w:rPr>
                <w:sz w:val="1"/>
                <w:szCs w:val="1"/>
              </w:rPr>
            </w:pPr>
          </w:p>
        </w:tc>
        <w:tc>
          <w:tcPr>
            <w:tcW w:w="920" w:type="dxa"/>
            <w:shd w:val="clear" w:color="auto" w:fill="0000FF"/>
            <w:vAlign w:val="bottom"/>
          </w:tcPr>
          <w:p w:rsidR="000728AD" w:rsidRDefault="000728AD">
            <w:pPr>
              <w:spacing w:line="20" w:lineRule="exact"/>
              <w:rPr>
                <w:sz w:val="1"/>
                <w:szCs w:val="1"/>
              </w:rPr>
            </w:pPr>
          </w:p>
        </w:tc>
        <w:tc>
          <w:tcPr>
            <w:tcW w:w="80" w:type="dxa"/>
            <w:shd w:val="clear" w:color="auto" w:fill="0000FF"/>
            <w:vAlign w:val="bottom"/>
          </w:tcPr>
          <w:p w:rsidR="000728AD" w:rsidRDefault="000728AD">
            <w:pPr>
              <w:spacing w:line="20" w:lineRule="exact"/>
              <w:rPr>
                <w:sz w:val="1"/>
                <w:szCs w:val="1"/>
              </w:rPr>
            </w:pPr>
          </w:p>
        </w:tc>
        <w:tc>
          <w:tcPr>
            <w:tcW w:w="280" w:type="dxa"/>
            <w:shd w:val="clear" w:color="auto" w:fill="0000FF"/>
            <w:vAlign w:val="bottom"/>
          </w:tcPr>
          <w:p w:rsidR="000728AD" w:rsidRDefault="000728AD">
            <w:pPr>
              <w:spacing w:line="20" w:lineRule="exact"/>
              <w:rPr>
                <w:sz w:val="1"/>
                <w:szCs w:val="1"/>
              </w:rPr>
            </w:pPr>
          </w:p>
        </w:tc>
        <w:tc>
          <w:tcPr>
            <w:tcW w:w="320" w:type="dxa"/>
            <w:shd w:val="clear" w:color="auto" w:fill="0000FF"/>
            <w:vAlign w:val="bottom"/>
          </w:tcPr>
          <w:p w:rsidR="000728AD" w:rsidRDefault="000728AD">
            <w:pPr>
              <w:spacing w:line="20" w:lineRule="exact"/>
              <w:rPr>
                <w:sz w:val="1"/>
                <w:szCs w:val="1"/>
              </w:rPr>
            </w:pPr>
          </w:p>
        </w:tc>
        <w:tc>
          <w:tcPr>
            <w:tcW w:w="560" w:type="dxa"/>
            <w:shd w:val="clear" w:color="auto" w:fill="0000FF"/>
            <w:vAlign w:val="bottom"/>
          </w:tcPr>
          <w:p w:rsidR="000728AD" w:rsidRDefault="000728AD">
            <w:pPr>
              <w:spacing w:line="20" w:lineRule="exact"/>
              <w:rPr>
                <w:sz w:val="1"/>
                <w:szCs w:val="1"/>
              </w:rPr>
            </w:pPr>
          </w:p>
        </w:tc>
        <w:tc>
          <w:tcPr>
            <w:tcW w:w="80" w:type="dxa"/>
            <w:shd w:val="clear" w:color="auto" w:fill="0000FF"/>
            <w:vAlign w:val="bottom"/>
          </w:tcPr>
          <w:p w:rsidR="000728AD" w:rsidRDefault="000728AD">
            <w:pPr>
              <w:spacing w:line="20" w:lineRule="exact"/>
              <w:rPr>
                <w:sz w:val="1"/>
                <w:szCs w:val="1"/>
              </w:rPr>
            </w:pPr>
          </w:p>
        </w:tc>
        <w:tc>
          <w:tcPr>
            <w:tcW w:w="220" w:type="dxa"/>
            <w:shd w:val="clear" w:color="auto" w:fill="0000FF"/>
            <w:vAlign w:val="bottom"/>
          </w:tcPr>
          <w:p w:rsidR="000728AD" w:rsidRDefault="000728AD">
            <w:pPr>
              <w:spacing w:line="20" w:lineRule="exact"/>
              <w:rPr>
                <w:sz w:val="1"/>
                <w:szCs w:val="1"/>
              </w:rPr>
            </w:pPr>
          </w:p>
        </w:tc>
        <w:tc>
          <w:tcPr>
            <w:tcW w:w="1040" w:type="dxa"/>
            <w:vAlign w:val="bottom"/>
          </w:tcPr>
          <w:p w:rsidR="000728AD" w:rsidRDefault="000728AD">
            <w:pPr>
              <w:spacing w:line="20" w:lineRule="exact"/>
              <w:rPr>
                <w:sz w:val="1"/>
                <w:szCs w:val="1"/>
              </w:rPr>
            </w:pPr>
          </w:p>
        </w:tc>
        <w:tc>
          <w:tcPr>
            <w:tcW w:w="1760" w:type="dxa"/>
            <w:vAlign w:val="bottom"/>
          </w:tcPr>
          <w:p w:rsidR="000728AD" w:rsidRDefault="000728AD">
            <w:pPr>
              <w:spacing w:line="20" w:lineRule="exact"/>
              <w:rPr>
                <w:sz w:val="1"/>
                <w:szCs w:val="1"/>
              </w:rPr>
            </w:pPr>
          </w:p>
        </w:tc>
        <w:tc>
          <w:tcPr>
            <w:tcW w:w="380" w:type="dxa"/>
            <w:vAlign w:val="bottom"/>
          </w:tcPr>
          <w:p w:rsidR="000728AD" w:rsidRDefault="000728AD">
            <w:pPr>
              <w:spacing w:line="20" w:lineRule="exact"/>
              <w:rPr>
                <w:sz w:val="1"/>
                <w:szCs w:val="1"/>
              </w:rPr>
            </w:pPr>
          </w:p>
        </w:tc>
        <w:tc>
          <w:tcPr>
            <w:tcW w:w="40" w:type="dxa"/>
            <w:vAlign w:val="bottom"/>
          </w:tcPr>
          <w:p w:rsidR="000728AD" w:rsidRDefault="000728AD">
            <w:pPr>
              <w:spacing w:line="20" w:lineRule="exact"/>
              <w:rPr>
                <w:sz w:val="1"/>
                <w:szCs w:val="1"/>
              </w:rPr>
            </w:pPr>
          </w:p>
        </w:tc>
        <w:tc>
          <w:tcPr>
            <w:tcW w:w="60" w:type="dxa"/>
            <w:vAlign w:val="bottom"/>
          </w:tcPr>
          <w:p w:rsidR="000728AD" w:rsidRDefault="000728AD">
            <w:pPr>
              <w:spacing w:line="20" w:lineRule="exact"/>
              <w:rPr>
                <w:sz w:val="1"/>
                <w:szCs w:val="1"/>
              </w:rPr>
            </w:pPr>
          </w:p>
        </w:tc>
        <w:tc>
          <w:tcPr>
            <w:tcW w:w="100" w:type="dxa"/>
            <w:vMerge w:val="restart"/>
            <w:vAlign w:val="bottom"/>
          </w:tcPr>
          <w:p w:rsidR="000728AD" w:rsidRDefault="000561BE">
            <w:pPr>
              <w:jc w:val="center"/>
              <w:rPr>
                <w:rFonts w:ascii="Arial" w:eastAsia="Arial" w:hAnsi="Arial" w:cs="Arial"/>
                <w:color w:val="0000FF"/>
                <w:w w:val="81"/>
              </w:rPr>
            </w:pPr>
            <w:hyperlink w:anchor="page5">
              <w:r>
                <w:rPr>
                  <w:rFonts w:ascii="Arial" w:eastAsia="Arial" w:hAnsi="Arial" w:cs="Arial"/>
                  <w:color w:val="0000FF"/>
                  <w:w w:val="81"/>
                </w:rPr>
                <w:t>5</w:t>
              </w:r>
            </w:hyperlink>
          </w:p>
        </w:tc>
        <w:tc>
          <w:tcPr>
            <w:tcW w:w="60" w:type="dxa"/>
            <w:vAlign w:val="bottom"/>
          </w:tcPr>
          <w:p w:rsidR="000728AD" w:rsidRDefault="000728AD">
            <w:pPr>
              <w:spacing w:line="20" w:lineRule="exact"/>
              <w:rPr>
                <w:sz w:val="1"/>
                <w:szCs w:val="1"/>
              </w:rPr>
            </w:pPr>
          </w:p>
        </w:tc>
        <w:tc>
          <w:tcPr>
            <w:tcW w:w="60" w:type="dxa"/>
            <w:vAlign w:val="bottom"/>
          </w:tcPr>
          <w:p w:rsidR="000728AD" w:rsidRDefault="000728AD">
            <w:pPr>
              <w:spacing w:line="20" w:lineRule="exact"/>
              <w:rPr>
                <w:sz w:val="1"/>
                <w:szCs w:val="1"/>
              </w:rPr>
            </w:pPr>
          </w:p>
        </w:tc>
        <w:tc>
          <w:tcPr>
            <w:tcW w:w="360" w:type="dxa"/>
            <w:vAlign w:val="bottom"/>
          </w:tcPr>
          <w:p w:rsidR="000728AD" w:rsidRDefault="000728AD">
            <w:pPr>
              <w:spacing w:line="20" w:lineRule="exact"/>
              <w:rPr>
                <w:sz w:val="1"/>
                <w:szCs w:val="1"/>
              </w:rPr>
            </w:pPr>
          </w:p>
        </w:tc>
        <w:tc>
          <w:tcPr>
            <w:tcW w:w="0" w:type="dxa"/>
            <w:vAlign w:val="bottom"/>
          </w:tcPr>
          <w:p w:rsidR="000728AD" w:rsidRDefault="000728AD">
            <w:pPr>
              <w:spacing w:line="20" w:lineRule="exact"/>
              <w:rPr>
                <w:sz w:val="1"/>
                <w:szCs w:val="1"/>
              </w:rPr>
            </w:pPr>
          </w:p>
        </w:tc>
      </w:tr>
      <w:tr w:rsidR="000728AD">
        <w:trPr>
          <w:trHeight w:val="269"/>
        </w:trPr>
        <w:tc>
          <w:tcPr>
            <w:tcW w:w="20" w:type="dxa"/>
            <w:vAlign w:val="bottom"/>
          </w:tcPr>
          <w:p w:rsidR="000728AD" w:rsidRDefault="000728AD"/>
        </w:tc>
        <w:tc>
          <w:tcPr>
            <w:tcW w:w="10160" w:type="dxa"/>
            <w:gridSpan w:val="22"/>
            <w:vAlign w:val="bottom"/>
          </w:tcPr>
          <w:p w:rsidR="000728AD" w:rsidRDefault="000561BE">
            <w:pPr>
              <w:ind w:left="40"/>
              <w:rPr>
                <w:rFonts w:ascii="Arial" w:eastAsia="Arial" w:hAnsi="Arial" w:cs="Arial"/>
                <w:color w:val="0000FF"/>
              </w:rPr>
            </w:pPr>
            <w:hyperlink w:anchor="page5">
              <w:r>
                <w:rPr>
                  <w:rFonts w:ascii="Arial" w:eastAsia="Arial" w:hAnsi="Arial" w:cs="Arial"/>
                  <w:color w:val="0000FF"/>
                </w:rPr>
                <w:t>Item 1. Condensed Consolidated Financial Statements (Unaudited)</w:t>
              </w:r>
            </w:hyperlink>
          </w:p>
        </w:tc>
        <w:tc>
          <w:tcPr>
            <w:tcW w:w="380" w:type="dxa"/>
            <w:vAlign w:val="bottom"/>
          </w:tcPr>
          <w:p w:rsidR="000728AD" w:rsidRDefault="000728AD"/>
        </w:tc>
        <w:tc>
          <w:tcPr>
            <w:tcW w:w="40" w:type="dxa"/>
            <w:vAlign w:val="bottom"/>
          </w:tcPr>
          <w:p w:rsidR="000728AD" w:rsidRDefault="000728AD"/>
        </w:tc>
        <w:tc>
          <w:tcPr>
            <w:tcW w:w="60" w:type="dxa"/>
            <w:vAlign w:val="bottom"/>
          </w:tcPr>
          <w:p w:rsidR="000728AD" w:rsidRDefault="000728AD"/>
        </w:tc>
        <w:tc>
          <w:tcPr>
            <w:tcW w:w="100" w:type="dxa"/>
            <w:vMerge/>
            <w:tcBorders>
              <w:bottom w:val="single" w:sz="8" w:space="0" w:color="0000FF"/>
            </w:tcBorders>
            <w:vAlign w:val="bottom"/>
          </w:tcPr>
          <w:p w:rsidR="000728AD" w:rsidRDefault="000728AD"/>
        </w:tc>
        <w:tc>
          <w:tcPr>
            <w:tcW w:w="60" w:type="dxa"/>
            <w:vAlign w:val="bottom"/>
          </w:tcPr>
          <w:p w:rsidR="000728AD" w:rsidRDefault="000728AD"/>
        </w:tc>
        <w:tc>
          <w:tcPr>
            <w:tcW w:w="60" w:type="dxa"/>
            <w:vAlign w:val="bottom"/>
          </w:tcPr>
          <w:p w:rsidR="000728AD" w:rsidRDefault="000728AD"/>
        </w:tc>
        <w:tc>
          <w:tcPr>
            <w:tcW w:w="360" w:type="dxa"/>
            <w:vAlign w:val="bottom"/>
          </w:tcPr>
          <w:p w:rsidR="000728AD" w:rsidRDefault="000728AD"/>
        </w:tc>
        <w:tc>
          <w:tcPr>
            <w:tcW w:w="0" w:type="dxa"/>
            <w:vAlign w:val="bottom"/>
          </w:tcPr>
          <w:p w:rsidR="000728AD" w:rsidRDefault="000728AD">
            <w:pPr>
              <w:rPr>
                <w:sz w:val="1"/>
                <w:szCs w:val="1"/>
              </w:rPr>
            </w:pPr>
          </w:p>
        </w:tc>
      </w:tr>
      <w:tr w:rsidR="000728AD">
        <w:trPr>
          <w:trHeight w:val="20"/>
        </w:trPr>
        <w:tc>
          <w:tcPr>
            <w:tcW w:w="20" w:type="dxa"/>
            <w:vAlign w:val="bottom"/>
          </w:tcPr>
          <w:p w:rsidR="000728AD" w:rsidRDefault="000728AD">
            <w:pPr>
              <w:spacing w:line="20" w:lineRule="exact"/>
              <w:rPr>
                <w:sz w:val="1"/>
                <w:szCs w:val="1"/>
              </w:rPr>
            </w:pPr>
          </w:p>
        </w:tc>
        <w:tc>
          <w:tcPr>
            <w:tcW w:w="40" w:type="dxa"/>
            <w:vAlign w:val="bottom"/>
          </w:tcPr>
          <w:p w:rsidR="000728AD" w:rsidRDefault="000728AD">
            <w:pPr>
              <w:spacing w:line="20" w:lineRule="exact"/>
              <w:rPr>
                <w:sz w:val="1"/>
                <w:szCs w:val="1"/>
              </w:rPr>
            </w:pPr>
          </w:p>
        </w:tc>
        <w:tc>
          <w:tcPr>
            <w:tcW w:w="400" w:type="dxa"/>
            <w:tcBorders>
              <w:bottom w:val="single" w:sz="8" w:space="0" w:color="0000FF"/>
            </w:tcBorders>
            <w:vAlign w:val="bottom"/>
          </w:tcPr>
          <w:p w:rsidR="000728AD" w:rsidRDefault="000728AD">
            <w:pPr>
              <w:spacing w:line="20" w:lineRule="exact"/>
              <w:rPr>
                <w:sz w:val="1"/>
                <w:szCs w:val="1"/>
              </w:rPr>
            </w:pPr>
          </w:p>
        </w:tc>
        <w:tc>
          <w:tcPr>
            <w:tcW w:w="880" w:type="dxa"/>
            <w:tcBorders>
              <w:bottom w:val="single" w:sz="8" w:space="0" w:color="0000FF"/>
            </w:tcBorders>
            <w:vAlign w:val="bottom"/>
          </w:tcPr>
          <w:p w:rsidR="000728AD" w:rsidRDefault="000728AD">
            <w:pPr>
              <w:spacing w:line="20" w:lineRule="exact"/>
              <w:rPr>
                <w:sz w:val="1"/>
                <w:szCs w:val="1"/>
              </w:rPr>
            </w:pPr>
          </w:p>
        </w:tc>
        <w:tc>
          <w:tcPr>
            <w:tcW w:w="80" w:type="dxa"/>
            <w:tcBorders>
              <w:bottom w:val="single" w:sz="8" w:space="0" w:color="0000FF"/>
            </w:tcBorders>
            <w:vAlign w:val="bottom"/>
          </w:tcPr>
          <w:p w:rsidR="000728AD" w:rsidRDefault="000728AD">
            <w:pPr>
              <w:spacing w:line="20" w:lineRule="exact"/>
              <w:rPr>
                <w:sz w:val="1"/>
                <w:szCs w:val="1"/>
              </w:rPr>
            </w:pPr>
          </w:p>
        </w:tc>
        <w:tc>
          <w:tcPr>
            <w:tcW w:w="520" w:type="dxa"/>
            <w:tcBorders>
              <w:bottom w:val="single" w:sz="8" w:space="0" w:color="0000FF"/>
            </w:tcBorders>
            <w:vAlign w:val="bottom"/>
          </w:tcPr>
          <w:p w:rsidR="000728AD" w:rsidRDefault="000728AD">
            <w:pPr>
              <w:spacing w:line="20" w:lineRule="exact"/>
              <w:rPr>
                <w:sz w:val="1"/>
                <w:szCs w:val="1"/>
              </w:rPr>
            </w:pPr>
          </w:p>
        </w:tc>
        <w:tc>
          <w:tcPr>
            <w:tcW w:w="320" w:type="dxa"/>
            <w:tcBorders>
              <w:bottom w:val="single" w:sz="8" w:space="0" w:color="0000FF"/>
            </w:tcBorders>
            <w:vAlign w:val="bottom"/>
          </w:tcPr>
          <w:p w:rsidR="000728AD" w:rsidRDefault="000728AD">
            <w:pPr>
              <w:spacing w:line="20" w:lineRule="exact"/>
              <w:rPr>
                <w:sz w:val="1"/>
                <w:szCs w:val="1"/>
              </w:rPr>
            </w:pPr>
          </w:p>
        </w:tc>
        <w:tc>
          <w:tcPr>
            <w:tcW w:w="40" w:type="dxa"/>
            <w:tcBorders>
              <w:bottom w:val="single" w:sz="8" w:space="0" w:color="0000FF"/>
            </w:tcBorders>
            <w:vAlign w:val="bottom"/>
          </w:tcPr>
          <w:p w:rsidR="000728AD" w:rsidRDefault="000728AD">
            <w:pPr>
              <w:spacing w:line="20" w:lineRule="exact"/>
              <w:rPr>
                <w:sz w:val="1"/>
                <w:szCs w:val="1"/>
              </w:rPr>
            </w:pPr>
          </w:p>
        </w:tc>
        <w:tc>
          <w:tcPr>
            <w:tcW w:w="520" w:type="dxa"/>
            <w:tcBorders>
              <w:bottom w:val="single" w:sz="8" w:space="0" w:color="0000FF"/>
            </w:tcBorders>
            <w:vAlign w:val="bottom"/>
          </w:tcPr>
          <w:p w:rsidR="000728AD" w:rsidRDefault="000728AD">
            <w:pPr>
              <w:spacing w:line="20" w:lineRule="exact"/>
              <w:rPr>
                <w:sz w:val="1"/>
                <w:szCs w:val="1"/>
              </w:rPr>
            </w:pPr>
          </w:p>
        </w:tc>
        <w:tc>
          <w:tcPr>
            <w:tcW w:w="660" w:type="dxa"/>
            <w:tcBorders>
              <w:bottom w:val="single" w:sz="8" w:space="0" w:color="0000FF"/>
            </w:tcBorders>
            <w:vAlign w:val="bottom"/>
          </w:tcPr>
          <w:p w:rsidR="000728AD" w:rsidRDefault="000728AD">
            <w:pPr>
              <w:spacing w:line="20" w:lineRule="exact"/>
              <w:rPr>
                <w:sz w:val="1"/>
                <w:szCs w:val="1"/>
              </w:rPr>
            </w:pPr>
          </w:p>
        </w:tc>
        <w:tc>
          <w:tcPr>
            <w:tcW w:w="500" w:type="dxa"/>
            <w:gridSpan w:val="2"/>
            <w:tcBorders>
              <w:bottom w:val="single" w:sz="8" w:space="0" w:color="0000FF"/>
            </w:tcBorders>
            <w:vAlign w:val="bottom"/>
          </w:tcPr>
          <w:p w:rsidR="000728AD" w:rsidRDefault="000728AD">
            <w:pPr>
              <w:spacing w:line="20" w:lineRule="exact"/>
              <w:rPr>
                <w:sz w:val="1"/>
                <w:szCs w:val="1"/>
              </w:rPr>
            </w:pPr>
          </w:p>
        </w:tc>
        <w:tc>
          <w:tcPr>
            <w:tcW w:w="100" w:type="dxa"/>
            <w:tcBorders>
              <w:bottom w:val="single" w:sz="8" w:space="0" w:color="0000FF"/>
            </w:tcBorders>
            <w:vAlign w:val="bottom"/>
          </w:tcPr>
          <w:p w:rsidR="000728AD" w:rsidRDefault="000728AD">
            <w:pPr>
              <w:spacing w:line="20" w:lineRule="exact"/>
              <w:rPr>
                <w:sz w:val="1"/>
                <w:szCs w:val="1"/>
              </w:rPr>
            </w:pPr>
          </w:p>
        </w:tc>
        <w:tc>
          <w:tcPr>
            <w:tcW w:w="840" w:type="dxa"/>
            <w:tcBorders>
              <w:bottom w:val="single" w:sz="8" w:space="0" w:color="0000FF"/>
            </w:tcBorders>
            <w:vAlign w:val="bottom"/>
          </w:tcPr>
          <w:p w:rsidR="000728AD" w:rsidRDefault="000728AD">
            <w:pPr>
              <w:spacing w:line="20" w:lineRule="exact"/>
              <w:rPr>
                <w:sz w:val="1"/>
                <w:szCs w:val="1"/>
              </w:rPr>
            </w:pPr>
          </w:p>
        </w:tc>
        <w:tc>
          <w:tcPr>
            <w:tcW w:w="920" w:type="dxa"/>
            <w:tcBorders>
              <w:bottom w:val="single" w:sz="8" w:space="0" w:color="0000FF"/>
            </w:tcBorders>
            <w:vAlign w:val="bottom"/>
          </w:tcPr>
          <w:p w:rsidR="000728AD" w:rsidRDefault="000728AD">
            <w:pPr>
              <w:spacing w:line="20" w:lineRule="exact"/>
              <w:rPr>
                <w:sz w:val="1"/>
                <w:szCs w:val="1"/>
              </w:rPr>
            </w:pPr>
          </w:p>
        </w:tc>
        <w:tc>
          <w:tcPr>
            <w:tcW w:w="80" w:type="dxa"/>
            <w:vAlign w:val="bottom"/>
          </w:tcPr>
          <w:p w:rsidR="000728AD" w:rsidRDefault="000728AD">
            <w:pPr>
              <w:spacing w:line="20" w:lineRule="exact"/>
              <w:rPr>
                <w:sz w:val="1"/>
                <w:szCs w:val="1"/>
              </w:rPr>
            </w:pPr>
          </w:p>
        </w:tc>
        <w:tc>
          <w:tcPr>
            <w:tcW w:w="280" w:type="dxa"/>
            <w:vAlign w:val="bottom"/>
          </w:tcPr>
          <w:p w:rsidR="000728AD" w:rsidRDefault="000728AD">
            <w:pPr>
              <w:spacing w:line="20" w:lineRule="exact"/>
              <w:rPr>
                <w:sz w:val="1"/>
                <w:szCs w:val="1"/>
              </w:rPr>
            </w:pPr>
          </w:p>
        </w:tc>
        <w:tc>
          <w:tcPr>
            <w:tcW w:w="320" w:type="dxa"/>
            <w:vAlign w:val="bottom"/>
          </w:tcPr>
          <w:p w:rsidR="000728AD" w:rsidRDefault="000728AD">
            <w:pPr>
              <w:spacing w:line="20" w:lineRule="exact"/>
              <w:rPr>
                <w:sz w:val="1"/>
                <w:szCs w:val="1"/>
              </w:rPr>
            </w:pPr>
          </w:p>
        </w:tc>
        <w:tc>
          <w:tcPr>
            <w:tcW w:w="560" w:type="dxa"/>
            <w:vAlign w:val="bottom"/>
          </w:tcPr>
          <w:p w:rsidR="000728AD" w:rsidRDefault="000728AD">
            <w:pPr>
              <w:spacing w:line="20" w:lineRule="exact"/>
              <w:rPr>
                <w:sz w:val="1"/>
                <w:szCs w:val="1"/>
              </w:rPr>
            </w:pPr>
          </w:p>
        </w:tc>
        <w:tc>
          <w:tcPr>
            <w:tcW w:w="80" w:type="dxa"/>
            <w:vAlign w:val="bottom"/>
          </w:tcPr>
          <w:p w:rsidR="000728AD" w:rsidRDefault="000728AD">
            <w:pPr>
              <w:spacing w:line="20" w:lineRule="exact"/>
              <w:rPr>
                <w:sz w:val="1"/>
                <w:szCs w:val="1"/>
              </w:rPr>
            </w:pPr>
          </w:p>
        </w:tc>
        <w:tc>
          <w:tcPr>
            <w:tcW w:w="1260" w:type="dxa"/>
            <w:gridSpan w:val="2"/>
            <w:vAlign w:val="bottom"/>
          </w:tcPr>
          <w:p w:rsidR="000728AD" w:rsidRDefault="000728AD">
            <w:pPr>
              <w:spacing w:line="20" w:lineRule="exact"/>
              <w:rPr>
                <w:sz w:val="1"/>
                <w:szCs w:val="1"/>
              </w:rPr>
            </w:pPr>
          </w:p>
        </w:tc>
        <w:tc>
          <w:tcPr>
            <w:tcW w:w="1760" w:type="dxa"/>
            <w:vAlign w:val="bottom"/>
          </w:tcPr>
          <w:p w:rsidR="000728AD" w:rsidRDefault="000728AD">
            <w:pPr>
              <w:spacing w:line="20" w:lineRule="exact"/>
              <w:rPr>
                <w:sz w:val="1"/>
                <w:szCs w:val="1"/>
              </w:rPr>
            </w:pPr>
          </w:p>
        </w:tc>
        <w:tc>
          <w:tcPr>
            <w:tcW w:w="380" w:type="dxa"/>
            <w:vAlign w:val="bottom"/>
          </w:tcPr>
          <w:p w:rsidR="000728AD" w:rsidRDefault="000728AD">
            <w:pPr>
              <w:spacing w:line="20" w:lineRule="exact"/>
              <w:rPr>
                <w:sz w:val="1"/>
                <w:szCs w:val="1"/>
              </w:rPr>
            </w:pPr>
          </w:p>
        </w:tc>
        <w:tc>
          <w:tcPr>
            <w:tcW w:w="40" w:type="dxa"/>
            <w:vAlign w:val="bottom"/>
          </w:tcPr>
          <w:p w:rsidR="000728AD" w:rsidRDefault="000728AD">
            <w:pPr>
              <w:spacing w:line="20" w:lineRule="exact"/>
              <w:rPr>
                <w:sz w:val="1"/>
                <w:szCs w:val="1"/>
              </w:rPr>
            </w:pPr>
          </w:p>
        </w:tc>
        <w:tc>
          <w:tcPr>
            <w:tcW w:w="60" w:type="dxa"/>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60" w:type="dxa"/>
            <w:vAlign w:val="bottom"/>
          </w:tcPr>
          <w:p w:rsidR="000728AD" w:rsidRDefault="000728AD">
            <w:pPr>
              <w:spacing w:line="20" w:lineRule="exact"/>
              <w:rPr>
                <w:sz w:val="1"/>
                <w:szCs w:val="1"/>
              </w:rPr>
            </w:pPr>
          </w:p>
        </w:tc>
        <w:tc>
          <w:tcPr>
            <w:tcW w:w="60" w:type="dxa"/>
            <w:vAlign w:val="bottom"/>
          </w:tcPr>
          <w:p w:rsidR="000728AD" w:rsidRDefault="000728AD">
            <w:pPr>
              <w:spacing w:line="20" w:lineRule="exact"/>
              <w:rPr>
                <w:sz w:val="1"/>
                <w:szCs w:val="1"/>
              </w:rPr>
            </w:pPr>
          </w:p>
        </w:tc>
        <w:tc>
          <w:tcPr>
            <w:tcW w:w="360" w:type="dxa"/>
            <w:vAlign w:val="bottom"/>
          </w:tcPr>
          <w:p w:rsidR="000728AD" w:rsidRDefault="000728AD">
            <w:pPr>
              <w:spacing w:line="20" w:lineRule="exact"/>
              <w:rPr>
                <w:sz w:val="1"/>
                <w:szCs w:val="1"/>
              </w:rPr>
            </w:pPr>
          </w:p>
        </w:tc>
        <w:tc>
          <w:tcPr>
            <w:tcW w:w="0" w:type="dxa"/>
            <w:vAlign w:val="bottom"/>
          </w:tcPr>
          <w:p w:rsidR="000728AD" w:rsidRDefault="000728AD">
            <w:pPr>
              <w:spacing w:line="20" w:lineRule="exact"/>
              <w:rPr>
                <w:sz w:val="1"/>
                <w:szCs w:val="1"/>
              </w:rPr>
            </w:pPr>
          </w:p>
        </w:tc>
      </w:tr>
      <w:tr w:rsidR="000728AD">
        <w:trPr>
          <w:trHeight w:val="278"/>
        </w:trPr>
        <w:tc>
          <w:tcPr>
            <w:tcW w:w="20" w:type="dxa"/>
            <w:vAlign w:val="bottom"/>
          </w:tcPr>
          <w:p w:rsidR="000728AD" w:rsidRDefault="000728AD">
            <w:pPr>
              <w:rPr>
                <w:sz w:val="24"/>
                <w:szCs w:val="24"/>
              </w:rPr>
            </w:pPr>
          </w:p>
        </w:tc>
        <w:tc>
          <w:tcPr>
            <w:tcW w:w="40" w:type="dxa"/>
            <w:vAlign w:val="bottom"/>
          </w:tcPr>
          <w:p w:rsidR="000728AD" w:rsidRDefault="000728AD">
            <w:pPr>
              <w:rPr>
                <w:sz w:val="24"/>
                <w:szCs w:val="24"/>
              </w:rPr>
            </w:pPr>
          </w:p>
        </w:tc>
        <w:tc>
          <w:tcPr>
            <w:tcW w:w="400" w:type="dxa"/>
            <w:vAlign w:val="bottom"/>
          </w:tcPr>
          <w:p w:rsidR="000728AD" w:rsidRDefault="000728AD">
            <w:pPr>
              <w:rPr>
                <w:sz w:val="24"/>
                <w:szCs w:val="24"/>
              </w:rPr>
            </w:pPr>
          </w:p>
        </w:tc>
        <w:tc>
          <w:tcPr>
            <w:tcW w:w="3520" w:type="dxa"/>
            <w:gridSpan w:val="9"/>
            <w:vAlign w:val="bottom"/>
          </w:tcPr>
          <w:p w:rsidR="000728AD" w:rsidRDefault="000561BE">
            <w:pPr>
              <w:rPr>
                <w:rFonts w:ascii="Arial" w:eastAsia="Arial" w:hAnsi="Arial" w:cs="Arial"/>
                <w:color w:val="0000FF"/>
                <w:w w:val="85"/>
              </w:rPr>
            </w:pPr>
            <w:hyperlink w:anchor="page5">
              <w:r>
                <w:rPr>
                  <w:rFonts w:ascii="Arial" w:eastAsia="Arial" w:hAnsi="Arial" w:cs="Arial"/>
                  <w:color w:val="0000FF"/>
                  <w:w w:val="85"/>
                </w:rPr>
                <w:t>Condensed Consolidated Balance Sheets</w:t>
              </w:r>
            </w:hyperlink>
          </w:p>
        </w:tc>
        <w:tc>
          <w:tcPr>
            <w:tcW w:w="6200" w:type="dxa"/>
            <w:gridSpan w:val="11"/>
            <w:vAlign w:val="bottom"/>
          </w:tcPr>
          <w:p w:rsidR="000728AD" w:rsidRDefault="000728AD">
            <w:pPr>
              <w:rPr>
                <w:sz w:val="24"/>
                <w:szCs w:val="24"/>
              </w:rPr>
            </w:pPr>
          </w:p>
        </w:tc>
        <w:tc>
          <w:tcPr>
            <w:tcW w:w="580" w:type="dxa"/>
            <w:gridSpan w:val="4"/>
            <w:vAlign w:val="bottom"/>
          </w:tcPr>
          <w:p w:rsidR="000728AD" w:rsidRDefault="000561BE">
            <w:pPr>
              <w:ind w:left="372"/>
              <w:jc w:val="center"/>
              <w:rPr>
                <w:rFonts w:ascii="Arial" w:eastAsia="Arial" w:hAnsi="Arial" w:cs="Arial"/>
                <w:color w:val="0000FF"/>
                <w:w w:val="81"/>
              </w:rPr>
            </w:pPr>
            <w:hyperlink w:anchor="page5">
              <w:r>
                <w:rPr>
                  <w:rFonts w:ascii="Arial" w:eastAsia="Arial" w:hAnsi="Arial" w:cs="Arial"/>
                  <w:color w:val="0000FF"/>
                  <w:w w:val="81"/>
                </w:rPr>
                <w:t>5</w:t>
              </w:r>
            </w:hyperlink>
          </w:p>
        </w:tc>
        <w:tc>
          <w:tcPr>
            <w:tcW w:w="60" w:type="dxa"/>
            <w:vAlign w:val="bottom"/>
          </w:tcPr>
          <w:p w:rsidR="000728AD" w:rsidRDefault="000728AD">
            <w:pPr>
              <w:rPr>
                <w:sz w:val="24"/>
                <w:szCs w:val="24"/>
              </w:rPr>
            </w:pPr>
          </w:p>
        </w:tc>
        <w:tc>
          <w:tcPr>
            <w:tcW w:w="60" w:type="dxa"/>
            <w:vAlign w:val="bottom"/>
          </w:tcPr>
          <w:p w:rsidR="000728AD" w:rsidRDefault="000728AD">
            <w:pPr>
              <w:rPr>
                <w:sz w:val="24"/>
                <w:szCs w:val="24"/>
              </w:rPr>
            </w:pPr>
          </w:p>
        </w:tc>
        <w:tc>
          <w:tcPr>
            <w:tcW w:w="360" w:type="dxa"/>
            <w:vAlign w:val="bottom"/>
          </w:tcPr>
          <w:p w:rsidR="000728AD" w:rsidRDefault="000728AD">
            <w:pPr>
              <w:rPr>
                <w:sz w:val="24"/>
                <w:szCs w:val="24"/>
              </w:rPr>
            </w:pPr>
          </w:p>
        </w:tc>
        <w:tc>
          <w:tcPr>
            <w:tcW w:w="0" w:type="dxa"/>
            <w:vAlign w:val="bottom"/>
          </w:tcPr>
          <w:p w:rsidR="000728AD" w:rsidRDefault="000728AD">
            <w:pPr>
              <w:rPr>
                <w:sz w:val="1"/>
                <w:szCs w:val="1"/>
              </w:rPr>
            </w:pPr>
          </w:p>
        </w:tc>
      </w:tr>
      <w:tr w:rsidR="000728AD">
        <w:trPr>
          <w:trHeight w:val="20"/>
        </w:trPr>
        <w:tc>
          <w:tcPr>
            <w:tcW w:w="20" w:type="dxa"/>
            <w:vAlign w:val="bottom"/>
          </w:tcPr>
          <w:p w:rsidR="000728AD" w:rsidRDefault="000728AD">
            <w:pPr>
              <w:spacing w:line="20" w:lineRule="exact"/>
              <w:rPr>
                <w:sz w:val="1"/>
                <w:szCs w:val="1"/>
              </w:rPr>
            </w:pPr>
          </w:p>
        </w:tc>
        <w:tc>
          <w:tcPr>
            <w:tcW w:w="40" w:type="dxa"/>
            <w:vAlign w:val="bottom"/>
          </w:tcPr>
          <w:p w:rsidR="000728AD" w:rsidRDefault="000728AD">
            <w:pPr>
              <w:spacing w:line="20" w:lineRule="exact"/>
              <w:rPr>
                <w:sz w:val="1"/>
                <w:szCs w:val="1"/>
              </w:rPr>
            </w:pPr>
          </w:p>
        </w:tc>
        <w:tc>
          <w:tcPr>
            <w:tcW w:w="400" w:type="dxa"/>
            <w:vAlign w:val="bottom"/>
          </w:tcPr>
          <w:p w:rsidR="000728AD" w:rsidRDefault="000728AD">
            <w:pPr>
              <w:spacing w:line="20" w:lineRule="exact"/>
              <w:rPr>
                <w:sz w:val="1"/>
                <w:szCs w:val="1"/>
              </w:rPr>
            </w:pPr>
          </w:p>
        </w:tc>
        <w:tc>
          <w:tcPr>
            <w:tcW w:w="880" w:type="dxa"/>
            <w:shd w:val="clear" w:color="auto" w:fill="0000FF"/>
            <w:vAlign w:val="bottom"/>
          </w:tcPr>
          <w:p w:rsidR="000728AD" w:rsidRDefault="000728AD">
            <w:pPr>
              <w:spacing w:line="20" w:lineRule="exact"/>
              <w:rPr>
                <w:sz w:val="1"/>
                <w:szCs w:val="1"/>
              </w:rPr>
            </w:pPr>
          </w:p>
        </w:tc>
        <w:tc>
          <w:tcPr>
            <w:tcW w:w="80" w:type="dxa"/>
            <w:shd w:val="clear" w:color="auto" w:fill="0000FF"/>
            <w:vAlign w:val="bottom"/>
          </w:tcPr>
          <w:p w:rsidR="000728AD" w:rsidRDefault="000728AD">
            <w:pPr>
              <w:spacing w:line="20" w:lineRule="exact"/>
              <w:rPr>
                <w:sz w:val="1"/>
                <w:szCs w:val="1"/>
              </w:rPr>
            </w:pPr>
          </w:p>
        </w:tc>
        <w:tc>
          <w:tcPr>
            <w:tcW w:w="520" w:type="dxa"/>
            <w:shd w:val="clear" w:color="auto" w:fill="0000FF"/>
            <w:vAlign w:val="bottom"/>
          </w:tcPr>
          <w:p w:rsidR="000728AD" w:rsidRDefault="000728AD">
            <w:pPr>
              <w:spacing w:line="20" w:lineRule="exact"/>
              <w:rPr>
                <w:sz w:val="1"/>
                <w:szCs w:val="1"/>
              </w:rPr>
            </w:pPr>
          </w:p>
        </w:tc>
        <w:tc>
          <w:tcPr>
            <w:tcW w:w="320" w:type="dxa"/>
            <w:shd w:val="clear" w:color="auto" w:fill="0000FF"/>
            <w:vAlign w:val="bottom"/>
          </w:tcPr>
          <w:p w:rsidR="000728AD" w:rsidRDefault="000728AD">
            <w:pPr>
              <w:spacing w:line="20" w:lineRule="exact"/>
              <w:rPr>
                <w:sz w:val="1"/>
                <w:szCs w:val="1"/>
              </w:rPr>
            </w:pPr>
          </w:p>
        </w:tc>
        <w:tc>
          <w:tcPr>
            <w:tcW w:w="40" w:type="dxa"/>
            <w:shd w:val="clear" w:color="auto" w:fill="0000FF"/>
            <w:vAlign w:val="bottom"/>
          </w:tcPr>
          <w:p w:rsidR="000728AD" w:rsidRDefault="000728AD">
            <w:pPr>
              <w:spacing w:line="20" w:lineRule="exact"/>
              <w:rPr>
                <w:sz w:val="1"/>
                <w:szCs w:val="1"/>
              </w:rPr>
            </w:pPr>
          </w:p>
        </w:tc>
        <w:tc>
          <w:tcPr>
            <w:tcW w:w="520" w:type="dxa"/>
            <w:shd w:val="clear" w:color="auto" w:fill="0000FF"/>
            <w:vAlign w:val="bottom"/>
          </w:tcPr>
          <w:p w:rsidR="000728AD" w:rsidRDefault="000728AD">
            <w:pPr>
              <w:spacing w:line="20" w:lineRule="exact"/>
              <w:rPr>
                <w:sz w:val="1"/>
                <w:szCs w:val="1"/>
              </w:rPr>
            </w:pPr>
          </w:p>
        </w:tc>
        <w:tc>
          <w:tcPr>
            <w:tcW w:w="660" w:type="dxa"/>
            <w:shd w:val="clear" w:color="auto" w:fill="0000FF"/>
            <w:vAlign w:val="bottom"/>
          </w:tcPr>
          <w:p w:rsidR="000728AD" w:rsidRDefault="000728AD">
            <w:pPr>
              <w:spacing w:line="20" w:lineRule="exact"/>
              <w:rPr>
                <w:sz w:val="1"/>
                <w:szCs w:val="1"/>
              </w:rPr>
            </w:pPr>
          </w:p>
        </w:tc>
        <w:tc>
          <w:tcPr>
            <w:tcW w:w="500" w:type="dxa"/>
            <w:gridSpan w:val="2"/>
            <w:shd w:val="clear" w:color="auto" w:fill="0000FF"/>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840" w:type="dxa"/>
            <w:vAlign w:val="bottom"/>
          </w:tcPr>
          <w:p w:rsidR="000728AD" w:rsidRDefault="000728AD">
            <w:pPr>
              <w:spacing w:line="20" w:lineRule="exact"/>
              <w:rPr>
                <w:sz w:val="1"/>
                <w:szCs w:val="1"/>
              </w:rPr>
            </w:pPr>
          </w:p>
        </w:tc>
        <w:tc>
          <w:tcPr>
            <w:tcW w:w="920" w:type="dxa"/>
            <w:vAlign w:val="bottom"/>
          </w:tcPr>
          <w:p w:rsidR="000728AD" w:rsidRDefault="000728AD">
            <w:pPr>
              <w:spacing w:line="20" w:lineRule="exact"/>
              <w:rPr>
                <w:sz w:val="1"/>
                <w:szCs w:val="1"/>
              </w:rPr>
            </w:pPr>
          </w:p>
        </w:tc>
        <w:tc>
          <w:tcPr>
            <w:tcW w:w="80" w:type="dxa"/>
            <w:vAlign w:val="bottom"/>
          </w:tcPr>
          <w:p w:rsidR="000728AD" w:rsidRDefault="000728AD">
            <w:pPr>
              <w:spacing w:line="20" w:lineRule="exact"/>
              <w:rPr>
                <w:sz w:val="1"/>
                <w:szCs w:val="1"/>
              </w:rPr>
            </w:pPr>
          </w:p>
        </w:tc>
        <w:tc>
          <w:tcPr>
            <w:tcW w:w="280" w:type="dxa"/>
            <w:vAlign w:val="bottom"/>
          </w:tcPr>
          <w:p w:rsidR="000728AD" w:rsidRDefault="000728AD">
            <w:pPr>
              <w:spacing w:line="20" w:lineRule="exact"/>
              <w:rPr>
                <w:sz w:val="1"/>
                <w:szCs w:val="1"/>
              </w:rPr>
            </w:pPr>
          </w:p>
        </w:tc>
        <w:tc>
          <w:tcPr>
            <w:tcW w:w="320" w:type="dxa"/>
            <w:vAlign w:val="bottom"/>
          </w:tcPr>
          <w:p w:rsidR="000728AD" w:rsidRDefault="000728AD">
            <w:pPr>
              <w:spacing w:line="20" w:lineRule="exact"/>
              <w:rPr>
                <w:sz w:val="1"/>
                <w:szCs w:val="1"/>
              </w:rPr>
            </w:pPr>
          </w:p>
        </w:tc>
        <w:tc>
          <w:tcPr>
            <w:tcW w:w="560" w:type="dxa"/>
            <w:vAlign w:val="bottom"/>
          </w:tcPr>
          <w:p w:rsidR="000728AD" w:rsidRDefault="000728AD">
            <w:pPr>
              <w:spacing w:line="20" w:lineRule="exact"/>
              <w:rPr>
                <w:sz w:val="1"/>
                <w:szCs w:val="1"/>
              </w:rPr>
            </w:pPr>
          </w:p>
        </w:tc>
        <w:tc>
          <w:tcPr>
            <w:tcW w:w="80" w:type="dxa"/>
            <w:vAlign w:val="bottom"/>
          </w:tcPr>
          <w:p w:rsidR="000728AD" w:rsidRDefault="000728AD">
            <w:pPr>
              <w:spacing w:line="20" w:lineRule="exact"/>
              <w:rPr>
                <w:sz w:val="1"/>
                <w:szCs w:val="1"/>
              </w:rPr>
            </w:pPr>
          </w:p>
        </w:tc>
        <w:tc>
          <w:tcPr>
            <w:tcW w:w="1260" w:type="dxa"/>
            <w:gridSpan w:val="2"/>
            <w:vAlign w:val="bottom"/>
          </w:tcPr>
          <w:p w:rsidR="000728AD" w:rsidRDefault="000728AD">
            <w:pPr>
              <w:spacing w:line="20" w:lineRule="exact"/>
              <w:rPr>
                <w:sz w:val="1"/>
                <w:szCs w:val="1"/>
              </w:rPr>
            </w:pPr>
          </w:p>
        </w:tc>
        <w:tc>
          <w:tcPr>
            <w:tcW w:w="1760" w:type="dxa"/>
            <w:vAlign w:val="bottom"/>
          </w:tcPr>
          <w:p w:rsidR="000728AD" w:rsidRDefault="000728AD">
            <w:pPr>
              <w:spacing w:line="20" w:lineRule="exact"/>
              <w:rPr>
                <w:sz w:val="1"/>
                <w:szCs w:val="1"/>
              </w:rPr>
            </w:pPr>
          </w:p>
        </w:tc>
        <w:tc>
          <w:tcPr>
            <w:tcW w:w="380" w:type="dxa"/>
            <w:vAlign w:val="bottom"/>
          </w:tcPr>
          <w:p w:rsidR="000728AD" w:rsidRDefault="000728AD">
            <w:pPr>
              <w:spacing w:line="20" w:lineRule="exact"/>
              <w:rPr>
                <w:sz w:val="1"/>
                <w:szCs w:val="1"/>
              </w:rPr>
            </w:pPr>
          </w:p>
        </w:tc>
        <w:tc>
          <w:tcPr>
            <w:tcW w:w="40" w:type="dxa"/>
            <w:vAlign w:val="bottom"/>
          </w:tcPr>
          <w:p w:rsidR="000728AD" w:rsidRDefault="000728AD">
            <w:pPr>
              <w:spacing w:line="20" w:lineRule="exact"/>
              <w:rPr>
                <w:sz w:val="1"/>
                <w:szCs w:val="1"/>
              </w:rPr>
            </w:pPr>
          </w:p>
        </w:tc>
        <w:tc>
          <w:tcPr>
            <w:tcW w:w="60" w:type="dxa"/>
            <w:vAlign w:val="bottom"/>
          </w:tcPr>
          <w:p w:rsidR="000728AD" w:rsidRDefault="000728AD">
            <w:pPr>
              <w:spacing w:line="20" w:lineRule="exact"/>
              <w:rPr>
                <w:sz w:val="1"/>
                <w:szCs w:val="1"/>
              </w:rPr>
            </w:pPr>
          </w:p>
        </w:tc>
        <w:tc>
          <w:tcPr>
            <w:tcW w:w="100" w:type="dxa"/>
            <w:shd w:val="clear" w:color="auto" w:fill="0000FF"/>
            <w:vAlign w:val="bottom"/>
          </w:tcPr>
          <w:p w:rsidR="000728AD" w:rsidRDefault="000728AD">
            <w:pPr>
              <w:spacing w:line="20" w:lineRule="exact"/>
              <w:rPr>
                <w:sz w:val="1"/>
                <w:szCs w:val="1"/>
              </w:rPr>
            </w:pPr>
          </w:p>
        </w:tc>
        <w:tc>
          <w:tcPr>
            <w:tcW w:w="60" w:type="dxa"/>
            <w:vAlign w:val="bottom"/>
          </w:tcPr>
          <w:p w:rsidR="000728AD" w:rsidRDefault="000728AD">
            <w:pPr>
              <w:spacing w:line="20" w:lineRule="exact"/>
              <w:rPr>
                <w:sz w:val="1"/>
                <w:szCs w:val="1"/>
              </w:rPr>
            </w:pPr>
          </w:p>
        </w:tc>
        <w:tc>
          <w:tcPr>
            <w:tcW w:w="60" w:type="dxa"/>
            <w:vAlign w:val="bottom"/>
          </w:tcPr>
          <w:p w:rsidR="000728AD" w:rsidRDefault="000728AD">
            <w:pPr>
              <w:spacing w:line="20" w:lineRule="exact"/>
              <w:rPr>
                <w:sz w:val="1"/>
                <w:szCs w:val="1"/>
              </w:rPr>
            </w:pPr>
          </w:p>
        </w:tc>
        <w:tc>
          <w:tcPr>
            <w:tcW w:w="360" w:type="dxa"/>
            <w:vAlign w:val="bottom"/>
          </w:tcPr>
          <w:p w:rsidR="000728AD" w:rsidRDefault="000728AD">
            <w:pPr>
              <w:spacing w:line="20" w:lineRule="exact"/>
              <w:rPr>
                <w:sz w:val="1"/>
                <w:szCs w:val="1"/>
              </w:rPr>
            </w:pPr>
          </w:p>
        </w:tc>
        <w:tc>
          <w:tcPr>
            <w:tcW w:w="0" w:type="dxa"/>
            <w:vAlign w:val="bottom"/>
          </w:tcPr>
          <w:p w:rsidR="000728AD" w:rsidRDefault="000728AD">
            <w:pPr>
              <w:spacing w:line="20" w:lineRule="exact"/>
              <w:rPr>
                <w:sz w:val="1"/>
                <w:szCs w:val="1"/>
              </w:rPr>
            </w:pPr>
          </w:p>
        </w:tc>
      </w:tr>
      <w:tr w:rsidR="000728AD">
        <w:trPr>
          <w:trHeight w:val="298"/>
        </w:trPr>
        <w:tc>
          <w:tcPr>
            <w:tcW w:w="20" w:type="dxa"/>
            <w:vAlign w:val="bottom"/>
          </w:tcPr>
          <w:p w:rsidR="000728AD" w:rsidRDefault="000728AD">
            <w:pPr>
              <w:rPr>
                <w:sz w:val="24"/>
                <w:szCs w:val="24"/>
              </w:rPr>
            </w:pPr>
          </w:p>
        </w:tc>
        <w:tc>
          <w:tcPr>
            <w:tcW w:w="40" w:type="dxa"/>
            <w:vAlign w:val="bottom"/>
          </w:tcPr>
          <w:p w:rsidR="000728AD" w:rsidRDefault="000728AD">
            <w:pPr>
              <w:rPr>
                <w:sz w:val="24"/>
                <w:szCs w:val="24"/>
              </w:rPr>
            </w:pPr>
          </w:p>
        </w:tc>
        <w:tc>
          <w:tcPr>
            <w:tcW w:w="400" w:type="dxa"/>
            <w:vAlign w:val="bottom"/>
          </w:tcPr>
          <w:p w:rsidR="000728AD" w:rsidRDefault="000728AD">
            <w:pPr>
              <w:rPr>
                <w:sz w:val="24"/>
                <w:szCs w:val="24"/>
              </w:rPr>
            </w:pPr>
          </w:p>
        </w:tc>
        <w:tc>
          <w:tcPr>
            <w:tcW w:w="9720" w:type="dxa"/>
            <w:gridSpan w:val="20"/>
            <w:vAlign w:val="bottom"/>
          </w:tcPr>
          <w:p w:rsidR="000728AD" w:rsidRDefault="000561BE">
            <w:pPr>
              <w:rPr>
                <w:rFonts w:ascii="Arial" w:eastAsia="Arial" w:hAnsi="Arial" w:cs="Arial"/>
                <w:color w:val="0000FF"/>
              </w:rPr>
            </w:pPr>
            <w:hyperlink w:anchor="page5">
              <w:r>
                <w:rPr>
                  <w:rFonts w:ascii="Arial" w:eastAsia="Arial" w:hAnsi="Arial" w:cs="Arial"/>
                  <w:color w:val="0000FF"/>
                </w:rPr>
                <w:t>Condensed Consolidated Statements of Operations and Comprehensive Loss</w:t>
              </w:r>
            </w:hyperlink>
          </w:p>
        </w:tc>
        <w:tc>
          <w:tcPr>
            <w:tcW w:w="580" w:type="dxa"/>
            <w:gridSpan w:val="4"/>
            <w:vAlign w:val="bottom"/>
          </w:tcPr>
          <w:p w:rsidR="000728AD" w:rsidRDefault="000561BE">
            <w:pPr>
              <w:ind w:left="372"/>
              <w:jc w:val="center"/>
              <w:rPr>
                <w:rFonts w:ascii="Arial" w:eastAsia="Arial" w:hAnsi="Arial" w:cs="Arial"/>
                <w:color w:val="0000FF"/>
                <w:w w:val="81"/>
              </w:rPr>
            </w:pPr>
            <w:hyperlink w:anchor="page5">
              <w:r>
                <w:rPr>
                  <w:rFonts w:ascii="Arial" w:eastAsia="Arial" w:hAnsi="Arial" w:cs="Arial"/>
                  <w:color w:val="0000FF"/>
                  <w:w w:val="81"/>
                </w:rPr>
                <w:t>6</w:t>
              </w:r>
            </w:hyperlink>
          </w:p>
        </w:tc>
        <w:tc>
          <w:tcPr>
            <w:tcW w:w="60" w:type="dxa"/>
            <w:vAlign w:val="bottom"/>
          </w:tcPr>
          <w:p w:rsidR="000728AD" w:rsidRDefault="000728AD">
            <w:pPr>
              <w:rPr>
                <w:sz w:val="24"/>
                <w:szCs w:val="24"/>
              </w:rPr>
            </w:pPr>
          </w:p>
        </w:tc>
        <w:tc>
          <w:tcPr>
            <w:tcW w:w="60" w:type="dxa"/>
            <w:vAlign w:val="bottom"/>
          </w:tcPr>
          <w:p w:rsidR="000728AD" w:rsidRDefault="000728AD">
            <w:pPr>
              <w:rPr>
                <w:sz w:val="24"/>
                <w:szCs w:val="24"/>
              </w:rPr>
            </w:pPr>
          </w:p>
        </w:tc>
        <w:tc>
          <w:tcPr>
            <w:tcW w:w="360" w:type="dxa"/>
            <w:vAlign w:val="bottom"/>
          </w:tcPr>
          <w:p w:rsidR="000728AD" w:rsidRDefault="000728AD">
            <w:pPr>
              <w:rPr>
                <w:sz w:val="24"/>
                <w:szCs w:val="24"/>
              </w:rPr>
            </w:pPr>
          </w:p>
        </w:tc>
        <w:tc>
          <w:tcPr>
            <w:tcW w:w="0" w:type="dxa"/>
            <w:vAlign w:val="bottom"/>
          </w:tcPr>
          <w:p w:rsidR="000728AD" w:rsidRDefault="000728AD">
            <w:pPr>
              <w:rPr>
                <w:sz w:val="1"/>
                <w:szCs w:val="1"/>
              </w:rPr>
            </w:pPr>
          </w:p>
        </w:tc>
      </w:tr>
      <w:tr w:rsidR="000728AD">
        <w:trPr>
          <w:trHeight w:val="283"/>
        </w:trPr>
        <w:tc>
          <w:tcPr>
            <w:tcW w:w="20" w:type="dxa"/>
            <w:vAlign w:val="bottom"/>
          </w:tcPr>
          <w:p w:rsidR="000728AD" w:rsidRDefault="000728AD">
            <w:pPr>
              <w:rPr>
                <w:sz w:val="24"/>
                <w:szCs w:val="24"/>
              </w:rPr>
            </w:pPr>
          </w:p>
        </w:tc>
        <w:tc>
          <w:tcPr>
            <w:tcW w:w="40" w:type="dxa"/>
            <w:vAlign w:val="bottom"/>
          </w:tcPr>
          <w:p w:rsidR="000728AD" w:rsidRDefault="000728AD">
            <w:pPr>
              <w:rPr>
                <w:sz w:val="24"/>
                <w:szCs w:val="24"/>
              </w:rPr>
            </w:pPr>
          </w:p>
        </w:tc>
        <w:tc>
          <w:tcPr>
            <w:tcW w:w="400" w:type="dxa"/>
            <w:vAlign w:val="bottom"/>
          </w:tcPr>
          <w:p w:rsidR="000728AD" w:rsidRDefault="000728AD">
            <w:pPr>
              <w:rPr>
                <w:sz w:val="24"/>
                <w:szCs w:val="24"/>
              </w:rPr>
            </w:pPr>
          </w:p>
        </w:tc>
        <w:tc>
          <w:tcPr>
            <w:tcW w:w="4460" w:type="dxa"/>
            <w:gridSpan w:val="11"/>
            <w:tcBorders>
              <w:top w:val="single" w:sz="8" w:space="0" w:color="0000FF"/>
            </w:tcBorders>
            <w:vAlign w:val="bottom"/>
          </w:tcPr>
          <w:p w:rsidR="000728AD" w:rsidRDefault="000561BE">
            <w:pPr>
              <w:rPr>
                <w:rFonts w:ascii="Arial" w:eastAsia="Arial" w:hAnsi="Arial" w:cs="Arial"/>
                <w:color w:val="0000FF"/>
                <w:w w:val="87"/>
              </w:rPr>
            </w:pPr>
            <w:hyperlink w:anchor="page6">
              <w:r>
                <w:rPr>
                  <w:rFonts w:ascii="Arial" w:eastAsia="Arial" w:hAnsi="Arial" w:cs="Arial"/>
                  <w:color w:val="0000FF"/>
                  <w:w w:val="87"/>
                </w:rPr>
                <w:t>Condensed Consolidated Statements of Cash Flows</w:t>
              </w:r>
            </w:hyperlink>
          </w:p>
        </w:tc>
        <w:tc>
          <w:tcPr>
            <w:tcW w:w="2160" w:type="dxa"/>
            <w:gridSpan w:val="5"/>
            <w:tcBorders>
              <w:top w:val="single" w:sz="8" w:space="0" w:color="0000FF"/>
            </w:tcBorders>
            <w:vAlign w:val="bottom"/>
          </w:tcPr>
          <w:p w:rsidR="000728AD" w:rsidRDefault="000728AD">
            <w:pPr>
              <w:rPr>
                <w:sz w:val="24"/>
                <w:szCs w:val="24"/>
              </w:rPr>
            </w:pPr>
          </w:p>
        </w:tc>
        <w:tc>
          <w:tcPr>
            <w:tcW w:w="3100" w:type="dxa"/>
            <w:gridSpan w:val="4"/>
            <w:vAlign w:val="bottom"/>
          </w:tcPr>
          <w:p w:rsidR="000728AD" w:rsidRDefault="000728AD">
            <w:pPr>
              <w:rPr>
                <w:sz w:val="24"/>
                <w:szCs w:val="24"/>
              </w:rPr>
            </w:pPr>
          </w:p>
        </w:tc>
        <w:tc>
          <w:tcPr>
            <w:tcW w:w="580" w:type="dxa"/>
            <w:gridSpan w:val="4"/>
            <w:vAlign w:val="bottom"/>
          </w:tcPr>
          <w:p w:rsidR="000728AD" w:rsidRDefault="000561BE">
            <w:pPr>
              <w:ind w:left="372"/>
              <w:jc w:val="center"/>
              <w:rPr>
                <w:rFonts w:ascii="Arial" w:eastAsia="Arial" w:hAnsi="Arial" w:cs="Arial"/>
                <w:color w:val="0000FF"/>
                <w:w w:val="81"/>
              </w:rPr>
            </w:pPr>
            <w:hyperlink w:anchor="page6">
              <w:r>
                <w:rPr>
                  <w:rFonts w:ascii="Arial" w:eastAsia="Arial" w:hAnsi="Arial" w:cs="Arial"/>
                  <w:color w:val="0000FF"/>
                  <w:w w:val="81"/>
                </w:rPr>
                <w:t>7</w:t>
              </w:r>
            </w:hyperlink>
          </w:p>
        </w:tc>
        <w:tc>
          <w:tcPr>
            <w:tcW w:w="60" w:type="dxa"/>
            <w:vAlign w:val="bottom"/>
          </w:tcPr>
          <w:p w:rsidR="000728AD" w:rsidRDefault="000728AD">
            <w:pPr>
              <w:rPr>
                <w:sz w:val="24"/>
                <w:szCs w:val="24"/>
              </w:rPr>
            </w:pPr>
          </w:p>
        </w:tc>
        <w:tc>
          <w:tcPr>
            <w:tcW w:w="60" w:type="dxa"/>
            <w:vAlign w:val="bottom"/>
          </w:tcPr>
          <w:p w:rsidR="000728AD" w:rsidRDefault="000728AD">
            <w:pPr>
              <w:rPr>
                <w:sz w:val="24"/>
                <w:szCs w:val="24"/>
              </w:rPr>
            </w:pPr>
          </w:p>
        </w:tc>
        <w:tc>
          <w:tcPr>
            <w:tcW w:w="360" w:type="dxa"/>
            <w:vAlign w:val="bottom"/>
          </w:tcPr>
          <w:p w:rsidR="000728AD" w:rsidRDefault="000728AD">
            <w:pPr>
              <w:rPr>
                <w:sz w:val="24"/>
                <w:szCs w:val="24"/>
              </w:rPr>
            </w:pPr>
          </w:p>
        </w:tc>
        <w:tc>
          <w:tcPr>
            <w:tcW w:w="0" w:type="dxa"/>
            <w:vAlign w:val="bottom"/>
          </w:tcPr>
          <w:p w:rsidR="000728AD" w:rsidRDefault="000728AD">
            <w:pPr>
              <w:rPr>
                <w:sz w:val="1"/>
                <w:szCs w:val="1"/>
              </w:rPr>
            </w:pPr>
          </w:p>
        </w:tc>
      </w:tr>
      <w:tr w:rsidR="000728AD">
        <w:trPr>
          <w:trHeight w:val="20"/>
        </w:trPr>
        <w:tc>
          <w:tcPr>
            <w:tcW w:w="20" w:type="dxa"/>
            <w:vAlign w:val="bottom"/>
          </w:tcPr>
          <w:p w:rsidR="000728AD" w:rsidRDefault="000728AD">
            <w:pPr>
              <w:spacing w:line="20" w:lineRule="exact"/>
              <w:rPr>
                <w:sz w:val="1"/>
                <w:szCs w:val="1"/>
              </w:rPr>
            </w:pPr>
          </w:p>
        </w:tc>
        <w:tc>
          <w:tcPr>
            <w:tcW w:w="40" w:type="dxa"/>
            <w:vAlign w:val="bottom"/>
          </w:tcPr>
          <w:p w:rsidR="000728AD" w:rsidRDefault="000728AD">
            <w:pPr>
              <w:spacing w:line="20" w:lineRule="exact"/>
              <w:rPr>
                <w:sz w:val="1"/>
                <w:szCs w:val="1"/>
              </w:rPr>
            </w:pPr>
          </w:p>
        </w:tc>
        <w:tc>
          <w:tcPr>
            <w:tcW w:w="400" w:type="dxa"/>
            <w:vAlign w:val="bottom"/>
          </w:tcPr>
          <w:p w:rsidR="000728AD" w:rsidRDefault="000728AD">
            <w:pPr>
              <w:spacing w:line="20" w:lineRule="exact"/>
              <w:rPr>
                <w:sz w:val="1"/>
                <w:szCs w:val="1"/>
              </w:rPr>
            </w:pPr>
          </w:p>
        </w:tc>
        <w:tc>
          <w:tcPr>
            <w:tcW w:w="880" w:type="dxa"/>
            <w:shd w:val="clear" w:color="auto" w:fill="0000FF"/>
            <w:vAlign w:val="bottom"/>
          </w:tcPr>
          <w:p w:rsidR="000728AD" w:rsidRDefault="000728AD">
            <w:pPr>
              <w:spacing w:line="20" w:lineRule="exact"/>
              <w:rPr>
                <w:sz w:val="1"/>
                <w:szCs w:val="1"/>
              </w:rPr>
            </w:pPr>
          </w:p>
        </w:tc>
        <w:tc>
          <w:tcPr>
            <w:tcW w:w="80" w:type="dxa"/>
            <w:shd w:val="clear" w:color="auto" w:fill="0000FF"/>
            <w:vAlign w:val="bottom"/>
          </w:tcPr>
          <w:p w:rsidR="000728AD" w:rsidRDefault="000728AD">
            <w:pPr>
              <w:spacing w:line="20" w:lineRule="exact"/>
              <w:rPr>
                <w:sz w:val="1"/>
                <w:szCs w:val="1"/>
              </w:rPr>
            </w:pPr>
          </w:p>
        </w:tc>
        <w:tc>
          <w:tcPr>
            <w:tcW w:w="520" w:type="dxa"/>
            <w:shd w:val="clear" w:color="auto" w:fill="0000FF"/>
            <w:vAlign w:val="bottom"/>
          </w:tcPr>
          <w:p w:rsidR="000728AD" w:rsidRDefault="000728AD">
            <w:pPr>
              <w:spacing w:line="20" w:lineRule="exact"/>
              <w:rPr>
                <w:sz w:val="1"/>
                <w:szCs w:val="1"/>
              </w:rPr>
            </w:pPr>
          </w:p>
        </w:tc>
        <w:tc>
          <w:tcPr>
            <w:tcW w:w="320" w:type="dxa"/>
            <w:shd w:val="clear" w:color="auto" w:fill="0000FF"/>
            <w:vAlign w:val="bottom"/>
          </w:tcPr>
          <w:p w:rsidR="000728AD" w:rsidRDefault="000728AD">
            <w:pPr>
              <w:spacing w:line="20" w:lineRule="exact"/>
              <w:rPr>
                <w:sz w:val="1"/>
                <w:szCs w:val="1"/>
              </w:rPr>
            </w:pPr>
          </w:p>
        </w:tc>
        <w:tc>
          <w:tcPr>
            <w:tcW w:w="40" w:type="dxa"/>
            <w:shd w:val="clear" w:color="auto" w:fill="0000FF"/>
            <w:vAlign w:val="bottom"/>
          </w:tcPr>
          <w:p w:rsidR="000728AD" w:rsidRDefault="000728AD">
            <w:pPr>
              <w:spacing w:line="20" w:lineRule="exact"/>
              <w:rPr>
                <w:sz w:val="1"/>
                <w:szCs w:val="1"/>
              </w:rPr>
            </w:pPr>
          </w:p>
        </w:tc>
        <w:tc>
          <w:tcPr>
            <w:tcW w:w="520" w:type="dxa"/>
            <w:shd w:val="clear" w:color="auto" w:fill="0000FF"/>
            <w:vAlign w:val="bottom"/>
          </w:tcPr>
          <w:p w:rsidR="000728AD" w:rsidRDefault="000728AD">
            <w:pPr>
              <w:spacing w:line="20" w:lineRule="exact"/>
              <w:rPr>
                <w:sz w:val="1"/>
                <w:szCs w:val="1"/>
              </w:rPr>
            </w:pPr>
          </w:p>
        </w:tc>
        <w:tc>
          <w:tcPr>
            <w:tcW w:w="660" w:type="dxa"/>
            <w:shd w:val="clear" w:color="auto" w:fill="0000FF"/>
            <w:vAlign w:val="bottom"/>
          </w:tcPr>
          <w:p w:rsidR="000728AD" w:rsidRDefault="000728AD">
            <w:pPr>
              <w:spacing w:line="20" w:lineRule="exact"/>
              <w:rPr>
                <w:sz w:val="1"/>
                <w:szCs w:val="1"/>
              </w:rPr>
            </w:pPr>
          </w:p>
        </w:tc>
        <w:tc>
          <w:tcPr>
            <w:tcW w:w="600" w:type="dxa"/>
            <w:gridSpan w:val="3"/>
            <w:shd w:val="clear" w:color="auto" w:fill="0000FF"/>
            <w:vAlign w:val="bottom"/>
          </w:tcPr>
          <w:p w:rsidR="000728AD" w:rsidRDefault="000728AD">
            <w:pPr>
              <w:spacing w:line="20" w:lineRule="exact"/>
              <w:rPr>
                <w:sz w:val="1"/>
                <w:szCs w:val="1"/>
              </w:rPr>
            </w:pPr>
          </w:p>
        </w:tc>
        <w:tc>
          <w:tcPr>
            <w:tcW w:w="840" w:type="dxa"/>
            <w:shd w:val="clear" w:color="auto" w:fill="0000FF"/>
            <w:vAlign w:val="bottom"/>
          </w:tcPr>
          <w:p w:rsidR="000728AD" w:rsidRDefault="000728AD">
            <w:pPr>
              <w:spacing w:line="20" w:lineRule="exact"/>
              <w:rPr>
                <w:sz w:val="1"/>
                <w:szCs w:val="1"/>
              </w:rPr>
            </w:pPr>
          </w:p>
        </w:tc>
        <w:tc>
          <w:tcPr>
            <w:tcW w:w="920" w:type="dxa"/>
            <w:vAlign w:val="bottom"/>
          </w:tcPr>
          <w:p w:rsidR="000728AD" w:rsidRDefault="000728AD">
            <w:pPr>
              <w:spacing w:line="20" w:lineRule="exact"/>
              <w:rPr>
                <w:sz w:val="1"/>
                <w:szCs w:val="1"/>
              </w:rPr>
            </w:pPr>
          </w:p>
        </w:tc>
        <w:tc>
          <w:tcPr>
            <w:tcW w:w="80" w:type="dxa"/>
            <w:vAlign w:val="bottom"/>
          </w:tcPr>
          <w:p w:rsidR="000728AD" w:rsidRDefault="000728AD">
            <w:pPr>
              <w:spacing w:line="20" w:lineRule="exact"/>
              <w:rPr>
                <w:sz w:val="1"/>
                <w:szCs w:val="1"/>
              </w:rPr>
            </w:pPr>
          </w:p>
        </w:tc>
        <w:tc>
          <w:tcPr>
            <w:tcW w:w="280" w:type="dxa"/>
            <w:vAlign w:val="bottom"/>
          </w:tcPr>
          <w:p w:rsidR="000728AD" w:rsidRDefault="000728AD">
            <w:pPr>
              <w:spacing w:line="20" w:lineRule="exact"/>
              <w:rPr>
                <w:sz w:val="1"/>
                <w:szCs w:val="1"/>
              </w:rPr>
            </w:pPr>
          </w:p>
        </w:tc>
        <w:tc>
          <w:tcPr>
            <w:tcW w:w="320" w:type="dxa"/>
            <w:vAlign w:val="bottom"/>
          </w:tcPr>
          <w:p w:rsidR="000728AD" w:rsidRDefault="000728AD">
            <w:pPr>
              <w:spacing w:line="20" w:lineRule="exact"/>
              <w:rPr>
                <w:sz w:val="1"/>
                <w:szCs w:val="1"/>
              </w:rPr>
            </w:pPr>
          </w:p>
        </w:tc>
        <w:tc>
          <w:tcPr>
            <w:tcW w:w="640" w:type="dxa"/>
            <w:gridSpan w:val="2"/>
            <w:vAlign w:val="bottom"/>
          </w:tcPr>
          <w:p w:rsidR="000728AD" w:rsidRDefault="000728AD">
            <w:pPr>
              <w:spacing w:line="20" w:lineRule="exact"/>
              <w:rPr>
                <w:sz w:val="1"/>
                <w:szCs w:val="1"/>
              </w:rPr>
            </w:pPr>
          </w:p>
        </w:tc>
        <w:tc>
          <w:tcPr>
            <w:tcW w:w="1260" w:type="dxa"/>
            <w:gridSpan w:val="2"/>
            <w:vAlign w:val="bottom"/>
          </w:tcPr>
          <w:p w:rsidR="000728AD" w:rsidRDefault="000728AD">
            <w:pPr>
              <w:spacing w:line="20" w:lineRule="exact"/>
              <w:rPr>
                <w:sz w:val="1"/>
                <w:szCs w:val="1"/>
              </w:rPr>
            </w:pPr>
          </w:p>
        </w:tc>
        <w:tc>
          <w:tcPr>
            <w:tcW w:w="1760" w:type="dxa"/>
            <w:vAlign w:val="bottom"/>
          </w:tcPr>
          <w:p w:rsidR="000728AD" w:rsidRDefault="000728AD">
            <w:pPr>
              <w:spacing w:line="20" w:lineRule="exact"/>
              <w:rPr>
                <w:sz w:val="1"/>
                <w:szCs w:val="1"/>
              </w:rPr>
            </w:pPr>
          </w:p>
        </w:tc>
        <w:tc>
          <w:tcPr>
            <w:tcW w:w="380" w:type="dxa"/>
            <w:vAlign w:val="bottom"/>
          </w:tcPr>
          <w:p w:rsidR="000728AD" w:rsidRDefault="000728AD">
            <w:pPr>
              <w:spacing w:line="20" w:lineRule="exact"/>
              <w:rPr>
                <w:sz w:val="1"/>
                <w:szCs w:val="1"/>
              </w:rPr>
            </w:pPr>
          </w:p>
        </w:tc>
        <w:tc>
          <w:tcPr>
            <w:tcW w:w="40" w:type="dxa"/>
            <w:vAlign w:val="bottom"/>
          </w:tcPr>
          <w:p w:rsidR="000728AD" w:rsidRDefault="000728AD">
            <w:pPr>
              <w:spacing w:line="20" w:lineRule="exact"/>
              <w:rPr>
                <w:sz w:val="1"/>
                <w:szCs w:val="1"/>
              </w:rPr>
            </w:pPr>
          </w:p>
        </w:tc>
        <w:tc>
          <w:tcPr>
            <w:tcW w:w="60" w:type="dxa"/>
            <w:vAlign w:val="bottom"/>
          </w:tcPr>
          <w:p w:rsidR="000728AD" w:rsidRDefault="000728AD">
            <w:pPr>
              <w:spacing w:line="20" w:lineRule="exact"/>
              <w:rPr>
                <w:sz w:val="1"/>
                <w:szCs w:val="1"/>
              </w:rPr>
            </w:pPr>
          </w:p>
        </w:tc>
        <w:tc>
          <w:tcPr>
            <w:tcW w:w="100" w:type="dxa"/>
            <w:shd w:val="clear" w:color="auto" w:fill="0000FF"/>
            <w:vAlign w:val="bottom"/>
          </w:tcPr>
          <w:p w:rsidR="000728AD" w:rsidRDefault="000728AD">
            <w:pPr>
              <w:spacing w:line="20" w:lineRule="exact"/>
              <w:rPr>
                <w:sz w:val="1"/>
                <w:szCs w:val="1"/>
              </w:rPr>
            </w:pPr>
          </w:p>
        </w:tc>
        <w:tc>
          <w:tcPr>
            <w:tcW w:w="60" w:type="dxa"/>
            <w:vAlign w:val="bottom"/>
          </w:tcPr>
          <w:p w:rsidR="000728AD" w:rsidRDefault="000728AD">
            <w:pPr>
              <w:spacing w:line="20" w:lineRule="exact"/>
              <w:rPr>
                <w:sz w:val="1"/>
                <w:szCs w:val="1"/>
              </w:rPr>
            </w:pPr>
          </w:p>
        </w:tc>
        <w:tc>
          <w:tcPr>
            <w:tcW w:w="60" w:type="dxa"/>
            <w:vAlign w:val="bottom"/>
          </w:tcPr>
          <w:p w:rsidR="000728AD" w:rsidRDefault="000728AD">
            <w:pPr>
              <w:spacing w:line="20" w:lineRule="exact"/>
              <w:rPr>
                <w:sz w:val="1"/>
                <w:szCs w:val="1"/>
              </w:rPr>
            </w:pPr>
          </w:p>
        </w:tc>
        <w:tc>
          <w:tcPr>
            <w:tcW w:w="360" w:type="dxa"/>
            <w:vAlign w:val="bottom"/>
          </w:tcPr>
          <w:p w:rsidR="000728AD" w:rsidRDefault="000728AD">
            <w:pPr>
              <w:spacing w:line="20" w:lineRule="exact"/>
              <w:rPr>
                <w:sz w:val="1"/>
                <w:szCs w:val="1"/>
              </w:rPr>
            </w:pPr>
          </w:p>
        </w:tc>
        <w:tc>
          <w:tcPr>
            <w:tcW w:w="0" w:type="dxa"/>
            <w:vAlign w:val="bottom"/>
          </w:tcPr>
          <w:p w:rsidR="000728AD" w:rsidRDefault="000728AD">
            <w:pPr>
              <w:spacing w:line="20" w:lineRule="exact"/>
              <w:rPr>
                <w:sz w:val="1"/>
                <w:szCs w:val="1"/>
              </w:rPr>
            </w:pPr>
          </w:p>
        </w:tc>
      </w:tr>
      <w:tr w:rsidR="000728AD">
        <w:trPr>
          <w:trHeight w:val="290"/>
        </w:trPr>
        <w:tc>
          <w:tcPr>
            <w:tcW w:w="20" w:type="dxa"/>
            <w:vAlign w:val="bottom"/>
          </w:tcPr>
          <w:p w:rsidR="000728AD" w:rsidRDefault="000728AD">
            <w:pPr>
              <w:rPr>
                <w:sz w:val="24"/>
                <w:szCs w:val="24"/>
              </w:rPr>
            </w:pPr>
          </w:p>
        </w:tc>
        <w:tc>
          <w:tcPr>
            <w:tcW w:w="40" w:type="dxa"/>
            <w:vAlign w:val="bottom"/>
          </w:tcPr>
          <w:p w:rsidR="000728AD" w:rsidRDefault="000728AD">
            <w:pPr>
              <w:rPr>
                <w:sz w:val="24"/>
                <w:szCs w:val="24"/>
              </w:rPr>
            </w:pPr>
          </w:p>
        </w:tc>
        <w:tc>
          <w:tcPr>
            <w:tcW w:w="400" w:type="dxa"/>
            <w:vAlign w:val="bottom"/>
          </w:tcPr>
          <w:p w:rsidR="000728AD" w:rsidRDefault="000728AD">
            <w:pPr>
              <w:rPr>
                <w:sz w:val="24"/>
                <w:szCs w:val="24"/>
              </w:rPr>
            </w:pPr>
          </w:p>
        </w:tc>
        <w:tc>
          <w:tcPr>
            <w:tcW w:w="9720" w:type="dxa"/>
            <w:gridSpan w:val="20"/>
            <w:vAlign w:val="bottom"/>
          </w:tcPr>
          <w:p w:rsidR="000728AD" w:rsidRDefault="000561BE">
            <w:pPr>
              <w:rPr>
                <w:rFonts w:ascii="Arial" w:eastAsia="Arial" w:hAnsi="Arial" w:cs="Arial"/>
                <w:color w:val="0000FF"/>
              </w:rPr>
            </w:pPr>
            <w:hyperlink w:anchor="page7">
              <w:r>
                <w:rPr>
                  <w:rFonts w:ascii="Arial" w:eastAsia="Arial" w:hAnsi="Arial" w:cs="Arial"/>
                  <w:color w:val="0000FF"/>
                </w:rPr>
                <w:t>Condensed Consolidated Statements of Stockholders’ Equity (Deficit)</w:t>
              </w:r>
            </w:hyperlink>
          </w:p>
        </w:tc>
        <w:tc>
          <w:tcPr>
            <w:tcW w:w="580" w:type="dxa"/>
            <w:gridSpan w:val="4"/>
            <w:vAlign w:val="bottom"/>
          </w:tcPr>
          <w:p w:rsidR="000728AD" w:rsidRDefault="000561BE">
            <w:pPr>
              <w:ind w:left="372"/>
              <w:jc w:val="center"/>
              <w:rPr>
                <w:rFonts w:ascii="Arial" w:eastAsia="Arial" w:hAnsi="Arial" w:cs="Arial"/>
                <w:color w:val="0000FF"/>
                <w:w w:val="81"/>
              </w:rPr>
            </w:pPr>
            <w:hyperlink w:anchor="page7">
              <w:r>
                <w:rPr>
                  <w:rFonts w:ascii="Arial" w:eastAsia="Arial" w:hAnsi="Arial" w:cs="Arial"/>
                  <w:color w:val="0000FF"/>
                  <w:w w:val="81"/>
                </w:rPr>
                <w:t>8</w:t>
              </w:r>
            </w:hyperlink>
          </w:p>
        </w:tc>
        <w:tc>
          <w:tcPr>
            <w:tcW w:w="60" w:type="dxa"/>
            <w:vAlign w:val="bottom"/>
          </w:tcPr>
          <w:p w:rsidR="000728AD" w:rsidRDefault="000728AD">
            <w:pPr>
              <w:rPr>
                <w:sz w:val="24"/>
                <w:szCs w:val="24"/>
              </w:rPr>
            </w:pPr>
          </w:p>
        </w:tc>
        <w:tc>
          <w:tcPr>
            <w:tcW w:w="60" w:type="dxa"/>
            <w:vAlign w:val="bottom"/>
          </w:tcPr>
          <w:p w:rsidR="000728AD" w:rsidRDefault="000728AD">
            <w:pPr>
              <w:rPr>
                <w:sz w:val="24"/>
                <w:szCs w:val="24"/>
              </w:rPr>
            </w:pPr>
          </w:p>
        </w:tc>
        <w:tc>
          <w:tcPr>
            <w:tcW w:w="360" w:type="dxa"/>
            <w:vAlign w:val="bottom"/>
          </w:tcPr>
          <w:p w:rsidR="000728AD" w:rsidRDefault="000728AD">
            <w:pPr>
              <w:rPr>
                <w:sz w:val="24"/>
                <w:szCs w:val="24"/>
              </w:rPr>
            </w:pPr>
          </w:p>
        </w:tc>
        <w:tc>
          <w:tcPr>
            <w:tcW w:w="0" w:type="dxa"/>
            <w:vAlign w:val="bottom"/>
          </w:tcPr>
          <w:p w:rsidR="000728AD" w:rsidRDefault="000728AD">
            <w:pPr>
              <w:rPr>
                <w:sz w:val="1"/>
                <w:szCs w:val="1"/>
              </w:rPr>
            </w:pPr>
          </w:p>
        </w:tc>
      </w:tr>
      <w:tr w:rsidR="000728AD">
        <w:trPr>
          <w:trHeight w:val="20"/>
        </w:trPr>
        <w:tc>
          <w:tcPr>
            <w:tcW w:w="20" w:type="dxa"/>
            <w:vAlign w:val="bottom"/>
          </w:tcPr>
          <w:p w:rsidR="000728AD" w:rsidRDefault="000728AD">
            <w:pPr>
              <w:spacing w:line="20" w:lineRule="exact"/>
              <w:rPr>
                <w:sz w:val="1"/>
                <w:szCs w:val="1"/>
              </w:rPr>
            </w:pPr>
          </w:p>
        </w:tc>
        <w:tc>
          <w:tcPr>
            <w:tcW w:w="40" w:type="dxa"/>
            <w:vAlign w:val="bottom"/>
          </w:tcPr>
          <w:p w:rsidR="000728AD" w:rsidRDefault="000728AD">
            <w:pPr>
              <w:spacing w:line="20" w:lineRule="exact"/>
              <w:rPr>
                <w:sz w:val="1"/>
                <w:szCs w:val="1"/>
              </w:rPr>
            </w:pPr>
          </w:p>
        </w:tc>
        <w:tc>
          <w:tcPr>
            <w:tcW w:w="400" w:type="dxa"/>
            <w:vAlign w:val="bottom"/>
          </w:tcPr>
          <w:p w:rsidR="000728AD" w:rsidRDefault="000728AD">
            <w:pPr>
              <w:spacing w:line="20" w:lineRule="exact"/>
              <w:rPr>
                <w:sz w:val="1"/>
                <w:szCs w:val="1"/>
              </w:rPr>
            </w:pPr>
          </w:p>
        </w:tc>
        <w:tc>
          <w:tcPr>
            <w:tcW w:w="880" w:type="dxa"/>
            <w:shd w:val="clear" w:color="auto" w:fill="0000FF"/>
            <w:vAlign w:val="bottom"/>
          </w:tcPr>
          <w:p w:rsidR="000728AD" w:rsidRDefault="000728AD">
            <w:pPr>
              <w:spacing w:line="20" w:lineRule="exact"/>
              <w:rPr>
                <w:sz w:val="1"/>
                <w:szCs w:val="1"/>
              </w:rPr>
            </w:pPr>
          </w:p>
        </w:tc>
        <w:tc>
          <w:tcPr>
            <w:tcW w:w="80" w:type="dxa"/>
            <w:shd w:val="clear" w:color="auto" w:fill="0000FF"/>
            <w:vAlign w:val="bottom"/>
          </w:tcPr>
          <w:p w:rsidR="000728AD" w:rsidRDefault="000728AD">
            <w:pPr>
              <w:spacing w:line="20" w:lineRule="exact"/>
              <w:rPr>
                <w:sz w:val="1"/>
                <w:szCs w:val="1"/>
              </w:rPr>
            </w:pPr>
          </w:p>
        </w:tc>
        <w:tc>
          <w:tcPr>
            <w:tcW w:w="520" w:type="dxa"/>
            <w:shd w:val="clear" w:color="auto" w:fill="0000FF"/>
            <w:vAlign w:val="bottom"/>
          </w:tcPr>
          <w:p w:rsidR="000728AD" w:rsidRDefault="000728AD">
            <w:pPr>
              <w:spacing w:line="20" w:lineRule="exact"/>
              <w:rPr>
                <w:sz w:val="1"/>
                <w:szCs w:val="1"/>
              </w:rPr>
            </w:pPr>
          </w:p>
        </w:tc>
        <w:tc>
          <w:tcPr>
            <w:tcW w:w="320" w:type="dxa"/>
            <w:shd w:val="clear" w:color="auto" w:fill="0000FF"/>
            <w:vAlign w:val="bottom"/>
          </w:tcPr>
          <w:p w:rsidR="000728AD" w:rsidRDefault="000728AD">
            <w:pPr>
              <w:spacing w:line="20" w:lineRule="exact"/>
              <w:rPr>
                <w:sz w:val="1"/>
                <w:szCs w:val="1"/>
              </w:rPr>
            </w:pPr>
          </w:p>
        </w:tc>
        <w:tc>
          <w:tcPr>
            <w:tcW w:w="40" w:type="dxa"/>
            <w:shd w:val="clear" w:color="auto" w:fill="0000FF"/>
            <w:vAlign w:val="bottom"/>
          </w:tcPr>
          <w:p w:rsidR="000728AD" w:rsidRDefault="000728AD">
            <w:pPr>
              <w:spacing w:line="20" w:lineRule="exact"/>
              <w:rPr>
                <w:sz w:val="1"/>
                <w:szCs w:val="1"/>
              </w:rPr>
            </w:pPr>
          </w:p>
        </w:tc>
        <w:tc>
          <w:tcPr>
            <w:tcW w:w="520" w:type="dxa"/>
            <w:shd w:val="clear" w:color="auto" w:fill="0000FF"/>
            <w:vAlign w:val="bottom"/>
          </w:tcPr>
          <w:p w:rsidR="000728AD" w:rsidRDefault="000728AD">
            <w:pPr>
              <w:spacing w:line="20" w:lineRule="exact"/>
              <w:rPr>
                <w:sz w:val="1"/>
                <w:szCs w:val="1"/>
              </w:rPr>
            </w:pPr>
          </w:p>
        </w:tc>
        <w:tc>
          <w:tcPr>
            <w:tcW w:w="660" w:type="dxa"/>
            <w:shd w:val="clear" w:color="auto" w:fill="0000FF"/>
            <w:vAlign w:val="bottom"/>
          </w:tcPr>
          <w:p w:rsidR="000728AD" w:rsidRDefault="000728AD">
            <w:pPr>
              <w:spacing w:line="20" w:lineRule="exact"/>
              <w:rPr>
                <w:sz w:val="1"/>
                <w:szCs w:val="1"/>
              </w:rPr>
            </w:pPr>
          </w:p>
        </w:tc>
        <w:tc>
          <w:tcPr>
            <w:tcW w:w="380" w:type="dxa"/>
            <w:shd w:val="clear" w:color="auto" w:fill="0000FF"/>
            <w:vAlign w:val="bottom"/>
          </w:tcPr>
          <w:p w:rsidR="000728AD" w:rsidRDefault="000728AD">
            <w:pPr>
              <w:spacing w:line="20" w:lineRule="exact"/>
              <w:rPr>
                <w:sz w:val="1"/>
                <w:szCs w:val="1"/>
              </w:rPr>
            </w:pPr>
          </w:p>
        </w:tc>
        <w:tc>
          <w:tcPr>
            <w:tcW w:w="120" w:type="dxa"/>
            <w:shd w:val="clear" w:color="auto" w:fill="0000FF"/>
            <w:vAlign w:val="bottom"/>
          </w:tcPr>
          <w:p w:rsidR="000728AD" w:rsidRDefault="000728AD">
            <w:pPr>
              <w:spacing w:line="20" w:lineRule="exact"/>
              <w:rPr>
                <w:sz w:val="1"/>
                <w:szCs w:val="1"/>
              </w:rPr>
            </w:pPr>
          </w:p>
        </w:tc>
        <w:tc>
          <w:tcPr>
            <w:tcW w:w="100" w:type="dxa"/>
            <w:shd w:val="clear" w:color="auto" w:fill="0000FF"/>
            <w:vAlign w:val="bottom"/>
          </w:tcPr>
          <w:p w:rsidR="000728AD" w:rsidRDefault="000728AD">
            <w:pPr>
              <w:spacing w:line="20" w:lineRule="exact"/>
              <w:rPr>
                <w:sz w:val="1"/>
                <w:szCs w:val="1"/>
              </w:rPr>
            </w:pPr>
          </w:p>
        </w:tc>
        <w:tc>
          <w:tcPr>
            <w:tcW w:w="840" w:type="dxa"/>
            <w:shd w:val="clear" w:color="auto" w:fill="0000FF"/>
            <w:vAlign w:val="bottom"/>
          </w:tcPr>
          <w:p w:rsidR="000728AD" w:rsidRDefault="000728AD">
            <w:pPr>
              <w:spacing w:line="20" w:lineRule="exact"/>
              <w:rPr>
                <w:sz w:val="1"/>
                <w:szCs w:val="1"/>
              </w:rPr>
            </w:pPr>
          </w:p>
        </w:tc>
        <w:tc>
          <w:tcPr>
            <w:tcW w:w="920" w:type="dxa"/>
            <w:shd w:val="clear" w:color="auto" w:fill="0000FF"/>
            <w:vAlign w:val="bottom"/>
          </w:tcPr>
          <w:p w:rsidR="000728AD" w:rsidRDefault="000728AD">
            <w:pPr>
              <w:spacing w:line="20" w:lineRule="exact"/>
              <w:rPr>
                <w:sz w:val="1"/>
                <w:szCs w:val="1"/>
              </w:rPr>
            </w:pPr>
          </w:p>
        </w:tc>
        <w:tc>
          <w:tcPr>
            <w:tcW w:w="80" w:type="dxa"/>
            <w:shd w:val="clear" w:color="auto" w:fill="0000FF"/>
            <w:vAlign w:val="bottom"/>
          </w:tcPr>
          <w:p w:rsidR="000728AD" w:rsidRDefault="000728AD">
            <w:pPr>
              <w:spacing w:line="20" w:lineRule="exact"/>
              <w:rPr>
                <w:sz w:val="1"/>
                <w:szCs w:val="1"/>
              </w:rPr>
            </w:pPr>
          </w:p>
        </w:tc>
        <w:tc>
          <w:tcPr>
            <w:tcW w:w="280" w:type="dxa"/>
            <w:shd w:val="clear" w:color="auto" w:fill="0000FF"/>
            <w:vAlign w:val="bottom"/>
          </w:tcPr>
          <w:p w:rsidR="000728AD" w:rsidRDefault="000728AD">
            <w:pPr>
              <w:spacing w:line="20" w:lineRule="exact"/>
              <w:rPr>
                <w:sz w:val="1"/>
                <w:szCs w:val="1"/>
              </w:rPr>
            </w:pPr>
          </w:p>
        </w:tc>
        <w:tc>
          <w:tcPr>
            <w:tcW w:w="320" w:type="dxa"/>
            <w:shd w:val="clear" w:color="auto" w:fill="0000FF"/>
            <w:vAlign w:val="bottom"/>
          </w:tcPr>
          <w:p w:rsidR="000728AD" w:rsidRDefault="000728AD">
            <w:pPr>
              <w:spacing w:line="20" w:lineRule="exact"/>
              <w:rPr>
                <w:sz w:val="1"/>
                <w:szCs w:val="1"/>
              </w:rPr>
            </w:pPr>
          </w:p>
        </w:tc>
        <w:tc>
          <w:tcPr>
            <w:tcW w:w="560" w:type="dxa"/>
            <w:vAlign w:val="bottom"/>
          </w:tcPr>
          <w:p w:rsidR="000728AD" w:rsidRDefault="000728AD">
            <w:pPr>
              <w:spacing w:line="20" w:lineRule="exact"/>
              <w:rPr>
                <w:sz w:val="1"/>
                <w:szCs w:val="1"/>
              </w:rPr>
            </w:pPr>
          </w:p>
        </w:tc>
        <w:tc>
          <w:tcPr>
            <w:tcW w:w="80" w:type="dxa"/>
            <w:vAlign w:val="bottom"/>
          </w:tcPr>
          <w:p w:rsidR="000728AD" w:rsidRDefault="000728AD">
            <w:pPr>
              <w:spacing w:line="20" w:lineRule="exact"/>
              <w:rPr>
                <w:sz w:val="1"/>
                <w:szCs w:val="1"/>
              </w:rPr>
            </w:pPr>
          </w:p>
        </w:tc>
        <w:tc>
          <w:tcPr>
            <w:tcW w:w="220" w:type="dxa"/>
            <w:vAlign w:val="bottom"/>
          </w:tcPr>
          <w:p w:rsidR="000728AD" w:rsidRDefault="000728AD">
            <w:pPr>
              <w:spacing w:line="20" w:lineRule="exact"/>
              <w:rPr>
                <w:sz w:val="1"/>
                <w:szCs w:val="1"/>
              </w:rPr>
            </w:pPr>
          </w:p>
        </w:tc>
        <w:tc>
          <w:tcPr>
            <w:tcW w:w="1040" w:type="dxa"/>
            <w:vAlign w:val="bottom"/>
          </w:tcPr>
          <w:p w:rsidR="000728AD" w:rsidRDefault="000728AD">
            <w:pPr>
              <w:spacing w:line="20" w:lineRule="exact"/>
              <w:rPr>
                <w:sz w:val="1"/>
                <w:szCs w:val="1"/>
              </w:rPr>
            </w:pPr>
          </w:p>
        </w:tc>
        <w:tc>
          <w:tcPr>
            <w:tcW w:w="1760" w:type="dxa"/>
            <w:vAlign w:val="bottom"/>
          </w:tcPr>
          <w:p w:rsidR="000728AD" w:rsidRDefault="000728AD">
            <w:pPr>
              <w:spacing w:line="20" w:lineRule="exact"/>
              <w:rPr>
                <w:sz w:val="1"/>
                <w:szCs w:val="1"/>
              </w:rPr>
            </w:pPr>
          </w:p>
        </w:tc>
        <w:tc>
          <w:tcPr>
            <w:tcW w:w="380" w:type="dxa"/>
            <w:vAlign w:val="bottom"/>
          </w:tcPr>
          <w:p w:rsidR="000728AD" w:rsidRDefault="000728AD">
            <w:pPr>
              <w:spacing w:line="20" w:lineRule="exact"/>
              <w:rPr>
                <w:sz w:val="1"/>
                <w:szCs w:val="1"/>
              </w:rPr>
            </w:pPr>
          </w:p>
        </w:tc>
        <w:tc>
          <w:tcPr>
            <w:tcW w:w="40" w:type="dxa"/>
            <w:vAlign w:val="bottom"/>
          </w:tcPr>
          <w:p w:rsidR="000728AD" w:rsidRDefault="000728AD">
            <w:pPr>
              <w:spacing w:line="20" w:lineRule="exact"/>
              <w:rPr>
                <w:sz w:val="1"/>
                <w:szCs w:val="1"/>
              </w:rPr>
            </w:pPr>
          </w:p>
        </w:tc>
        <w:tc>
          <w:tcPr>
            <w:tcW w:w="60" w:type="dxa"/>
            <w:vAlign w:val="bottom"/>
          </w:tcPr>
          <w:p w:rsidR="000728AD" w:rsidRDefault="000728AD">
            <w:pPr>
              <w:spacing w:line="20" w:lineRule="exact"/>
              <w:rPr>
                <w:sz w:val="1"/>
                <w:szCs w:val="1"/>
              </w:rPr>
            </w:pPr>
          </w:p>
        </w:tc>
        <w:tc>
          <w:tcPr>
            <w:tcW w:w="100" w:type="dxa"/>
            <w:shd w:val="clear" w:color="auto" w:fill="0000FF"/>
            <w:vAlign w:val="bottom"/>
          </w:tcPr>
          <w:p w:rsidR="000728AD" w:rsidRDefault="000728AD">
            <w:pPr>
              <w:spacing w:line="20" w:lineRule="exact"/>
              <w:rPr>
                <w:sz w:val="1"/>
                <w:szCs w:val="1"/>
              </w:rPr>
            </w:pPr>
          </w:p>
        </w:tc>
        <w:tc>
          <w:tcPr>
            <w:tcW w:w="60" w:type="dxa"/>
            <w:vAlign w:val="bottom"/>
          </w:tcPr>
          <w:p w:rsidR="000728AD" w:rsidRDefault="000728AD">
            <w:pPr>
              <w:spacing w:line="20" w:lineRule="exact"/>
              <w:rPr>
                <w:sz w:val="1"/>
                <w:szCs w:val="1"/>
              </w:rPr>
            </w:pPr>
          </w:p>
        </w:tc>
        <w:tc>
          <w:tcPr>
            <w:tcW w:w="60" w:type="dxa"/>
            <w:vAlign w:val="bottom"/>
          </w:tcPr>
          <w:p w:rsidR="000728AD" w:rsidRDefault="000728AD">
            <w:pPr>
              <w:spacing w:line="20" w:lineRule="exact"/>
              <w:rPr>
                <w:sz w:val="1"/>
                <w:szCs w:val="1"/>
              </w:rPr>
            </w:pPr>
          </w:p>
        </w:tc>
        <w:tc>
          <w:tcPr>
            <w:tcW w:w="360" w:type="dxa"/>
            <w:vAlign w:val="bottom"/>
          </w:tcPr>
          <w:p w:rsidR="000728AD" w:rsidRDefault="000728AD">
            <w:pPr>
              <w:spacing w:line="20" w:lineRule="exact"/>
              <w:rPr>
                <w:sz w:val="1"/>
                <w:szCs w:val="1"/>
              </w:rPr>
            </w:pPr>
          </w:p>
        </w:tc>
        <w:tc>
          <w:tcPr>
            <w:tcW w:w="0" w:type="dxa"/>
            <w:vAlign w:val="bottom"/>
          </w:tcPr>
          <w:p w:rsidR="000728AD" w:rsidRDefault="000728AD">
            <w:pPr>
              <w:spacing w:line="20" w:lineRule="exact"/>
              <w:rPr>
                <w:sz w:val="1"/>
                <w:szCs w:val="1"/>
              </w:rPr>
            </w:pPr>
          </w:p>
        </w:tc>
      </w:tr>
      <w:tr w:rsidR="000728AD">
        <w:trPr>
          <w:trHeight w:val="291"/>
        </w:trPr>
        <w:tc>
          <w:tcPr>
            <w:tcW w:w="20" w:type="dxa"/>
            <w:vAlign w:val="bottom"/>
          </w:tcPr>
          <w:p w:rsidR="000728AD" w:rsidRDefault="000728AD">
            <w:pPr>
              <w:rPr>
                <w:sz w:val="24"/>
                <w:szCs w:val="24"/>
              </w:rPr>
            </w:pPr>
          </w:p>
        </w:tc>
        <w:tc>
          <w:tcPr>
            <w:tcW w:w="40" w:type="dxa"/>
            <w:vAlign w:val="bottom"/>
          </w:tcPr>
          <w:p w:rsidR="000728AD" w:rsidRDefault="000728AD">
            <w:pPr>
              <w:rPr>
                <w:sz w:val="24"/>
                <w:szCs w:val="24"/>
              </w:rPr>
            </w:pPr>
          </w:p>
        </w:tc>
        <w:tc>
          <w:tcPr>
            <w:tcW w:w="400" w:type="dxa"/>
            <w:vAlign w:val="bottom"/>
          </w:tcPr>
          <w:p w:rsidR="000728AD" w:rsidRDefault="000728AD">
            <w:pPr>
              <w:rPr>
                <w:sz w:val="24"/>
                <w:szCs w:val="24"/>
              </w:rPr>
            </w:pPr>
          </w:p>
        </w:tc>
        <w:tc>
          <w:tcPr>
            <w:tcW w:w="6060" w:type="dxa"/>
            <w:gridSpan w:val="15"/>
            <w:vAlign w:val="bottom"/>
          </w:tcPr>
          <w:p w:rsidR="000728AD" w:rsidRDefault="000561BE">
            <w:pPr>
              <w:rPr>
                <w:rFonts w:ascii="Arial" w:eastAsia="Arial" w:hAnsi="Arial" w:cs="Arial"/>
                <w:color w:val="0000FF"/>
                <w:w w:val="92"/>
              </w:rPr>
            </w:pPr>
            <w:hyperlink w:anchor="page9">
              <w:r>
                <w:rPr>
                  <w:rFonts w:ascii="Arial" w:eastAsia="Arial" w:hAnsi="Arial" w:cs="Arial"/>
                  <w:color w:val="0000FF"/>
                  <w:w w:val="92"/>
                </w:rPr>
                <w:t>Notes to Unaudited Condensed Consolidated Financial Statements</w:t>
              </w:r>
            </w:hyperlink>
          </w:p>
        </w:tc>
        <w:tc>
          <w:tcPr>
            <w:tcW w:w="3660" w:type="dxa"/>
            <w:gridSpan w:val="5"/>
            <w:vAlign w:val="bottom"/>
          </w:tcPr>
          <w:p w:rsidR="000728AD" w:rsidRDefault="000728AD">
            <w:pPr>
              <w:rPr>
                <w:sz w:val="24"/>
                <w:szCs w:val="24"/>
              </w:rPr>
            </w:pPr>
          </w:p>
        </w:tc>
        <w:tc>
          <w:tcPr>
            <w:tcW w:w="640" w:type="dxa"/>
            <w:gridSpan w:val="5"/>
            <w:vAlign w:val="bottom"/>
          </w:tcPr>
          <w:p w:rsidR="000728AD" w:rsidRDefault="000561BE">
            <w:pPr>
              <w:ind w:left="312"/>
              <w:jc w:val="center"/>
              <w:rPr>
                <w:rFonts w:ascii="Arial" w:eastAsia="Arial" w:hAnsi="Arial" w:cs="Arial"/>
                <w:color w:val="0000FF"/>
                <w:w w:val="89"/>
              </w:rPr>
            </w:pPr>
            <w:hyperlink w:anchor="page9">
              <w:r>
                <w:rPr>
                  <w:rFonts w:ascii="Arial" w:eastAsia="Arial" w:hAnsi="Arial" w:cs="Arial"/>
                  <w:color w:val="0000FF"/>
                  <w:w w:val="89"/>
                </w:rPr>
                <w:t>10</w:t>
              </w:r>
            </w:hyperlink>
          </w:p>
        </w:tc>
        <w:tc>
          <w:tcPr>
            <w:tcW w:w="60" w:type="dxa"/>
            <w:vAlign w:val="bottom"/>
          </w:tcPr>
          <w:p w:rsidR="000728AD" w:rsidRDefault="000728AD">
            <w:pPr>
              <w:rPr>
                <w:sz w:val="24"/>
                <w:szCs w:val="24"/>
              </w:rPr>
            </w:pPr>
          </w:p>
        </w:tc>
        <w:tc>
          <w:tcPr>
            <w:tcW w:w="360" w:type="dxa"/>
            <w:vAlign w:val="bottom"/>
          </w:tcPr>
          <w:p w:rsidR="000728AD" w:rsidRDefault="000728AD">
            <w:pPr>
              <w:rPr>
                <w:sz w:val="24"/>
                <w:szCs w:val="24"/>
              </w:rPr>
            </w:pPr>
          </w:p>
        </w:tc>
        <w:tc>
          <w:tcPr>
            <w:tcW w:w="0" w:type="dxa"/>
            <w:vAlign w:val="bottom"/>
          </w:tcPr>
          <w:p w:rsidR="000728AD" w:rsidRDefault="000728AD">
            <w:pPr>
              <w:rPr>
                <w:sz w:val="1"/>
                <w:szCs w:val="1"/>
              </w:rPr>
            </w:pPr>
          </w:p>
        </w:tc>
      </w:tr>
      <w:tr w:rsidR="000728AD">
        <w:trPr>
          <w:trHeight w:val="20"/>
        </w:trPr>
        <w:tc>
          <w:tcPr>
            <w:tcW w:w="20" w:type="dxa"/>
            <w:vAlign w:val="bottom"/>
          </w:tcPr>
          <w:p w:rsidR="000728AD" w:rsidRDefault="000728AD">
            <w:pPr>
              <w:spacing w:line="20" w:lineRule="exact"/>
              <w:rPr>
                <w:sz w:val="1"/>
                <w:szCs w:val="1"/>
              </w:rPr>
            </w:pPr>
          </w:p>
        </w:tc>
        <w:tc>
          <w:tcPr>
            <w:tcW w:w="440" w:type="dxa"/>
            <w:gridSpan w:val="2"/>
            <w:vAlign w:val="bottom"/>
          </w:tcPr>
          <w:p w:rsidR="000728AD" w:rsidRDefault="000728AD">
            <w:pPr>
              <w:spacing w:line="20" w:lineRule="exact"/>
              <w:rPr>
                <w:sz w:val="1"/>
                <w:szCs w:val="1"/>
              </w:rPr>
            </w:pPr>
          </w:p>
        </w:tc>
        <w:tc>
          <w:tcPr>
            <w:tcW w:w="880" w:type="dxa"/>
            <w:shd w:val="clear" w:color="auto" w:fill="0000FF"/>
            <w:vAlign w:val="bottom"/>
          </w:tcPr>
          <w:p w:rsidR="000728AD" w:rsidRDefault="000728AD">
            <w:pPr>
              <w:spacing w:line="20" w:lineRule="exact"/>
              <w:rPr>
                <w:sz w:val="1"/>
                <w:szCs w:val="1"/>
              </w:rPr>
            </w:pPr>
          </w:p>
        </w:tc>
        <w:tc>
          <w:tcPr>
            <w:tcW w:w="80" w:type="dxa"/>
            <w:shd w:val="clear" w:color="auto" w:fill="0000FF"/>
            <w:vAlign w:val="bottom"/>
          </w:tcPr>
          <w:p w:rsidR="000728AD" w:rsidRDefault="000728AD">
            <w:pPr>
              <w:spacing w:line="20" w:lineRule="exact"/>
              <w:rPr>
                <w:sz w:val="1"/>
                <w:szCs w:val="1"/>
              </w:rPr>
            </w:pPr>
          </w:p>
        </w:tc>
        <w:tc>
          <w:tcPr>
            <w:tcW w:w="520" w:type="dxa"/>
            <w:shd w:val="clear" w:color="auto" w:fill="0000FF"/>
            <w:vAlign w:val="bottom"/>
          </w:tcPr>
          <w:p w:rsidR="000728AD" w:rsidRDefault="000728AD">
            <w:pPr>
              <w:spacing w:line="20" w:lineRule="exact"/>
              <w:rPr>
                <w:sz w:val="1"/>
                <w:szCs w:val="1"/>
              </w:rPr>
            </w:pPr>
          </w:p>
        </w:tc>
        <w:tc>
          <w:tcPr>
            <w:tcW w:w="320" w:type="dxa"/>
            <w:shd w:val="clear" w:color="auto" w:fill="0000FF"/>
            <w:vAlign w:val="bottom"/>
          </w:tcPr>
          <w:p w:rsidR="000728AD" w:rsidRDefault="000728AD">
            <w:pPr>
              <w:spacing w:line="20" w:lineRule="exact"/>
              <w:rPr>
                <w:sz w:val="1"/>
                <w:szCs w:val="1"/>
              </w:rPr>
            </w:pPr>
          </w:p>
        </w:tc>
        <w:tc>
          <w:tcPr>
            <w:tcW w:w="40" w:type="dxa"/>
            <w:shd w:val="clear" w:color="auto" w:fill="0000FF"/>
            <w:vAlign w:val="bottom"/>
          </w:tcPr>
          <w:p w:rsidR="000728AD" w:rsidRDefault="000728AD">
            <w:pPr>
              <w:spacing w:line="20" w:lineRule="exact"/>
              <w:rPr>
                <w:sz w:val="1"/>
                <w:szCs w:val="1"/>
              </w:rPr>
            </w:pPr>
          </w:p>
        </w:tc>
        <w:tc>
          <w:tcPr>
            <w:tcW w:w="520" w:type="dxa"/>
            <w:shd w:val="clear" w:color="auto" w:fill="0000FF"/>
            <w:vAlign w:val="bottom"/>
          </w:tcPr>
          <w:p w:rsidR="000728AD" w:rsidRDefault="000728AD">
            <w:pPr>
              <w:spacing w:line="20" w:lineRule="exact"/>
              <w:rPr>
                <w:sz w:val="1"/>
                <w:szCs w:val="1"/>
              </w:rPr>
            </w:pPr>
          </w:p>
        </w:tc>
        <w:tc>
          <w:tcPr>
            <w:tcW w:w="660" w:type="dxa"/>
            <w:shd w:val="clear" w:color="auto" w:fill="0000FF"/>
            <w:vAlign w:val="bottom"/>
          </w:tcPr>
          <w:p w:rsidR="000728AD" w:rsidRDefault="000728AD">
            <w:pPr>
              <w:spacing w:line="20" w:lineRule="exact"/>
              <w:rPr>
                <w:sz w:val="1"/>
                <w:szCs w:val="1"/>
              </w:rPr>
            </w:pPr>
          </w:p>
        </w:tc>
        <w:tc>
          <w:tcPr>
            <w:tcW w:w="600" w:type="dxa"/>
            <w:gridSpan w:val="3"/>
            <w:shd w:val="clear" w:color="auto" w:fill="0000FF"/>
            <w:vAlign w:val="bottom"/>
          </w:tcPr>
          <w:p w:rsidR="000728AD" w:rsidRDefault="000728AD">
            <w:pPr>
              <w:spacing w:line="20" w:lineRule="exact"/>
              <w:rPr>
                <w:sz w:val="1"/>
                <w:szCs w:val="1"/>
              </w:rPr>
            </w:pPr>
          </w:p>
        </w:tc>
        <w:tc>
          <w:tcPr>
            <w:tcW w:w="1760" w:type="dxa"/>
            <w:gridSpan w:val="2"/>
            <w:shd w:val="clear" w:color="auto" w:fill="0000FF"/>
            <w:vAlign w:val="bottom"/>
          </w:tcPr>
          <w:p w:rsidR="000728AD" w:rsidRDefault="000728AD">
            <w:pPr>
              <w:spacing w:line="20" w:lineRule="exact"/>
              <w:rPr>
                <w:sz w:val="1"/>
                <w:szCs w:val="1"/>
              </w:rPr>
            </w:pPr>
          </w:p>
        </w:tc>
        <w:tc>
          <w:tcPr>
            <w:tcW w:w="80" w:type="dxa"/>
            <w:shd w:val="clear" w:color="auto" w:fill="0000FF"/>
            <w:vAlign w:val="bottom"/>
          </w:tcPr>
          <w:p w:rsidR="000728AD" w:rsidRDefault="000728AD">
            <w:pPr>
              <w:spacing w:line="20" w:lineRule="exact"/>
              <w:rPr>
                <w:sz w:val="1"/>
                <w:szCs w:val="1"/>
              </w:rPr>
            </w:pPr>
          </w:p>
        </w:tc>
        <w:tc>
          <w:tcPr>
            <w:tcW w:w="280" w:type="dxa"/>
            <w:shd w:val="clear" w:color="auto" w:fill="0000FF"/>
            <w:vAlign w:val="bottom"/>
          </w:tcPr>
          <w:p w:rsidR="000728AD" w:rsidRDefault="000728AD">
            <w:pPr>
              <w:spacing w:line="20" w:lineRule="exact"/>
              <w:rPr>
                <w:sz w:val="1"/>
                <w:szCs w:val="1"/>
              </w:rPr>
            </w:pPr>
          </w:p>
        </w:tc>
        <w:tc>
          <w:tcPr>
            <w:tcW w:w="960" w:type="dxa"/>
            <w:gridSpan w:val="3"/>
            <w:vAlign w:val="bottom"/>
          </w:tcPr>
          <w:p w:rsidR="000728AD" w:rsidRDefault="000728AD">
            <w:pPr>
              <w:spacing w:line="20" w:lineRule="exact"/>
              <w:rPr>
                <w:sz w:val="1"/>
                <w:szCs w:val="1"/>
              </w:rPr>
            </w:pPr>
          </w:p>
        </w:tc>
        <w:tc>
          <w:tcPr>
            <w:tcW w:w="1260" w:type="dxa"/>
            <w:gridSpan w:val="2"/>
            <w:vAlign w:val="bottom"/>
          </w:tcPr>
          <w:p w:rsidR="000728AD" w:rsidRDefault="000728AD">
            <w:pPr>
              <w:spacing w:line="20" w:lineRule="exact"/>
              <w:rPr>
                <w:sz w:val="1"/>
                <w:szCs w:val="1"/>
              </w:rPr>
            </w:pPr>
          </w:p>
        </w:tc>
        <w:tc>
          <w:tcPr>
            <w:tcW w:w="1760" w:type="dxa"/>
            <w:vAlign w:val="bottom"/>
          </w:tcPr>
          <w:p w:rsidR="000728AD" w:rsidRDefault="000728AD">
            <w:pPr>
              <w:spacing w:line="20" w:lineRule="exact"/>
              <w:rPr>
                <w:sz w:val="1"/>
                <w:szCs w:val="1"/>
              </w:rPr>
            </w:pPr>
          </w:p>
        </w:tc>
        <w:tc>
          <w:tcPr>
            <w:tcW w:w="380" w:type="dxa"/>
            <w:vAlign w:val="bottom"/>
          </w:tcPr>
          <w:p w:rsidR="000728AD" w:rsidRDefault="000728AD">
            <w:pPr>
              <w:spacing w:line="20" w:lineRule="exact"/>
              <w:rPr>
                <w:sz w:val="1"/>
                <w:szCs w:val="1"/>
              </w:rPr>
            </w:pPr>
          </w:p>
        </w:tc>
        <w:tc>
          <w:tcPr>
            <w:tcW w:w="40" w:type="dxa"/>
            <w:vAlign w:val="bottom"/>
          </w:tcPr>
          <w:p w:rsidR="000728AD" w:rsidRDefault="000728AD">
            <w:pPr>
              <w:spacing w:line="20" w:lineRule="exact"/>
              <w:rPr>
                <w:sz w:val="1"/>
                <w:szCs w:val="1"/>
              </w:rPr>
            </w:pPr>
          </w:p>
        </w:tc>
        <w:tc>
          <w:tcPr>
            <w:tcW w:w="220" w:type="dxa"/>
            <w:gridSpan w:val="3"/>
            <w:shd w:val="clear" w:color="auto" w:fill="0000FF"/>
            <w:vAlign w:val="bottom"/>
          </w:tcPr>
          <w:p w:rsidR="000728AD" w:rsidRDefault="000728AD">
            <w:pPr>
              <w:spacing w:line="20" w:lineRule="exact"/>
              <w:rPr>
                <w:sz w:val="1"/>
                <w:szCs w:val="1"/>
              </w:rPr>
            </w:pPr>
          </w:p>
        </w:tc>
        <w:tc>
          <w:tcPr>
            <w:tcW w:w="60" w:type="dxa"/>
            <w:vAlign w:val="bottom"/>
          </w:tcPr>
          <w:p w:rsidR="000728AD" w:rsidRDefault="000728AD">
            <w:pPr>
              <w:spacing w:line="20" w:lineRule="exact"/>
              <w:rPr>
                <w:sz w:val="1"/>
                <w:szCs w:val="1"/>
              </w:rPr>
            </w:pPr>
          </w:p>
        </w:tc>
        <w:tc>
          <w:tcPr>
            <w:tcW w:w="360" w:type="dxa"/>
            <w:vAlign w:val="bottom"/>
          </w:tcPr>
          <w:p w:rsidR="000728AD" w:rsidRDefault="000728AD">
            <w:pPr>
              <w:spacing w:line="20" w:lineRule="exact"/>
              <w:rPr>
                <w:sz w:val="1"/>
                <w:szCs w:val="1"/>
              </w:rPr>
            </w:pPr>
          </w:p>
        </w:tc>
        <w:tc>
          <w:tcPr>
            <w:tcW w:w="0" w:type="dxa"/>
            <w:vAlign w:val="bottom"/>
          </w:tcPr>
          <w:p w:rsidR="000728AD" w:rsidRDefault="000728AD">
            <w:pPr>
              <w:spacing w:line="20" w:lineRule="exact"/>
              <w:rPr>
                <w:sz w:val="1"/>
                <w:szCs w:val="1"/>
              </w:rPr>
            </w:pPr>
          </w:p>
        </w:tc>
      </w:tr>
      <w:tr w:rsidR="000728AD">
        <w:trPr>
          <w:trHeight w:val="290"/>
        </w:trPr>
        <w:tc>
          <w:tcPr>
            <w:tcW w:w="20" w:type="dxa"/>
            <w:vAlign w:val="bottom"/>
          </w:tcPr>
          <w:p w:rsidR="000728AD" w:rsidRDefault="000728AD">
            <w:pPr>
              <w:rPr>
                <w:sz w:val="24"/>
                <w:szCs w:val="24"/>
              </w:rPr>
            </w:pPr>
          </w:p>
        </w:tc>
        <w:tc>
          <w:tcPr>
            <w:tcW w:w="10160" w:type="dxa"/>
            <w:gridSpan w:val="22"/>
            <w:vAlign w:val="bottom"/>
          </w:tcPr>
          <w:p w:rsidR="000728AD" w:rsidRDefault="000561BE">
            <w:pPr>
              <w:rPr>
                <w:rFonts w:ascii="Arial" w:eastAsia="Arial" w:hAnsi="Arial" w:cs="Arial"/>
                <w:color w:val="0000FF"/>
              </w:rPr>
            </w:pPr>
            <w:hyperlink w:anchor="page20">
              <w:r>
                <w:rPr>
                  <w:rFonts w:ascii="Arial" w:eastAsia="Arial" w:hAnsi="Arial" w:cs="Arial"/>
                  <w:color w:val="0000FF"/>
                </w:rPr>
                <w:t xml:space="preserve">Item 2. Management's Discussion and </w:t>
              </w:r>
              <w:r>
                <w:rPr>
                  <w:rFonts w:ascii="Arial" w:eastAsia="Arial" w:hAnsi="Arial" w:cs="Arial"/>
                  <w:color w:val="0000FF"/>
                </w:rPr>
                <w:t>Analysis of Financial Condition and Results of Operations</w:t>
              </w:r>
            </w:hyperlink>
          </w:p>
        </w:tc>
        <w:tc>
          <w:tcPr>
            <w:tcW w:w="640" w:type="dxa"/>
            <w:gridSpan w:val="5"/>
            <w:vAlign w:val="bottom"/>
          </w:tcPr>
          <w:p w:rsidR="000728AD" w:rsidRDefault="000561BE">
            <w:pPr>
              <w:ind w:left="312"/>
              <w:jc w:val="center"/>
              <w:rPr>
                <w:rFonts w:ascii="Arial" w:eastAsia="Arial" w:hAnsi="Arial" w:cs="Arial"/>
                <w:color w:val="0000FF"/>
                <w:w w:val="89"/>
              </w:rPr>
            </w:pPr>
            <w:hyperlink w:anchor="page20">
              <w:r>
                <w:rPr>
                  <w:rFonts w:ascii="Arial" w:eastAsia="Arial" w:hAnsi="Arial" w:cs="Arial"/>
                  <w:color w:val="0000FF"/>
                  <w:w w:val="89"/>
                </w:rPr>
                <w:t>21</w:t>
              </w:r>
            </w:hyperlink>
          </w:p>
        </w:tc>
        <w:tc>
          <w:tcPr>
            <w:tcW w:w="60" w:type="dxa"/>
            <w:vAlign w:val="bottom"/>
          </w:tcPr>
          <w:p w:rsidR="000728AD" w:rsidRDefault="000728AD">
            <w:pPr>
              <w:rPr>
                <w:sz w:val="24"/>
                <w:szCs w:val="24"/>
              </w:rPr>
            </w:pPr>
          </w:p>
        </w:tc>
        <w:tc>
          <w:tcPr>
            <w:tcW w:w="360" w:type="dxa"/>
            <w:vAlign w:val="bottom"/>
          </w:tcPr>
          <w:p w:rsidR="000728AD" w:rsidRDefault="000728AD">
            <w:pPr>
              <w:rPr>
                <w:sz w:val="24"/>
                <w:szCs w:val="24"/>
              </w:rPr>
            </w:pPr>
          </w:p>
        </w:tc>
        <w:tc>
          <w:tcPr>
            <w:tcW w:w="0" w:type="dxa"/>
            <w:vAlign w:val="bottom"/>
          </w:tcPr>
          <w:p w:rsidR="000728AD" w:rsidRDefault="000728AD">
            <w:pPr>
              <w:rPr>
                <w:sz w:val="1"/>
                <w:szCs w:val="1"/>
              </w:rPr>
            </w:pPr>
          </w:p>
        </w:tc>
      </w:tr>
      <w:tr w:rsidR="000728AD">
        <w:trPr>
          <w:trHeight w:val="290"/>
        </w:trPr>
        <w:tc>
          <w:tcPr>
            <w:tcW w:w="20" w:type="dxa"/>
            <w:vAlign w:val="bottom"/>
          </w:tcPr>
          <w:p w:rsidR="000728AD" w:rsidRDefault="000728AD">
            <w:pPr>
              <w:rPr>
                <w:sz w:val="24"/>
                <w:szCs w:val="24"/>
              </w:rPr>
            </w:pPr>
          </w:p>
        </w:tc>
        <w:tc>
          <w:tcPr>
            <w:tcW w:w="5820" w:type="dxa"/>
            <w:gridSpan w:val="14"/>
            <w:tcBorders>
              <w:top w:val="single" w:sz="8" w:space="0" w:color="0000FF"/>
              <w:bottom w:val="single" w:sz="8" w:space="0" w:color="0000FF"/>
            </w:tcBorders>
            <w:vAlign w:val="bottom"/>
          </w:tcPr>
          <w:p w:rsidR="000728AD" w:rsidRDefault="000561BE">
            <w:pPr>
              <w:rPr>
                <w:rFonts w:ascii="Arial" w:eastAsia="Arial" w:hAnsi="Arial" w:cs="Arial"/>
                <w:color w:val="0000FF"/>
                <w:w w:val="90"/>
              </w:rPr>
            </w:pPr>
            <w:hyperlink w:anchor="page30">
              <w:r>
                <w:rPr>
                  <w:rFonts w:ascii="Arial" w:eastAsia="Arial" w:hAnsi="Arial" w:cs="Arial"/>
                  <w:color w:val="0000FF"/>
                  <w:w w:val="90"/>
                </w:rPr>
                <w:t>Item 3. Quantitative and Qualitative Disclosure About Market Risk</w:t>
              </w:r>
            </w:hyperlink>
          </w:p>
        </w:tc>
        <w:tc>
          <w:tcPr>
            <w:tcW w:w="2580" w:type="dxa"/>
            <w:gridSpan w:val="7"/>
            <w:tcBorders>
              <w:top w:val="single" w:sz="8" w:space="0" w:color="0000FF"/>
            </w:tcBorders>
            <w:vAlign w:val="bottom"/>
          </w:tcPr>
          <w:p w:rsidR="000728AD" w:rsidRDefault="000728AD">
            <w:pPr>
              <w:rPr>
                <w:sz w:val="24"/>
                <w:szCs w:val="24"/>
              </w:rPr>
            </w:pPr>
          </w:p>
        </w:tc>
        <w:tc>
          <w:tcPr>
            <w:tcW w:w="1760" w:type="dxa"/>
            <w:vAlign w:val="bottom"/>
          </w:tcPr>
          <w:p w:rsidR="000728AD" w:rsidRDefault="000728AD">
            <w:pPr>
              <w:rPr>
                <w:sz w:val="24"/>
                <w:szCs w:val="24"/>
              </w:rPr>
            </w:pPr>
          </w:p>
        </w:tc>
        <w:tc>
          <w:tcPr>
            <w:tcW w:w="420" w:type="dxa"/>
            <w:gridSpan w:val="2"/>
            <w:vAlign w:val="bottom"/>
          </w:tcPr>
          <w:p w:rsidR="000728AD" w:rsidRDefault="000728AD">
            <w:pPr>
              <w:rPr>
                <w:sz w:val="24"/>
                <w:szCs w:val="24"/>
              </w:rPr>
            </w:pPr>
          </w:p>
        </w:tc>
        <w:tc>
          <w:tcPr>
            <w:tcW w:w="220" w:type="dxa"/>
            <w:gridSpan w:val="3"/>
            <w:tcBorders>
              <w:top w:val="single" w:sz="8" w:space="0" w:color="0000FF"/>
              <w:bottom w:val="single" w:sz="8" w:space="0" w:color="0000FF"/>
            </w:tcBorders>
            <w:vAlign w:val="bottom"/>
          </w:tcPr>
          <w:p w:rsidR="000728AD" w:rsidRDefault="000561BE">
            <w:pPr>
              <w:jc w:val="center"/>
              <w:rPr>
                <w:rFonts w:ascii="Arial" w:eastAsia="Arial" w:hAnsi="Arial" w:cs="Arial"/>
                <w:color w:val="0000FF"/>
                <w:w w:val="89"/>
              </w:rPr>
            </w:pPr>
            <w:hyperlink w:anchor="page30">
              <w:r>
                <w:rPr>
                  <w:rFonts w:ascii="Arial" w:eastAsia="Arial" w:hAnsi="Arial" w:cs="Arial"/>
                  <w:color w:val="0000FF"/>
                  <w:w w:val="89"/>
                </w:rPr>
                <w:t>30</w:t>
              </w:r>
            </w:hyperlink>
          </w:p>
        </w:tc>
        <w:tc>
          <w:tcPr>
            <w:tcW w:w="60" w:type="dxa"/>
            <w:vAlign w:val="bottom"/>
          </w:tcPr>
          <w:p w:rsidR="000728AD" w:rsidRDefault="000728AD">
            <w:pPr>
              <w:rPr>
                <w:sz w:val="24"/>
                <w:szCs w:val="24"/>
              </w:rPr>
            </w:pPr>
          </w:p>
        </w:tc>
        <w:tc>
          <w:tcPr>
            <w:tcW w:w="360" w:type="dxa"/>
            <w:vAlign w:val="bottom"/>
          </w:tcPr>
          <w:p w:rsidR="000728AD" w:rsidRDefault="000728AD">
            <w:pPr>
              <w:rPr>
                <w:sz w:val="24"/>
                <w:szCs w:val="24"/>
              </w:rPr>
            </w:pPr>
          </w:p>
        </w:tc>
        <w:tc>
          <w:tcPr>
            <w:tcW w:w="0" w:type="dxa"/>
            <w:vAlign w:val="bottom"/>
          </w:tcPr>
          <w:p w:rsidR="000728AD" w:rsidRDefault="000728AD">
            <w:pPr>
              <w:rPr>
                <w:sz w:val="1"/>
                <w:szCs w:val="1"/>
              </w:rPr>
            </w:pPr>
          </w:p>
        </w:tc>
      </w:tr>
      <w:tr w:rsidR="000728AD">
        <w:trPr>
          <w:trHeight w:val="291"/>
        </w:trPr>
        <w:tc>
          <w:tcPr>
            <w:tcW w:w="20" w:type="dxa"/>
            <w:vAlign w:val="bottom"/>
          </w:tcPr>
          <w:p w:rsidR="000728AD" w:rsidRDefault="000728AD">
            <w:pPr>
              <w:rPr>
                <w:sz w:val="24"/>
                <w:szCs w:val="24"/>
              </w:rPr>
            </w:pPr>
          </w:p>
        </w:tc>
        <w:tc>
          <w:tcPr>
            <w:tcW w:w="10160" w:type="dxa"/>
            <w:gridSpan w:val="22"/>
            <w:vAlign w:val="bottom"/>
          </w:tcPr>
          <w:p w:rsidR="000728AD" w:rsidRDefault="000561BE">
            <w:pPr>
              <w:rPr>
                <w:rFonts w:ascii="Arial" w:eastAsia="Arial" w:hAnsi="Arial" w:cs="Arial"/>
                <w:color w:val="0000FF"/>
              </w:rPr>
            </w:pPr>
            <w:hyperlink w:anchor="page30">
              <w:r>
                <w:rPr>
                  <w:rFonts w:ascii="Arial" w:eastAsia="Arial" w:hAnsi="Arial" w:cs="Arial"/>
                  <w:color w:val="0000FF"/>
                </w:rPr>
                <w:t>Item 4. Controls and Procedures</w:t>
              </w:r>
            </w:hyperlink>
          </w:p>
        </w:tc>
        <w:tc>
          <w:tcPr>
            <w:tcW w:w="640" w:type="dxa"/>
            <w:gridSpan w:val="5"/>
            <w:vAlign w:val="bottom"/>
          </w:tcPr>
          <w:p w:rsidR="000728AD" w:rsidRDefault="000561BE">
            <w:pPr>
              <w:ind w:left="312"/>
              <w:jc w:val="center"/>
              <w:rPr>
                <w:rFonts w:ascii="Arial" w:eastAsia="Arial" w:hAnsi="Arial" w:cs="Arial"/>
                <w:color w:val="0000FF"/>
                <w:w w:val="89"/>
              </w:rPr>
            </w:pPr>
            <w:hyperlink w:anchor="page30">
              <w:r>
                <w:rPr>
                  <w:rFonts w:ascii="Arial" w:eastAsia="Arial" w:hAnsi="Arial" w:cs="Arial"/>
                  <w:color w:val="0000FF"/>
                  <w:w w:val="89"/>
                </w:rPr>
                <w:t>31</w:t>
              </w:r>
            </w:hyperlink>
          </w:p>
        </w:tc>
        <w:tc>
          <w:tcPr>
            <w:tcW w:w="60" w:type="dxa"/>
            <w:vAlign w:val="bottom"/>
          </w:tcPr>
          <w:p w:rsidR="000728AD" w:rsidRDefault="000728AD">
            <w:pPr>
              <w:rPr>
                <w:sz w:val="24"/>
                <w:szCs w:val="24"/>
              </w:rPr>
            </w:pPr>
          </w:p>
        </w:tc>
        <w:tc>
          <w:tcPr>
            <w:tcW w:w="360" w:type="dxa"/>
            <w:vAlign w:val="bottom"/>
          </w:tcPr>
          <w:p w:rsidR="000728AD" w:rsidRDefault="000728AD">
            <w:pPr>
              <w:rPr>
                <w:sz w:val="24"/>
                <w:szCs w:val="24"/>
              </w:rPr>
            </w:pPr>
          </w:p>
        </w:tc>
        <w:tc>
          <w:tcPr>
            <w:tcW w:w="0" w:type="dxa"/>
            <w:vAlign w:val="bottom"/>
          </w:tcPr>
          <w:p w:rsidR="000728AD" w:rsidRDefault="000728AD">
            <w:pPr>
              <w:rPr>
                <w:sz w:val="1"/>
                <w:szCs w:val="1"/>
              </w:rPr>
            </w:pPr>
          </w:p>
        </w:tc>
      </w:tr>
      <w:tr w:rsidR="000728AD">
        <w:trPr>
          <w:trHeight w:val="344"/>
        </w:trPr>
        <w:tc>
          <w:tcPr>
            <w:tcW w:w="20" w:type="dxa"/>
            <w:vAlign w:val="bottom"/>
          </w:tcPr>
          <w:p w:rsidR="000728AD" w:rsidRDefault="000728AD">
            <w:pPr>
              <w:rPr>
                <w:sz w:val="24"/>
                <w:szCs w:val="24"/>
              </w:rPr>
            </w:pPr>
          </w:p>
        </w:tc>
        <w:tc>
          <w:tcPr>
            <w:tcW w:w="40" w:type="dxa"/>
            <w:tcBorders>
              <w:top w:val="single" w:sz="8" w:space="0" w:color="0000FF"/>
            </w:tcBorders>
            <w:vAlign w:val="bottom"/>
          </w:tcPr>
          <w:p w:rsidR="000728AD" w:rsidRDefault="000728AD">
            <w:pPr>
              <w:rPr>
                <w:sz w:val="24"/>
                <w:szCs w:val="24"/>
              </w:rPr>
            </w:pPr>
          </w:p>
        </w:tc>
        <w:tc>
          <w:tcPr>
            <w:tcW w:w="400" w:type="dxa"/>
            <w:tcBorders>
              <w:top w:val="single" w:sz="8" w:space="0" w:color="0000FF"/>
            </w:tcBorders>
            <w:vAlign w:val="bottom"/>
          </w:tcPr>
          <w:p w:rsidR="000728AD" w:rsidRDefault="000728AD">
            <w:pPr>
              <w:rPr>
                <w:sz w:val="24"/>
                <w:szCs w:val="24"/>
              </w:rPr>
            </w:pPr>
          </w:p>
        </w:tc>
        <w:tc>
          <w:tcPr>
            <w:tcW w:w="880" w:type="dxa"/>
            <w:tcBorders>
              <w:top w:val="single" w:sz="8" w:space="0" w:color="0000FF"/>
            </w:tcBorders>
            <w:vAlign w:val="bottom"/>
          </w:tcPr>
          <w:p w:rsidR="000728AD" w:rsidRDefault="000728AD">
            <w:pPr>
              <w:rPr>
                <w:sz w:val="24"/>
                <w:szCs w:val="24"/>
              </w:rPr>
            </w:pPr>
          </w:p>
        </w:tc>
        <w:tc>
          <w:tcPr>
            <w:tcW w:w="80" w:type="dxa"/>
            <w:tcBorders>
              <w:top w:val="single" w:sz="8" w:space="0" w:color="0000FF"/>
            </w:tcBorders>
            <w:vAlign w:val="bottom"/>
          </w:tcPr>
          <w:p w:rsidR="000728AD" w:rsidRDefault="000728AD">
            <w:pPr>
              <w:rPr>
                <w:sz w:val="24"/>
                <w:szCs w:val="24"/>
              </w:rPr>
            </w:pPr>
          </w:p>
        </w:tc>
        <w:tc>
          <w:tcPr>
            <w:tcW w:w="520" w:type="dxa"/>
            <w:tcBorders>
              <w:top w:val="single" w:sz="8" w:space="0" w:color="0000FF"/>
            </w:tcBorders>
            <w:vAlign w:val="bottom"/>
          </w:tcPr>
          <w:p w:rsidR="000728AD" w:rsidRDefault="000728AD">
            <w:pPr>
              <w:rPr>
                <w:sz w:val="24"/>
                <w:szCs w:val="24"/>
              </w:rPr>
            </w:pPr>
          </w:p>
        </w:tc>
        <w:tc>
          <w:tcPr>
            <w:tcW w:w="320" w:type="dxa"/>
            <w:tcBorders>
              <w:top w:val="single" w:sz="8" w:space="0" w:color="0000FF"/>
            </w:tcBorders>
            <w:vAlign w:val="bottom"/>
          </w:tcPr>
          <w:p w:rsidR="000728AD" w:rsidRDefault="000728AD">
            <w:pPr>
              <w:rPr>
                <w:sz w:val="24"/>
                <w:szCs w:val="24"/>
              </w:rPr>
            </w:pPr>
          </w:p>
        </w:tc>
        <w:tc>
          <w:tcPr>
            <w:tcW w:w="40" w:type="dxa"/>
            <w:tcBorders>
              <w:top w:val="single" w:sz="8" w:space="0" w:color="0000FF"/>
            </w:tcBorders>
            <w:vAlign w:val="bottom"/>
          </w:tcPr>
          <w:p w:rsidR="000728AD" w:rsidRDefault="000728AD">
            <w:pPr>
              <w:rPr>
                <w:sz w:val="24"/>
                <w:szCs w:val="24"/>
              </w:rPr>
            </w:pPr>
          </w:p>
        </w:tc>
        <w:tc>
          <w:tcPr>
            <w:tcW w:w="520" w:type="dxa"/>
            <w:tcBorders>
              <w:top w:val="single" w:sz="8" w:space="0" w:color="0000FF"/>
            </w:tcBorders>
            <w:vAlign w:val="bottom"/>
          </w:tcPr>
          <w:p w:rsidR="000728AD" w:rsidRDefault="000728AD">
            <w:pPr>
              <w:rPr>
                <w:sz w:val="24"/>
                <w:szCs w:val="24"/>
              </w:rPr>
            </w:pPr>
          </w:p>
        </w:tc>
        <w:tc>
          <w:tcPr>
            <w:tcW w:w="660" w:type="dxa"/>
            <w:vAlign w:val="bottom"/>
          </w:tcPr>
          <w:p w:rsidR="000728AD" w:rsidRDefault="000728AD">
            <w:pPr>
              <w:rPr>
                <w:sz w:val="24"/>
                <w:szCs w:val="24"/>
              </w:rPr>
            </w:pPr>
          </w:p>
        </w:tc>
        <w:tc>
          <w:tcPr>
            <w:tcW w:w="380" w:type="dxa"/>
            <w:vAlign w:val="bottom"/>
          </w:tcPr>
          <w:p w:rsidR="000728AD" w:rsidRDefault="000728AD">
            <w:pPr>
              <w:rPr>
                <w:sz w:val="24"/>
                <w:szCs w:val="24"/>
              </w:rPr>
            </w:pPr>
          </w:p>
        </w:tc>
        <w:tc>
          <w:tcPr>
            <w:tcW w:w="120" w:type="dxa"/>
            <w:vAlign w:val="bottom"/>
          </w:tcPr>
          <w:p w:rsidR="000728AD" w:rsidRDefault="000728AD">
            <w:pPr>
              <w:rPr>
                <w:sz w:val="24"/>
                <w:szCs w:val="24"/>
              </w:rPr>
            </w:pPr>
          </w:p>
        </w:tc>
        <w:tc>
          <w:tcPr>
            <w:tcW w:w="100" w:type="dxa"/>
            <w:vAlign w:val="bottom"/>
          </w:tcPr>
          <w:p w:rsidR="000728AD" w:rsidRDefault="000728AD">
            <w:pPr>
              <w:rPr>
                <w:sz w:val="24"/>
                <w:szCs w:val="24"/>
              </w:rPr>
            </w:pPr>
          </w:p>
        </w:tc>
        <w:tc>
          <w:tcPr>
            <w:tcW w:w="6100" w:type="dxa"/>
            <w:gridSpan w:val="10"/>
            <w:vAlign w:val="bottom"/>
          </w:tcPr>
          <w:p w:rsidR="000728AD" w:rsidRDefault="000561BE">
            <w:pPr>
              <w:ind w:right="3020"/>
              <w:jc w:val="center"/>
              <w:rPr>
                <w:rFonts w:ascii="Arial" w:eastAsia="Arial" w:hAnsi="Arial" w:cs="Arial"/>
                <w:color w:val="0000FF"/>
                <w:w w:val="94"/>
              </w:rPr>
            </w:pPr>
            <w:hyperlink w:anchor="page31">
              <w:r>
                <w:rPr>
                  <w:rFonts w:ascii="Arial" w:eastAsia="Arial" w:hAnsi="Arial" w:cs="Arial"/>
                  <w:color w:val="0000FF"/>
                  <w:w w:val="94"/>
                </w:rPr>
                <w:t>PART II. OTHER INFORMATION</w:t>
              </w:r>
            </w:hyperlink>
          </w:p>
        </w:tc>
        <w:tc>
          <w:tcPr>
            <w:tcW w:w="380" w:type="dxa"/>
            <w:vAlign w:val="bottom"/>
          </w:tcPr>
          <w:p w:rsidR="000728AD" w:rsidRDefault="000728AD">
            <w:pPr>
              <w:rPr>
                <w:sz w:val="24"/>
                <w:szCs w:val="24"/>
              </w:rPr>
            </w:pPr>
          </w:p>
        </w:tc>
        <w:tc>
          <w:tcPr>
            <w:tcW w:w="40" w:type="dxa"/>
            <w:vAlign w:val="bottom"/>
          </w:tcPr>
          <w:p w:rsidR="000728AD" w:rsidRDefault="000728AD">
            <w:pPr>
              <w:rPr>
                <w:sz w:val="24"/>
                <w:szCs w:val="24"/>
              </w:rPr>
            </w:pPr>
          </w:p>
        </w:tc>
        <w:tc>
          <w:tcPr>
            <w:tcW w:w="60" w:type="dxa"/>
            <w:tcBorders>
              <w:top w:val="single" w:sz="8" w:space="0" w:color="0000FF"/>
            </w:tcBorders>
            <w:vAlign w:val="bottom"/>
          </w:tcPr>
          <w:p w:rsidR="000728AD" w:rsidRDefault="000728AD">
            <w:pPr>
              <w:rPr>
                <w:sz w:val="24"/>
                <w:szCs w:val="24"/>
              </w:rPr>
            </w:pPr>
          </w:p>
        </w:tc>
        <w:tc>
          <w:tcPr>
            <w:tcW w:w="100" w:type="dxa"/>
            <w:tcBorders>
              <w:top w:val="single" w:sz="8" w:space="0" w:color="0000FF"/>
            </w:tcBorders>
            <w:vAlign w:val="bottom"/>
          </w:tcPr>
          <w:p w:rsidR="000728AD" w:rsidRDefault="000728AD">
            <w:pPr>
              <w:rPr>
                <w:sz w:val="24"/>
                <w:szCs w:val="24"/>
              </w:rPr>
            </w:pPr>
          </w:p>
        </w:tc>
        <w:tc>
          <w:tcPr>
            <w:tcW w:w="60" w:type="dxa"/>
            <w:tcBorders>
              <w:top w:val="single" w:sz="8" w:space="0" w:color="0000FF"/>
            </w:tcBorders>
            <w:vAlign w:val="bottom"/>
          </w:tcPr>
          <w:p w:rsidR="000728AD" w:rsidRDefault="000728AD">
            <w:pPr>
              <w:rPr>
                <w:sz w:val="24"/>
                <w:szCs w:val="24"/>
              </w:rPr>
            </w:pPr>
          </w:p>
        </w:tc>
        <w:tc>
          <w:tcPr>
            <w:tcW w:w="60" w:type="dxa"/>
            <w:vAlign w:val="bottom"/>
          </w:tcPr>
          <w:p w:rsidR="000728AD" w:rsidRDefault="000728AD">
            <w:pPr>
              <w:rPr>
                <w:sz w:val="24"/>
                <w:szCs w:val="24"/>
              </w:rPr>
            </w:pPr>
          </w:p>
        </w:tc>
        <w:tc>
          <w:tcPr>
            <w:tcW w:w="360" w:type="dxa"/>
            <w:vAlign w:val="bottom"/>
          </w:tcPr>
          <w:p w:rsidR="000728AD" w:rsidRDefault="000728AD">
            <w:pPr>
              <w:rPr>
                <w:sz w:val="24"/>
                <w:szCs w:val="24"/>
              </w:rPr>
            </w:pPr>
          </w:p>
        </w:tc>
        <w:tc>
          <w:tcPr>
            <w:tcW w:w="0" w:type="dxa"/>
            <w:vAlign w:val="bottom"/>
          </w:tcPr>
          <w:p w:rsidR="000728AD" w:rsidRDefault="000728AD">
            <w:pPr>
              <w:rPr>
                <w:sz w:val="1"/>
                <w:szCs w:val="1"/>
              </w:rPr>
            </w:pPr>
          </w:p>
        </w:tc>
      </w:tr>
      <w:tr w:rsidR="000728AD">
        <w:trPr>
          <w:trHeight w:val="290"/>
        </w:trPr>
        <w:tc>
          <w:tcPr>
            <w:tcW w:w="20" w:type="dxa"/>
            <w:vAlign w:val="bottom"/>
          </w:tcPr>
          <w:p w:rsidR="000728AD" w:rsidRDefault="000728AD">
            <w:pPr>
              <w:rPr>
                <w:sz w:val="24"/>
                <w:szCs w:val="24"/>
              </w:rPr>
            </w:pPr>
          </w:p>
        </w:tc>
        <w:tc>
          <w:tcPr>
            <w:tcW w:w="2280" w:type="dxa"/>
            <w:gridSpan w:val="7"/>
            <w:tcBorders>
              <w:bottom w:val="single" w:sz="8" w:space="0" w:color="0000FF"/>
            </w:tcBorders>
            <w:vAlign w:val="bottom"/>
          </w:tcPr>
          <w:p w:rsidR="000728AD" w:rsidRDefault="000561BE">
            <w:pPr>
              <w:rPr>
                <w:rFonts w:ascii="Arial" w:eastAsia="Arial" w:hAnsi="Arial" w:cs="Arial"/>
                <w:color w:val="0000FF"/>
                <w:w w:val="88"/>
              </w:rPr>
            </w:pPr>
            <w:hyperlink w:anchor="page32">
              <w:r>
                <w:rPr>
                  <w:rFonts w:ascii="Arial" w:eastAsia="Arial" w:hAnsi="Arial" w:cs="Arial"/>
                  <w:color w:val="0000FF"/>
                  <w:w w:val="88"/>
                </w:rPr>
                <w:t>Item 1. Legal Proceedings</w:t>
              </w:r>
            </w:hyperlink>
          </w:p>
        </w:tc>
        <w:tc>
          <w:tcPr>
            <w:tcW w:w="1780" w:type="dxa"/>
            <w:gridSpan w:val="5"/>
            <w:vAlign w:val="bottom"/>
          </w:tcPr>
          <w:p w:rsidR="000728AD" w:rsidRDefault="000728AD">
            <w:pPr>
              <w:rPr>
                <w:sz w:val="24"/>
                <w:szCs w:val="24"/>
              </w:rPr>
            </w:pPr>
          </w:p>
        </w:tc>
        <w:tc>
          <w:tcPr>
            <w:tcW w:w="3080" w:type="dxa"/>
            <w:gridSpan w:val="7"/>
            <w:tcBorders>
              <w:top w:val="single" w:sz="8" w:space="0" w:color="0000FF"/>
            </w:tcBorders>
            <w:vAlign w:val="bottom"/>
          </w:tcPr>
          <w:p w:rsidR="000728AD" w:rsidRDefault="000728AD">
            <w:pPr>
              <w:rPr>
                <w:sz w:val="24"/>
                <w:szCs w:val="24"/>
              </w:rPr>
            </w:pPr>
          </w:p>
        </w:tc>
        <w:tc>
          <w:tcPr>
            <w:tcW w:w="3020" w:type="dxa"/>
            <w:gridSpan w:val="3"/>
            <w:vAlign w:val="bottom"/>
          </w:tcPr>
          <w:p w:rsidR="000728AD" w:rsidRDefault="000728AD">
            <w:pPr>
              <w:rPr>
                <w:sz w:val="24"/>
                <w:szCs w:val="24"/>
              </w:rPr>
            </w:pPr>
          </w:p>
        </w:tc>
        <w:tc>
          <w:tcPr>
            <w:tcW w:w="420" w:type="dxa"/>
            <w:gridSpan w:val="2"/>
            <w:vAlign w:val="bottom"/>
          </w:tcPr>
          <w:p w:rsidR="000728AD" w:rsidRDefault="000728AD">
            <w:pPr>
              <w:rPr>
                <w:sz w:val="24"/>
                <w:szCs w:val="24"/>
              </w:rPr>
            </w:pPr>
          </w:p>
        </w:tc>
        <w:tc>
          <w:tcPr>
            <w:tcW w:w="220" w:type="dxa"/>
            <w:gridSpan w:val="3"/>
            <w:tcBorders>
              <w:bottom w:val="single" w:sz="8" w:space="0" w:color="0000FF"/>
            </w:tcBorders>
            <w:vAlign w:val="bottom"/>
          </w:tcPr>
          <w:p w:rsidR="000728AD" w:rsidRDefault="000561BE">
            <w:pPr>
              <w:jc w:val="center"/>
              <w:rPr>
                <w:rFonts w:ascii="Arial" w:eastAsia="Arial" w:hAnsi="Arial" w:cs="Arial"/>
                <w:color w:val="0000FF"/>
                <w:w w:val="89"/>
              </w:rPr>
            </w:pPr>
            <w:hyperlink w:anchor="page32">
              <w:r>
                <w:rPr>
                  <w:rFonts w:ascii="Arial" w:eastAsia="Arial" w:hAnsi="Arial" w:cs="Arial"/>
                  <w:color w:val="0000FF"/>
                  <w:w w:val="89"/>
                </w:rPr>
                <w:t>32</w:t>
              </w:r>
            </w:hyperlink>
          </w:p>
        </w:tc>
        <w:tc>
          <w:tcPr>
            <w:tcW w:w="60" w:type="dxa"/>
            <w:vAlign w:val="bottom"/>
          </w:tcPr>
          <w:p w:rsidR="000728AD" w:rsidRDefault="000728AD">
            <w:pPr>
              <w:rPr>
                <w:sz w:val="24"/>
                <w:szCs w:val="24"/>
              </w:rPr>
            </w:pPr>
          </w:p>
        </w:tc>
        <w:tc>
          <w:tcPr>
            <w:tcW w:w="360" w:type="dxa"/>
            <w:vAlign w:val="bottom"/>
          </w:tcPr>
          <w:p w:rsidR="000728AD" w:rsidRDefault="000728AD">
            <w:pPr>
              <w:rPr>
                <w:sz w:val="24"/>
                <w:szCs w:val="24"/>
              </w:rPr>
            </w:pPr>
          </w:p>
        </w:tc>
        <w:tc>
          <w:tcPr>
            <w:tcW w:w="0" w:type="dxa"/>
            <w:vAlign w:val="bottom"/>
          </w:tcPr>
          <w:p w:rsidR="000728AD" w:rsidRDefault="000728AD">
            <w:pPr>
              <w:rPr>
                <w:sz w:val="1"/>
                <w:szCs w:val="1"/>
              </w:rPr>
            </w:pPr>
          </w:p>
        </w:tc>
      </w:tr>
      <w:tr w:rsidR="000728AD">
        <w:trPr>
          <w:trHeight w:val="291"/>
        </w:trPr>
        <w:tc>
          <w:tcPr>
            <w:tcW w:w="20" w:type="dxa"/>
            <w:vAlign w:val="bottom"/>
          </w:tcPr>
          <w:p w:rsidR="000728AD" w:rsidRDefault="000728AD">
            <w:pPr>
              <w:rPr>
                <w:sz w:val="24"/>
                <w:szCs w:val="24"/>
              </w:rPr>
            </w:pPr>
          </w:p>
        </w:tc>
        <w:tc>
          <w:tcPr>
            <w:tcW w:w="1920" w:type="dxa"/>
            <w:gridSpan w:val="5"/>
            <w:tcBorders>
              <w:bottom w:val="single" w:sz="8" w:space="0" w:color="0000FF"/>
            </w:tcBorders>
            <w:vAlign w:val="bottom"/>
          </w:tcPr>
          <w:p w:rsidR="000728AD" w:rsidRDefault="000561BE">
            <w:pPr>
              <w:rPr>
                <w:rFonts w:ascii="Arial" w:eastAsia="Arial" w:hAnsi="Arial" w:cs="Arial"/>
                <w:color w:val="0000FF"/>
                <w:w w:val="90"/>
              </w:rPr>
            </w:pPr>
            <w:hyperlink w:anchor="page32">
              <w:r>
                <w:rPr>
                  <w:rFonts w:ascii="Arial" w:eastAsia="Arial" w:hAnsi="Arial" w:cs="Arial"/>
                  <w:color w:val="0000FF"/>
                  <w:w w:val="90"/>
                </w:rPr>
                <w:t>Item 1A. Risk Factors</w:t>
              </w:r>
            </w:hyperlink>
          </w:p>
        </w:tc>
        <w:tc>
          <w:tcPr>
            <w:tcW w:w="8240" w:type="dxa"/>
            <w:gridSpan w:val="17"/>
            <w:vAlign w:val="bottom"/>
          </w:tcPr>
          <w:p w:rsidR="000728AD" w:rsidRDefault="000728AD">
            <w:pPr>
              <w:rPr>
                <w:sz w:val="24"/>
                <w:szCs w:val="24"/>
              </w:rPr>
            </w:pPr>
          </w:p>
        </w:tc>
        <w:tc>
          <w:tcPr>
            <w:tcW w:w="420" w:type="dxa"/>
            <w:gridSpan w:val="2"/>
            <w:vAlign w:val="bottom"/>
          </w:tcPr>
          <w:p w:rsidR="000728AD" w:rsidRDefault="000728AD">
            <w:pPr>
              <w:rPr>
                <w:sz w:val="24"/>
                <w:szCs w:val="24"/>
              </w:rPr>
            </w:pPr>
          </w:p>
        </w:tc>
        <w:tc>
          <w:tcPr>
            <w:tcW w:w="220" w:type="dxa"/>
            <w:gridSpan w:val="3"/>
            <w:tcBorders>
              <w:bottom w:val="single" w:sz="8" w:space="0" w:color="0000FF"/>
            </w:tcBorders>
            <w:vAlign w:val="bottom"/>
          </w:tcPr>
          <w:p w:rsidR="000728AD" w:rsidRDefault="000561BE">
            <w:pPr>
              <w:jc w:val="center"/>
              <w:rPr>
                <w:rFonts w:ascii="Arial" w:eastAsia="Arial" w:hAnsi="Arial" w:cs="Arial"/>
                <w:color w:val="0000FF"/>
                <w:w w:val="89"/>
              </w:rPr>
            </w:pPr>
            <w:hyperlink w:anchor="page32">
              <w:r>
                <w:rPr>
                  <w:rFonts w:ascii="Arial" w:eastAsia="Arial" w:hAnsi="Arial" w:cs="Arial"/>
                  <w:color w:val="0000FF"/>
                  <w:w w:val="89"/>
                </w:rPr>
                <w:t>32</w:t>
              </w:r>
            </w:hyperlink>
          </w:p>
        </w:tc>
        <w:tc>
          <w:tcPr>
            <w:tcW w:w="60" w:type="dxa"/>
            <w:vAlign w:val="bottom"/>
          </w:tcPr>
          <w:p w:rsidR="000728AD" w:rsidRDefault="000728AD">
            <w:pPr>
              <w:rPr>
                <w:sz w:val="24"/>
                <w:szCs w:val="24"/>
              </w:rPr>
            </w:pPr>
          </w:p>
        </w:tc>
        <w:tc>
          <w:tcPr>
            <w:tcW w:w="360" w:type="dxa"/>
            <w:vAlign w:val="bottom"/>
          </w:tcPr>
          <w:p w:rsidR="000728AD" w:rsidRDefault="000728AD">
            <w:pPr>
              <w:rPr>
                <w:sz w:val="24"/>
                <w:szCs w:val="24"/>
              </w:rPr>
            </w:pPr>
          </w:p>
        </w:tc>
        <w:tc>
          <w:tcPr>
            <w:tcW w:w="0" w:type="dxa"/>
            <w:vAlign w:val="bottom"/>
          </w:tcPr>
          <w:p w:rsidR="000728AD" w:rsidRDefault="000728AD">
            <w:pPr>
              <w:rPr>
                <w:sz w:val="1"/>
                <w:szCs w:val="1"/>
              </w:rPr>
            </w:pPr>
          </w:p>
        </w:tc>
      </w:tr>
      <w:tr w:rsidR="000728AD">
        <w:trPr>
          <w:trHeight w:val="291"/>
        </w:trPr>
        <w:tc>
          <w:tcPr>
            <w:tcW w:w="20" w:type="dxa"/>
            <w:vAlign w:val="bottom"/>
          </w:tcPr>
          <w:p w:rsidR="000728AD" w:rsidRDefault="000728AD">
            <w:pPr>
              <w:rPr>
                <w:sz w:val="24"/>
                <w:szCs w:val="24"/>
              </w:rPr>
            </w:pPr>
          </w:p>
        </w:tc>
        <w:tc>
          <w:tcPr>
            <w:tcW w:w="5900" w:type="dxa"/>
            <w:gridSpan w:val="15"/>
            <w:tcBorders>
              <w:bottom w:val="single" w:sz="8" w:space="0" w:color="0000FF"/>
            </w:tcBorders>
            <w:vAlign w:val="bottom"/>
          </w:tcPr>
          <w:p w:rsidR="000728AD" w:rsidRDefault="000561BE">
            <w:pPr>
              <w:rPr>
                <w:rFonts w:ascii="Arial" w:eastAsia="Arial" w:hAnsi="Arial" w:cs="Arial"/>
                <w:color w:val="0000FF"/>
                <w:w w:val="88"/>
              </w:rPr>
            </w:pPr>
            <w:hyperlink w:anchor="page98">
              <w:r>
                <w:rPr>
                  <w:rFonts w:ascii="Arial" w:eastAsia="Arial" w:hAnsi="Arial" w:cs="Arial"/>
                  <w:color w:val="0000FF"/>
                  <w:w w:val="88"/>
                </w:rPr>
                <w:t>Item 2. Unregistered Sales of Equity Securities and Use of Proceeds</w:t>
              </w:r>
            </w:hyperlink>
          </w:p>
        </w:tc>
        <w:tc>
          <w:tcPr>
            <w:tcW w:w="4260" w:type="dxa"/>
            <w:gridSpan w:val="7"/>
            <w:vAlign w:val="bottom"/>
          </w:tcPr>
          <w:p w:rsidR="000728AD" w:rsidRDefault="000728AD">
            <w:pPr>
              <w:rPr>
                <w:sz w:val="24"/>
                <w:szCs w:val="24"/>
              </w:rPr>
            </w:pPr>
          </w:p>
        </w:tc>
        <w:tc>
          <w:tcPr>
            <w:tcW w:w="420" w:type="dxa"/>
            <w:gridSpan w:val="2"/>
            <w:vAlign w:val="bottom"/>
          </w:tcPr>
          <w:p w:rsidR="000728AD" w:rsidRDefault="000728AD">
            <w:pPr>
              <w:rPr>
                <w:sz w:val="24"/>
                <w:szCs w:val="24"/>
              </w:rPr>
            </w:pPr>
          </w:p>
        </w:tc>
        <w:tc>
          <w:tcPr>
            <w:tcW w:w="220" w:type="dxa"/>
            <w:gridSpan w:val="3"/>
            <w:tcBorders>
              <w:bottom w:val="single" w:sz="8" w:space="0" w:color="0000FF"/>
            </w:tcBorders>
            <w:vAlign w:val="bottom"/>
          </w:tcPr>
          <w:p w:rsidR="000728AD" w:rsidRDefault="000561BE">
            <w:pPr>
              <w:jc w:val="center"/>
              <w:rPr>
                <w:rFonts w:ascii="Arial" w:eastAsia="Arial" w:hAnsi="Arial" w:cs="Arial"/>
                <w:color w:val="0000FF"/>
                <w:w w:val="89"/>
              </w:rPr>
            </w:pPr>
            <w:hyperlink w:anchor="page98">
              <w:r>
                <w:rPr>
                  <w:rFonts w:ascii="Arial" w:eastAsia="Arial" w:hAnsi="Arial" w:cs="Arial"/>
                  <w:color w:val="0000FF"/>
                  <w:w w:val="89"/>
                </w:rPr>
                <w:t>98</w:t>
              </w:r>
            </w:hyperlink>
          </w:p>
        </w:tc>
        <w:tc>
          <w:tcPr>
            <w:tcW w:w="60" w:type="dxa"/>
            <w:vAlign w:val="bottom"/>
          </w:tcPr>
          <w:p w:rsidR="000728AD" w:rsidRDefault="000728AD">
            <w:pPr>
              <w:rPr>
                <w:sz w:val="24"/>
                <w:szCs w:val="24"/>
              </w:rPr>
            </w:pPr>
          </w:p>
        </w:tc>
        <w:tc>
          <w:tcPr>
            <w:tcW w:w="360" w:type="dxa"/>
            <w:vAlign w:val="bottom"/>
          </w:tcPr>
          <w:p w:rsidR="000728AD" w:rsidRDefault="000728AD">
            <w:pPr>
              <w:rPr>
                <w:sz w:val="24"/>
                <w:szCs w:val="24"/>
              </w:rPr>
            </w:pPr>
          </w:p>
        </w:tc>
        <w:tc>
          <w:tcPr>
            <w:tcW w:w="0" w:type="dxa"/>
            <w:vAlign w:val="bottom"/>
          </w:tcPr>
          <w:p w:rsidR="000728AD" w:rsidRDefault="000728AD">
            <w:pPr>
              <w:rPr>
                <w:sz w:val="1"/>
                <w:szCs w:val="1"/>
              </w:rPr>
            </w:pPr>
          </w:p>
        </w:tc>
      </w:tr>
      <w:tr w:rsidR="000728AD">
        <w:trPr>
          <w:trHeight w:val="290"/>
        </w:trPr>
        <w:tc>
          <w:tcPr>
            <w:tcW w:w="20" w:type="dxa"/>
            <w:vAlign w:val="bottom"/>
          </w:tcPr>
          <w:p w:rsidR="000728AD" w:rsidRDefault="000728AD">
            <w:pPr>
              <w:rPr>
                <w:sz w:val="24"/>
                <w:szCs w:val="24"/>
              </w:rPr>
            </w:pPr>
          </w:p>
        </w:tc>
        <w:tc>
          <w:tcPr>
            <w:tcW w:w="10160" w:type="dxa"/>
            <w:gridSpan w:val="22"/>
            <w:vAlign w:val="bottom"/>
          </w:tcPr>
          <w:p w:rsidR="000728AD" w:rsidRDefault="000561BE">
            <w:pPr>
              <w:rPr>
                <w:rFonts w:ascii="Arial" w:eastAsia="Arial" w:hAnsi="Arial" w:cs="Arial"/>
                <w:color w:val="0000FF"/>
              </w:rPr>
            </w:pPr>
            <w:hyperlink w:anchor="page98">
              <w:r>
                <w:rPr>
                  <w:rFonts w:ascii="Arial" w:eastAsia="Arial" w:hAnsi="Arial" w:cs="Arial"/>
                  <w:color w:val="0000FF"/>
                </w:rPr>
                <w:t>Item 3. Defaults Upon Senior Securities</w:t>
              </w:r>
            </w:hyperlink>
          </w:p>
        </w:tc>
        <w:tc>
          <w:tcPr>
            <w:tcW w:w="640" w:type="dxa"/>
            <w:gridSpan w:val="5"/>
            <w:vAlign w:val="bottom"/>
          </w:tcPr>
          <w:p w:rsidR="000728AD" w:rsidRDefault="000561BE">
            <w:pPr>
              <w:ind w:left="312"/>
              <w:jc w:val="center"/>
              <w:rPr>
                <w:rFonts w:ascii="Arial" w:eastAsia="Arial" w:hAnsi="Arial" w:cs="Arial"/>
                <w:color w:val="0000FF"/>
                <w:w w:val="89"/>
              </w:rPr>
            </w:pPr>
            <w:hyperlink w:anchor="page98">
              <w:r>
                <w:rPr>
                  <w:rFonts w:ascii="Arial" w:eastAsia="Arial" w:hAnsi="Arial" w:cs="Arial"/>
                  <w:color w:val="0000FF"/>
                  <w:w w:val="89"/>
                </w:rPr>
                <w:t>98</w:t>
              </w:r>
            </w:hyperlink>
          </w:p>
        </w:tc>
        <w:tc>
          <w:tcPr>
            <w:tcW w:w="60" w:type="dxa"/>
            <w:vAlign w:val="bottom"/>
          </w:tcPr>
          <w:p w:rsidR="000728AD" w:rsidRDefault="000728AD">
            <w:pPr>
              <w:rPr>
                <w:sz w:val="24"/>
                <w:szCs w:val="24"/>
              </w:rPr>
            </w:pPr>
          </w:p>
        </w:tc>
        <w:tc>
          <w:tcPr>
            <w:tcW w:w="360" w:type="dxa"/>
            <w:vAlign w:val="bottom"/>
          </w:tcPr>
          <w:p w:rsidR="000728AD" w:rsidRDefault="000728AD">
            <w:pPr>
              <w:rPr>
                <w:sz w:val="24"/>
                <w:szCs w:val="24"/>
              </w:rPr>
            </w:pPr>
          </w:p>
        </w:tc>
        <w:tc>
          <w:tcPr>
            <w:tcW w:w="0" w:type="dxa"/>
            <w:vAlign w:val="bottom"/>
          </w:tcPr>
          <w:p w:rsidR="000728AD" w:rsidRDefault="000728AD">
            <w:pPr>
              <w:rPr>
                <w:sz w:val="1"/>
                <w:szCs w:val="1"/>
              </w:rPr>
            </w:pPr>
          </w:p>
        </w:tc>
      </w:tr>
      <w:tr w:rsidR="000728AD">
        <w:trPr>
          <w:trHeight w:val="291"/>
        </w:trPr>
        <w:tc>
          <w:tcPr>
            <w:tcW w:w="20" w:type="dxa"/>
            <w:vAlign w:val="bottom"/>
          </w:tcPr>
          <w:p w:rsidR="000728AD" w:rsidRDefault="000728AD">
            <w:pPr>
              <w:rPr>
                <w:sz w:val="24"/>
                <w:szCs w:val="24"/>
              </w:rPr>
            </w:pPr>
          </w:p>
        </w:tc>
        <w:tc>
          <w:tcPr>
            <w:tcW w:w="2800" w:type="dxa"/>
            <w:gridSpan w:val="8"/>
            <w:tcBorders>
              <w:top w:val="single" w:sz="8" w:space="0" w:color="0000FF"/>
              <w:bottom w:val="single" w:sz="8" w:space="0" w:color="0000FF"/>
            </w:tcBorders>
            <w:vAlign w:val="bottom"/>
          </w:tcPr>
          <w:p w:rsidR="000728AD" w:rsidRDefault="000561BE">
            <w:pPr>
              <w:rPr>
                <w:rFonts w:ascii="Arial" w:eastAsia="Arial" w:hAnsi="Arial" w:cs="Arial"/>
                <w:color w:val="0000FF"/>
                <w:w w:val="89"/>
              </w:rPr>
            </w:pPr>
            <w:hyperlink w:anchor="page98">
              <w:r>
                <w:rPr>
                  <w:rFonts w:ascii="Arial" w:eastAsia="Arial" w:hAnsi="Arial" w:cs="Arial"/>
                  <w:color w:val="0000FF"/>
                  <w:w w:val="89"/>
                </w:rPr>
                <w:t>Item 4. Mine Safety Disclosures</w:t>
              </w:r>
            </w:hyperlink>
          </w:p>
        </w:tc>
        <w:tc>
          <w:tcPr>
            <w:tcW w:w="660" w:type="dxa"/>
            <w:tcBorders>
              <w:top w:val="single" w:sz="8" w:space="0" w:color="0000FF"/>
            </w:tcBorders>
            <w:vAlign w:val="bottom"/>
          </w:tcPr>
          <w:p w:rsidR="000728AD" w:rsidRDefault="000728AD">
            <w:pPr>
              <w:rPr>
                <w:sz w:val="24"/>
                <w:szCs w:val="24"/>
              </w:rPr>
            </w:pPr>
          </w:p>
        </w:tc>
        <w:tc>
          <w:tcPr>
            <w:tcW w:w="6700" w:type="dxa"/>
            <w:gridSpan w:val="13"/>
            <w:vAlign w:val="bottom"/>
          </w:tcPr>
          <w:p w:rsidR="000728AD" w:rsidRDefault="000728AD">
            <w:pPr>
              <w:rPr>
                <w:sz w:val="24"/>
                <w:szCs w:val="24"/>
              </w:rPr>
            </w:pPr>
          </w:p>
        </w:tc>
        <w:tc>
          <w:tcPr>
            <w:tcW w:w="420" w:type="dxa"/>
            <w:gridSpan w:val="2"/>
            <w:vAlign w:val="bottom"/>
          </w:tcPr>
          <w:p w:rsidR="000728AD" w:rsidRDefault="000728AD">
            <w:pPr>
              <w:rPr>
                <w:sz w:val="24"/>
                <w:szCs w:val="24"/>
              </w:rPr>
            </w:pPr>
          </w:p>
        </w:tc>
        <w:tc>
          <w:tcPr>
            <w:tcW w:w="220" w:type="dxa"/>
            <w:gridSpan w:val="3"/>
            <w:tcBorders>
              <w:top w:val="single" w:sz="8" w:space="0" w:color="0000FF"/>
              <w:bottom w:val="single" w:sz="8" w:space="0" w:color="0000FF"/>
            </w:tcBorders>
            <w:vAlign w:val="bottom"/>
          </w:tcPr>
          <w:p w:rsidR="000728AD" w:rsidRDefault="000561BE">
            <w:pPr>
              <w:jc w:val="center"/>
              <w:rPr>
                <w:rFonts w:ascii="Arial" w:eastAsia="Arial" w:hAnsi="Arial" w:cs="Arial"/>
                <w:color w:val="0000FF"/>
                <w:w w:val="89"/>
              </w:rPr>
            </w:pPr>
            <w:hyperlink w:anchor="page98">
              <w:r>
                <w:rPr>
                  <w:rFonts w:ascii="Arial" w:eastAsia="Arial" w:hAnsi="Arial" w:cs="Arial"/>
                  <w:color w:val="0000FF"/>
                  <w:w w:val="89"/>
                </w:rPr>
                <w:t>98</w:t>
              </w:r>
            </w:hyperlink>
          </w:p>
        </w:tc>
        <w:tc>
          <w:tcPr>
            <w:tcW w:w="60" w:type="dxa"/>
            <w:vAlign w:val="bottom"/>
          </w:tcPr>
          <w:p w:rsidR="000728AD" w:rsidRDefault="000728AD">
            <w:pPr>
              <w:rPr>
                <w:sz w:val="24"/>
                <w:szCs w:val="24"/>
              </w:rPr>
            </w:pPr>
          </w:p>
        </w:tc>
        <w:tc>
          <w:tcPr>
            <w:tcW w:w="360" w:type="dxa"/>
            <w:vAlign w:val="bottom"/>
          </w:tcPr>
          <w:p w:rsidR="000728AD" w:rsidRDefault="000728AD">
            <w:pPr>
              <w:rPr>
                <w:sz w:val="24"/>
                <w:szCs w:val="24"/>
              </w:rPr>
            </w:pPr>
          </w:p>
        </w:tc>
        <w:tc>
          <w:tcPr>
            <w:tcW w:w="0" w:type="dxa"/>
            <w:vAlign w:val="bottom"/>
          </w:tcPr>
          <w:p w:rsidR="000728AD" w:rsidRDefault="000728AD">
            <w:pPr>
              <w:rPr>
                <w:sz w:val="1"/>
                <w:szCs w:val="1"/>
              </w:rPr>
            </w:pPr>
          </w:p>
        </w:tc>
      </w:tr>
      <w:tr w:rsidR="000728AD">
        <w:trPr>
          <w:trHeight w:val="290"/>
        </w:trPr>
        <w:tc>
          <w:tcPr>
            <w:tcW w:w="20" w:type="dxa"/>
            <w:vAlign w:val="bottom"/>
          </w:tcPr>
          <w:p w:rsidR="000728AD" w:rsidRDefault="000728AD">
            <w:pPr>
              <w:rPr>
                <w:sz w:val="24"/>
                <w:szCs w:val="24"/>
              </w:rPr>
            </w:pPr>
          </w:p>
        </w:tc>
        <w:tc>
          <w:tcPr>
            <w:tcW w:w="10160" w:type="dxa"/>
            <w:gridSpan w:val="22"/>
            <w:vAlign w:val="bottom"/>
          </w:tcPr>
          <w:p w:rsidR="000728AD" w:rsidRDefault="000561BE">
            <w:pPr>
              <w:rPr>
                <w:rFonts w:ascii="Arial" w:eastAsia="Arial" w:hAnsi="Arial" w:cs="Arial"/>
                <w:color w:val="0000FF"/>
              </w:rPr>
            </w:pPr>
            <w:hyperlink w:anchor="page98">
              <w:r>
                <w:rPr>
                  <w:rFonts w:ascii="Arial" w:eastAsia="Arial" w:hAnsi="Arial" w:cs="Arial"/>
                  <w:color w:val="0000FF"/>
                </w:rPr>
                <w:t>Item 5. Other Information</w:t>
              </w:r>
            </w:hyperlink>
          </w:p>
        </w:tc>
        <w:tc>
          <w:tcPr>
            <w:tcW w:w="640" w:type="dxa"/>
            <w:gridSpan w:val="5"/>
            <w:vAlign w:val="bottom"/>
          </w:tcPr>
          <w:p w:rsidR="000728AD" w:rsidRDefault="000561BE">
            <w:pPr>
              <w:ind w:left="312"/>
              <w:jc w:val="center"/>
              <w:rPr>
                <w:rFonts w:ascii="Arial" w:eastAsia="Arial" w:hAnsi="Arial" w:cs="Arial"/>
                <w:color w:val="0000FF"/>
                <w:w w:val="89"/>
              </w:rPr>
            </w:pPr>
            <w:hyperlink w:anchor="page98">
              <w:r>
                <w:rPr>
                  <w:rFonts w:ascii="Arial" w:eastAsia="Arial" w:hAnsi="Arial" w:cs="Arial"/>
                  <w:color w:val="0000FF"/>
                  <w:w w:val="89"/>
                </w:rPr>
                <w:t>98</w:t>
              </w:r>
            </w:hyperlink>
          </w:p>
        </w:tc>
        <w:tc>
          <w:tcPr>
            <w:tcW w:w="60" w:type="dxa"/>
            <w:vAlign w:val="bottom"/>
          </w:tcPr>
          <w:p w:rsidR="000728AD" w:rsidRDefault="000728AD">
            <w:pPr>
              <w:rPr>
                <w:sz w:val="24"/>
                <w:szCs w:val="24"/>
              </w:rPr>
            </w:pPr>
          </w:p>
        </w:tc>
        <w:tc>
          <w:tcPr>
            <w:tcW w:w="360" w:type="dxa"/>
            <w:vAlign w:val="bottom"/>
          </w:tcPr>
          <w:p w:rsidR="000728AD" w:rsidRDefault="000728AD">
            <w:pPr>
              <w:rPr>
                <w:sz w:val="24"/>
                <w:szCs w:val="24"/>
              </w:rPr>
            </w:pPr>
          </w:p>
        </w:tc>
        <w:tc>
          <w:tcPr>
            <w:tcW w:w="0" w:type="dxa"/>
            <w:vAlign w:val="bottom"/>
          </w:tcPr>
          <w:p w:rsidR="000728AD" w:rsidRDefault="000728AD">
            <w:pPr>
              <w:rPr>
                <w:sz w:val="1"/>
                <w:szCs w:val="1"/>
              </w:rPr>
            </w:pPr>
          </w:p>
        </w:tc>
      </w:tr>
      <w:tr w:rsidR="000728AD">
        <w:trPr>
          <w:trHeight w:val="290"/>
        </w:trPr>
        <w:tc>
          <w:tcPr>
            <w:tcW w:w="20" w:type="dxa"/>
            <w:vAlign w:val="bottom"/>
          </w:tcPr>
          <w:p w:rsidR="000728AD" w:rsidRDefault="000728AD">
            <w:pPr>
              <w:rPr>
                <w:sz w:val="24"/>
                <w:szCs w:val="24"/>
              </w:rPr>
            </w:pPr>
          </w:p>
        </w:tc>
        <w:tc>
          <w:tcPr>
            <w:tcW w:w="1400" w:type="dxa"/>
            <w:gridSpan w:val="4"/>
            <w:tcBorders>
              <w:top w:val="single" w:sz="8" w:space="0" w:color="0000FF"/>
              <w:bottom w:val="single" w:sz="8" w:space="0" w:color="0000FF"/>
            </w:tcBorders>
            <w:vAlign w:val="bottom"/>
          </w:tcPr>
          <w:p w:rsidR="000728AD" w:rsidRDefault="000561BE">
            <w:pPr>
              <w:rPr>
                <w:rFonts w:ascii="Arial" w:eastAsia="Arial" w:hAnsi="Arial" w:cs="Arial"/>
                <w:color w:val="0000FF"/>
                <w:w w:val="91"/>
              </w:rPr>
            </w:pPr>
            <w:hyperlink w:anchor="page98">
              <w:r>
                <w:rPr>
                  <w:rFonts w:ascii="Arial" w:eastAsia="Arial" w:hAnsi="Arial" w:cs="Arial"/>
                  <w:color w:val="0000FF"/>
                  <w:w w:val="91"/>
                </w:rPr>
                <w:t>Item 6. Exhibits</w:t>
              </w:r>
            </w:hyperlink>
          </w:p>
        </w:tc>
        <w:tc>
          <w:tcPr>
            <w:tcW w:w="840" w:type="dxa"/>
            <w:gridSpan w:val="2"/>
            <w:tcBorders>
              <w:top w:val="single" w:sz="8" w:space="0" w:color="0000FF"/>
            </w:tcBorders>
            <w:vAlign w:val="bottom"/>
          </w:tcPr>
          <w:p w:rsidR="000728AD" w:rsidRDefault="000728AD">
            <w:pPr>
              <w:rPr>
                <w:sz w:val="24"/>
                <w:szCs w:val="24"/>
              </w:rPr>
            </w:pPr>
          </w:p>
        </w:tc>
        <w:tc>
          <w:tcPr>
            <w:tcW w:w="7920" w:type="dxa"/>
            <w:gridSpan w:val="16"/>
            <w:vAlign w:val="bottom"/>
          </w:tcPr>
          <w:p w:rsidR="000728AD" w:rsidRDefault="000728AD">
            <w:pPr>
              <w:rPr>
                <w:sz w:val="24"/>
                <w:szCs w:val="24"/>
              </w:rPr>
            </w:pPr>
          </w:p>
        </w:tc>
        <w:tc>
          <w:tcPr>
            <w:tcW w:w="420" w:type="dxa"/>
            <w:gridSpan w:val="2"/>
            <w:vAlign w:val="bottom"/>
          </w:tcPr>
          <w:p w:rsidR="000728AD" w:rsidRDefault="000728AD">
            <w:pPr>
              <w:rPr>
                <w:sz w:val="24"/>
                <w:szCs w:val="24"/>
              </w:rPr>
            </w:pPr>
          </w:p>
        </w:tc>
        <w:tc>
          <w:tcPr>
            <w:tcW w:w="220" w:type="dxa"/>
            <w:gridSpan w:val="3"/>
            <w:tcBorders>
              <w:top w:val="single" w:sz="8" w:space="0" w:color="0000FF"/>
              <w:bottom w:val="single" w:sz="8" w:space="0" w:color="0000FF"/>
            </w:tcBorders>
            <w:vAlign w:val="bottom"/>
          </w:tcPr>
          <w:p w:rsidR="000728AD" w:rsidRDefault="000561BE">
            <w:pPr>
              <w:jc w:val="center"/>
              <w:rPr>
                <w:rFonts w:ascii="Arial" w:eastAsia="Arial" w:hAnsi="Arial" w:cs="Arial"/>
                <w:color w:val="0000FF"/>
                <w:w w:val="89"/>
              </w:rPr>
            </w:pPr>
            <w:hyperlink w:anchor="page98">
              <w:r>
                <w:rPr>
                  <w:rFonts w:ascii="Arial" w:eastAsia="Arial" w:hAnsi="Arial" w:cs="Arial"/>
                  <w:color w:val="0000FF"/>
                  <w:w w:val="89"/>
                </w:rPr>
                <w:t>99</w:t>
              </w:r>
            </w:hyperlink>
          </w:p>
        </w:tc>
        <w:tc>
          <w:tcPr>
            <w:tcW w:w="60" w:type="dxa"/>
            <w:vAlign w:val="bottom"/>
          </w:tcPr>
          <w:p w:rsidR="000728AD" w:rsidRDefault="000728AD">
            <w:pPr>
              <w:rPr>
                <w:sz w:val="24"/>
                <w:szCs w:val="24"/>
              </w:rPr>
            </w:pPr>
          </w:p>
        </w:tc>
        <w:tc>
          <w:tcPr>
            <w:tcW w:w="360" w:type="dxa"/>
            <w:vAlign w:val="bottom"/>
          </w:tcPr>
          <w:p w:rsidR="000728AD" w:rsidRDefault="000728AD">
            <w:pPr>
              <w:rPr>
                <w:sz w:val="24"/>
                <w:szCs w:val="24"/>
              </w:rPr>
            </w:pPr>
          </w:p>
        </w:tc>
        <w:tc>
          <w:tcPr>
            <w:tcW w:w="0" w:type="dxa"/>
            <w:vAlign w:val="bottom"/>
          </w:tcPr>
          <w:p w:rsidR="000728AD" w:rsidRDefault="000728AD">
            <w:pPr>
              <w:rPr>
                <w:sz w:val="1"/>
                <w:szCs w:val="1"/>
              </w:rPr>
            </w:pPr>
          </w:p>
        </w:tc>
      </w:tr>
      <w:tr w:rsidR="000728AD">
        <w:trPr>
          <w:trHeight w:val="290"/>
        </w:trPr>
        <w:tc>
          <w:tcPr>
            <w:tcW w:w="20" w:type="dxa"/>
            <w:vAlign w:val="bottom"/>
          </w:tcPr>
          <w:p w:rsidR="000728AD" w:rsidRDefault="000728AD">
            <w:pPr>
              <w:rPr>
                <w:sz w:val="24"/>
                <w:szCs w:val="24"/>
              </w:rPr>
            </w:pPr>
          </w:p>
        </w:tc>
        <w:tc>
          <w:tcPr>
            <w:tcW w:w="10160" w:type="dxa"/>
            <w:gridSpan w:val="22"/>
            <w:vAlign w:val="bottom"/>
          </w:tcPr>
          <w:p w:rsidR="000728AD" w:rsidRDefault="000561BE">
            <w:pPr>
              <w:rPr>
                <w:rFonts w:ascii="Arial" w:eastAsia="Arial" w:hAnsi="Arial" w:cs="Arial"/>
                <w:color w:val="0000FF"/>
              </w:rPr>
            </w:pPr>
            <w:hyperlink w:anchor="page99">
              <w:r>
                <w:rPr>
                  <w:rFonts w:ascii="Arial" w:eastAsia="Arial" w:hAnsi="Arial" w:cs="Arial"/>
                  <w:color w:val="0000FF"/>
                </w:rPr>
                <w:t>SIGNATURES</w:t>
              </w:r>
            </w:hyperlink>
          </w:p>
        </w:tc>
        <w:tc>
          <w:tcPr>
            <w:tcW w:w="700" w:type="dxa"/>
            <w:gridSpan w:val="6"/>
            <w:vAlign w:val="bottom"/>
          </w:tcPr>
          <w:p w:rsidR="000728AD" w:rsidRDefault="000561BE">
            <w:pPr>
              <w:ind w:left="272"/>
              <w:jc w:val="center"/>
              <w:rPr>
                <w:rFonts w:ascii="Arial" w:eastAsia="Arial" w:hAnsi="Arial" w:cs="Arial"/>
                <w:color w:val="0000FF"/>
                <w:w w:val="87"/>
              </w:rPr>
            </w:pPr>
            <w:hyperlink w:anchor="page99">
              <w:r>
                <w:rPr>
                  <w:rFonts w:ascii="Arial" w:eastAsia="Arial" w:hAnsi="Arial" w:cs="Arial"/>
                  <w:color w:val="0000FF"/>
                  <w:w w:val="87"/>
                </w:rPr>
                <w:t>100</w:t>
              </w:r>
            </w:hyperlink>
          </w:p>
        </w:tc>
        <w:tc>
          <w:tcPr>
            <w:tcW w:w="360" w:type="dxa"/>
            <w:vAlign w:val="bottom"/>
          </w:tcPr>
          <w:p w:rsidR="000728AD" w:rsidRDefault="000728AD">
            <w:pPr>
              <w:rPr>
                <w:sz w:val="24"/>
                <w:szCs w:val="24"/>
              </w:rPr>
            </w:pPr>
          </w:p>
        </w:tc>
        <w:tc>
          <w:tcPr>
            <w:tcW w:w="0" w:type="dxa"/>
            <w:vAlign w:val="bottom"/>
          </w:tcPr>
          <w:p w:rsidR="000728AD" w:rsidRDefault="000728AD">
            <w:pPr>
              <w:rPr>
                <w:sz w:val="1"/>
                <w:szCs w:val="1"/>
              </w:rPr>
            </w:pPr>
          </w:p>
        </w:tc>
      </w:tr>
      <w:tr w:rsidR="000728AD">
        <w:trPr>
          <w:trHeight w:val="952"/>
        </w:trPr>
        <w:tc>
          <w:tcPr>
            <w:tcW w:w="20" w:type="dxa"/>
            <w:vAlign w:val="bottom"/>
          </w:tcPr>
          <w:p w:rsidR="000728AD" w:rsidRDefault="000728AD">
            <w:pPr>
              <w:rPr>
                <w:sz w:val="24"/>
                <w:szCs w:val="24"/>
              </w:rPr>
            </w:pPr>
          </w:p>
        </w:tc>
        <w:tc>
          <w:tcPr>
            <w:tcW w:w="1320" w:type="dxa"/>
            <w:gridSpan w:val="3"/>
            <w:tcBorders>
              <w:top w:val="single" w:sz="8" w:space="0" w:color="0000FF"/>
            </w:tcBorders>
            <w:vAlign w:val="bottom"/>
          </w:tcPr>
          <w:p w:rsidR="000728AD" w:rsidRDefault="000728AD">
            <w:pPr>
              <w:rPr>
                <w:sz w:val="24"/>
                <w:szCs w:val="24"/>
              </w:rPr>
            </w:pPr>
          </w:p>
        </w:tc>
        <w:tc>
          <w:tcPr>
            <w:tcW w:w="4500" w:type="dxa"/>
            <w:gridSpan w:val="11"/>
            <w:vAlign w:val="bottom"/>
          </w:tcPr>
          <w:p w:rsidR="000728AD" w:rsidRDefault="000561BE">
            <w:pPr>
              <w:ind w:left="3970"/>
              <w:jc w:val="center"/>
              <w:rPr>
                <w:sz w:val="20"/>
                <w:szCs w:val="20"/>
              </w:rPr>
            </w:pPr>
            <w:r>
              <w:rPr>
                <w:rFonts w:ascii="Arial" w:eastAsia="Arial" w:hAnsi="Arial" w:cs="Arial"/>
                <w:w w:val="79"/>
                <w:sz w:val="18"/>
                <w:szCs w:val="18"/>
              </w:rPr>
              <w:t>4</w:t>
            </w:r>
          </w:p>
        </w:tc>
        <w:tc>
          <w:tcPr>
            <w:tcW w:w="80" w:type="dxa"/>
            <w:vAlign w:val="bottom"/>
          </w:tcPr>
          <w:p w:rsidR="000728AD" w:rsidRDefault="000728AD">
            <w:pPr>
              <w:rPr>
                <w:sz w:val="24"/>
                <w:szCs w:val="24"/>
              </w:rPr>
            </w:pPr>
          </w:p>
        </w:tc>
        <w:tc>
          <w:tcPr>
            <w:tcW w:w="280" w:type="dxa"/>
            <w:vAlign w:val="bottom"/>
          </w:tcPr>
          <w:p w:rsidR="000728AD" w:rsidRDefault="000728AD">
            <w:pPr>
              <w:rPr>
                <w:sz w:val="24"/>
                <w:szCs w:val="24"/>
              </w:rPr>
            </w:pPr>
          </w:p>
        </w:tc>
        <w:tc>
          <w:tcPr>
            <w:tcW w:w="320" w:type="dxa"/>
            <w:vAlign w:val="bottom"/>
          </w:tcPr>
          <w:p w:rsidR="000728AD" w:rsidRDefault="000728AD">
            <w:pPr>
              <w:rPr>
                <w:sz w:val="24"/>
                <w:szCs w:val="24"/>
              </w:rPr>
            </w:pPr>
          </w:p>
        </w:tc>
        <w:tc>
          <w:tcPr>
            <w:tcW w:w="560" w:type="dxa"/>
            <w:vAlign w:val="bottom"/>
          </w:tcPr>
          <w:p w:rsidR="000728AD" w:rsidRDefault="000728AD">
            <w:pPr>
              <w:rPr>
                <w:sz w:val="24"/>
                <w:szCs w:val="24"/>
              </w:rPr>
            </w:pPr>
          </w:p>
        </w:tc>
        <w:tc>
          <w:tcPr>
            <w:tcW w:w="80" w:type="dxa"/>
            <w:vAlign w:val="bottom"/>
          </w:tcPr>
          <w:p w:rsidR="000728AD" w:rsidRDefault="000728AD">
            <w:pPr>
              <w:rPr>
                <w:sz w:val="24"/>
                <w:szCs w:val="24"/>
              </w:rPr>
            </w:pPr>
          </w:p>
        </w:tc>
        <w:tc>
          <w:tcPr>
            <w:tcW w:w="220" w:type="dxa"/>
            <w:vAlign w:val="bottom"/>
          </w:tcPr>
          <w:p w:rsidR="000728AD" w:rsidRDefault="000728AD">
            <w:pPr>
              <w:rPr>
                <w:sz w:val="24"/>
                <w:szCs w:val="24"/>
              </w:rPr>
            </w:pPr>
          </w:p>
        </w:tc>
        <w:tc>
          <w:tcPr>
            <w:tcW w:w="1040" w:type="dxa"/>
            <w:vAlign w:val="bottom"/>
          </w:tcPr>
          <w:p w:rsidR="000728AD" w:rsidRDefault="000728AD">
            <w:pPr>
              <w:rPr>
                <w:sz w:val="24"/>
                <w:szCs w:val="24"/>
              </w:rPr>
            </w:pPr>
          </w:p>
        </w:tc>
        <w:tc>
          <w:tcPr>
            <w:tcW w:w="1760" w:type="dxa"/>
            <w:vAlign w:val="bottom"/>
          </w:tcPr>
          <w:p w:rsidR="000728AD" w:rsidRDefault="000728AD">
            <w:pPr>
              <w:rPr>
                <w:sz w:val="24"/>
                <w:szCs w:val="24"/>
              </w:rPr>
            </w:pPr>
          </w:p>
        </w:tc>
        <w:tc>
          <w:tcPr>
            <w:tcW w:w="380" w:type="dxa"/>
            <w:vAlign w:val="bottom"/>
          </w:tcPr>
          <w:p w:rsidR="000728AD" w:rsidRDefault="000728AD">
            <w:pPr>
              <w:rPr>
                <w:sz w:val="24"/>
                <w:szCs w:val="24"/>
              </w:rPr>
            </w:pPr>
          </w:p>
        </w:tc>
        <w:tc>
          <w:tcPr>
            <w:tcW w:w="40" w:type="dxa"/>
            <w:tcBorders>
              <w:top w:val="single" w:sz="8" w:space="0" w:color="0000FF"/>
            </w:tcBorders>
            <w:vAlign w:val="bottom"/>
          </w:tcPr>
          <w:p w:rsidR="000728AD" w:rsidRDefault="000728AD">
            <w:pPr>
              <w:rPr>
                <w:sz w:val="24"/>
                <w:szCs w:val="24"/>
              </w:rPr>
            </w:pPr>
          </w:p>
        </w:tc>
        <w:tc>
          <w:tcPr>
            <w:tcW w:w="60" w:type="dxa"/>
            <w:tcBorders>
              <w:top w:val="single" w:sz="8" w:space="0" w:color="0000FF"/>
            </w:tcBorders>
            <w:vAlign w:val="bottom"/>
          </w:tcPr>
          <w:p w:rsidR="000728AD" w:rsidRDefault="000728AD">
            <w:pPr>
              <w:rPr>
                <w:sz w:val="24"/>
                <w:szCs w:val="24"/>
              </w:rPr>
            </w:pPr>
          </w:p>
        </w:tc>
        <w:tc>
          <w:tcPr>
            <w:tcW w:w="100" w:type="dxa"/>
            <w:tcBorders>
              <w:top w:val="single" w:sz="8" w:space="0" w:color="0000FF"/>
            </w:tcBorders>
            <w:vAlign w:val="bottom"/>
          </w:tcPr>
          <w:p w:rsidR="000728AD" w:rsidRDefault="000728AD">
            <w:pPr>
              <w:rPr>
                <w:sz w:val="24"/>
                <w:szCs w:val="24"/>
              </w:rPr>
            </w:pPr>
          </w:p>
        </w:tc>
        <w:tc>
          <w:tcPr>
            <w:tcW w:w="60" w:type="dxa"/>
            <w:tcBorders>
              <w:top w:val="single" w:sz="8" w:space="0" w:color="0000FF"/>
            </w:tcBorders>
            <w:vAlign w:val="bottom"/>
          </w:tcPr>
          <w:p w:rsidR="000728AD" w:rsidRDefault="000728AD">
            <w:pPr>
              <w:rPr>
                <w:sz w:val="24"/>
                <w:szCs w:val="24"/>
              </w:rPr>
            </w:pPr>
          </w:p>
        </w:tc>
        <w:tc>
          <w:tcPr>
            <w:tcW w:w="60" w:type="dxa"/>
            <w:tcBorders>
              <w:top w:val="single" w:sz="8" w:space="0" w:color="0000FF"/>
            </w:tcBorders>
            <w:vAlign w:val="bottom"/>
          </w:tcPr>
          <w:p w:rsidR="000728AD" w:rsidRDefault="000728AD">
            <w:pPr>
              <w:rPr>
                <w:sz w:val="24"/>
                <w:szCs w:val="24"/>
              </w:rPr>
            </w:pPr>
          </w:p>
        </w:tc>
        <w:tc>
          <w:tcPr>
            <w:tcW w:w="360" w:type="dxa"/>
            <w:vAlign w:val="bottom"/>
          </w:tcPr>
          <w:p w:rsidR="000728AD" w:rsidRDefault="000728AD">
            <w:pPr>
              <w:rPr>
                <w:sz w:val="24"/>
                <w:szCs w:val="24"/>
              </w:rPr>
            </w:pPr>
          </w:p>
        </w:tc>
        <w:tc>
          <w:tcPr>
            <w:tcW w:w="0" w:type="dxa"/>
            <w:vAlign w:val="bottom"/>
          </w:tcPr>
          <w:p w:rsidR="000728AD" w:rsidRDefault="000728AD">
            <w:pPr>
              <w:rPr>
                <w:sz w:val="1"/>
                <w:szCs w:val="1"/>
              </w:rPr>
            </w:pPr>
          </w:p>
        </w:tc>
      </w:tr>
      <w:tr w:rsidR="000728AD">
        <w:trPr>
          <w:trHeight w:val="115"/>
        </w:trPr>
        <w:tc>
          <w:tcPr>
            <w:tcW w:w="20" w:type="dxa"/>
            <w:tcBorders>
              <w:bottom w:val="single" w:sz="8" w:space="0" w:color="9A9A9A"/>
            </w:tcBorders>
            <w:vAlign w:val="bottom"/>
          </w:tcPr>
          <w:p w:rsidR="000728AD" w:rsidRDefault="000728AD">
            <w:pPr>
              <w:rPr>
                <w:sz w:val="10"/>
                <w:szCs w:val="10"/>
              </w:rPr>
            </w:pPr>
          </w:p>
        </w:tc>
        <w:tc>
          <w:tcPr>
            <w:tcW w:w="40" w:type="dxa"/>
            <w:tcBorders>
              <w:bottom w:val="single" w:sz="8" w:space="0" w:color="9A9A9A"/>
            </w:tcBorders>
            <w:vAlign w:val="bottom"/>
          </w:tcPr>
          <w:p w:rsidR="000728AD" w:rsidRDefault="000728AD">
            <w:pPr>
              <w:rPr>
                <w:sz w:val="10"/>
                <w:szCs w:val="10"/>
              </w:rPr>
            </w:pPr>
          </w:p>
        </w:tc>
        <w:tc>
          <w:tcPr>
            <w:tcW w:w="400" w:type="dxa"/>
            <w:tcBorders>
              <w:bottom w:val="single" w:sz="8" w:space="0" w:color="9A9A9A"/>
            </w:tcBorders>
            <w:vAlign w:val="bottom"/>
          </w:tcPr>
          <w:p w:rsidR="000728AD" w:rsidRDefault="000728AD">
            <w:pPr>
              <w:rPr>
                <w:sz w:val="10"/>
                <w:szCs w:val="10"/>
              </w:rPr>
            </w:pPr>
          </w:p>
        </w:tc>
        <w:tc>
          <w:tcPr>
            <w:tcW w:w="880" w:type="dxa"/>
            <w:tcBorders>
              <w:bottom w:val="single" w:sz="8" w:space="0" w:color="9A9A9A"/>
            </w:tcBorders>
            <w:vAlign w:val="bottom"/>
          </w:tcPr>
          <w:p w:rsidR="000728AD" w:rsidRDefault="000728AD">
            <w:pPr>
              <w:rPr>
                <w:sz w:val="10"/>
                <w:szCs w:val="10"/>
              </w:rPr>
            </w:pPr>
          </w:p>
        </w:tc>
        <w:tc>
          <w:tcPr>
            <w:tcW w:w="80" w:type="dxa"/>
            <w:tcBorders>
              <w:bottom w:val="single" w:sz="8" w:space="0" w:color="9A9A9A"/>
            </w:tcBorders>
            <w:vAlign w:val="bottom"/>
          </w:tcPr>
          <w:p w:rsidR="000728AD" w:rsidRDefault="000728AD">
            <w:pPr>
              <w:rPr>
                <w:sz w:val="10"/>
                <w:szCs w:val="10"/>
              </w:rPr>
            </w:pPr>
          </w:p>
        </w:tc>
        <w:tc>
          <w:tcPr>
            <w:tcW w:w="520" w:type="dxa"/>
            <w:tcBorders>
              <w:bottom w:val="single" w:sz="8" w:space="0" w:color="9A9A9A"/>
            </w:tcBorders>
            <w:vAlign w:val="bottom"/>
          </w:tcPr>
          <w:p w:rsidR="000728AD" w:rsidRDefault="000728AD">
            <w:pPr>
              <w:rPr>
                <w:sz w:val="10"/>
                <w:szCs w:val="10"/>
              </w:rPr>
            </w:pPr>
          </w:p>
        </w:tc>
        <w:tc>
          <w:tcPr>
            <w:tcW w:w="320" w:type="dxa"/>
            <w:tcBorders>
              <w:bottom w:val="single" w:sz="8" w:space="0" w:color="9A9A9A"/>
            </w:tcBorders>
            <w:vAlign w:val="bottom"/>
          </w:tcPr>
          <w:p w:rsidR="000728AD" w:rsidRDefault="000728AD">
            <w:pPr>
              <w:rPr>
                <w:sz w:val="10"/>
                <w:szCs w:val="10"/>
              </w:rPr>
            </w:pPr>
          </w:p>
        </w:tc>
        <w:tc>
          <w:tcPr>
            <w:tcW w:w="40" w:type="dxa"/>
            <w:tcBorders>
              <w:bottom w:val="single" w:sz="8" w:space="0" w:color="9A9A9A"/>
            </w:tcBorders>
            <w:vAlign w:val="bottom"/>
          </w:tcPr>
          <w:p w:rsidR="000728AD" w:rsidRDefault="000728AD">
            <w:pPr>
              <w:rPr>
                <w:sz w:val="10"/>
                <w:szCs w:val="10"/>
              </w:rPr>
            </w:pPr>
          </w:p>
        </w:tc>
        <w:tc>
          <w:tcPr>
            <w:tcW w:w="520" w:type="dxa"/>
            <w:tcBorders>
              <w:bottom w:val="single" w:sz="8" w:space="0" w:color="9A9A9A"/>
            </w:tcBorders>
            <w:vAlign w:val="bottom"/>
          </w:tcPr>
          <w:p w:rsidR="000728AD" w:rsidRDefault="000728AD">
            <w:pPr>
              <w:rPr>
                <w:sz w:val="10"/>
                <w:szCs w:val="10"/>
              </w:rPr>
            </w:pPr>
          </w:p>
        </w:tc>
        <w:tc>
          <w:tcPr>
            <w:tcW w:w="660" w:type="dxa"/>
            <w:tcBorders>
              <w:bottom w:val="single" w:sz="8" w:space="0" w:color="9A9A9A"/>
            </w:tcBorders>
            <w:vAlign w:val="bottom"/>
          </w:tcPr>
          <w:p w:rsidR="000728AD" w:rsidRDefault="000728AD">
            <w:pPr>
              <w:rPr>
                <w:sz w:val="10"/>
                <w:szCs w:val="10"/>
              </w:rPr>
            </w:pPr>
          </w:p>
        </w:tc>
        <w:tc>
          <w:tcPr>
            <w:tcW w:w="380" w:type="dxa"/>
            <w:tcBorders>
              <w:bottom w:val="single" w:sz="8" w:space="0" w:color="9A9A9A"/>
            </w:tcBorders>
            <w:vAlign w:val="bottom"/>
          </w:tcPr>
          <w:p w:rsidR="000728AD" w:rsidRDefault="000728AD">
            <w:pPr>
              <w:rPr>
                <w:sz w:val="10"/>
                <w:szCs w:val="10"/>
              </w:rPr>
            </w:pPr>
          </w:p>
        </w:tc>
        <w:tc>
          <w:tcPr>
            <w:tcW w:w="120" w:type="dxa"/>
            <w:tcBorders>
              <w:bottom w:val="single" w:sz="8" w:space="0" w:color="9A9A9A"/>
            </w:tcBorders>
            <w:vAlign w:val="bottom"/>
          </w:tcPr>
          <w:p w:rsidR="000728AD" w:rsidRDefault="000728AD">
            <w:pPr>
              <w:rPr>
                <w:sz w:val="10"/>
                <w:szCs w:val="10"/>
              </w:rPr>
            </w:pPr>
          </w:p>
        </w:tc>
        <w:tc>
          <w:tcPr>
            <w:tcW w:w="100" w:type="dxa"/>
            <w:tcBorders>
              <w:bottom w:val="single" w:sz="8" w:space="0" w:color="9A9A9A"/>
            </w:tcBorders>
            <w:vAlign w:val="bottom"/>
          </w:tcPr>
          <w:p w:rsidR="000728AD" w:rsidRDefault="000728AD">
            <w:pPr>
              <w:rPr>
                <w:sz w:val="10"/>
                <w:szCs w:val="10"/>
              </w:rPr>
            </w:pPr>
          </w:p>
        </w:tc>
        <w:tc>
          <w:tcPr>
            <w:tcW w:w="840" w:type="dxa"/>
            <w:tcBorders>
              <w:bottom w:val="single" w:sz="8" w:space="0" w:color="9A9A9A"/>
            </w:tcBorders>
            <w:vAlign w:val="bottom"/>
          </w:tcPr>
          <w:p w:rsidR="000728AD" w:rsidRDefault="000728AD">
            <w:pPr>
              <w:rPr>
                <w:sz w:val="10"/>
                <w:szCs w:val="10"/>
              </w:rPr>
            </w:pPr>
          </w:p>
        </w:tc>
        <w:tc>
          <w:tcPr>
            <w:tcW w:w="920" w:type="dxa"/>
            <w:tcBorders>
              <w:bottom w:val="single" w:sz="8" w:space="0" w:color="9A9A9A"/>
            </w:tcBorders>
            <w:vAlign w:val="bottom"/>
          </w:tcPr>
          <w:p w:rsidR="000728AD" w:rsidRDefault="000728AD">
            <w:pPr>
              <w:rPr>
                <w:sz w:val="10"/>
                <w:szCs w:val="10"/>
              </w:rPr>
            </w:pPr>
          </w:p>
        </w:tc>
        <w:tc>
          <w:tcPr>
            <w:tcW w:w="80" w:type="dxa"/>
            <w:tcBorders>
              <w:bottom w:val="single" w:sz="8" w:space="0" w:color="9A9A9A"/>
            </w:tcBorders>
            <w:vAlign w:val="bottom"/>
          </w:tcPr>
          <w:p w:rsidR="000728AD" w:rsidRDefault="000728AD">
            <w:pPr>
              <w:rPr>
                <w:sz w:val="10"/>
                <w:szCs w:val="10"/>
              </w:rPr>
            </w:pPr>
          </w:p>
        </w:tc>
        <w:tc>
          <w:tcPr>
            <w:tcW w:w="280" w:type="dxa"/>
            <w:tcBorders>
              <w:bottom w:val="single" w:sz="8" w:space="0" w:color="9A9A9A"/>
            </w:tcBorders>
            <w:vAlign w:val="bottom"/>
          </w:tcPr>
          <w:p w:rsidR="000728AD" w:rsidRDefault="000728AD">
            <w:pPr>
              <w:rPr>
                <w:sz w:val="10"/>
                <w:szCs w:val="10"/>
              </w:rPr>
            </w:pPr>
          </w:p>
        </w:tc>
        <w:tc>
          <w:tcPr>
            <w:tcW w:w="320" w:type="dxa"/>
            <w:tcBorders>
              <w:bottom w:val="single" w:sz="8" w:space="0" w:color="9A9A9A"/>
            </w:tcBorders>
            <w:vAlign w:val="bottom"/>
          </w:tcPr>
          <w:p w:rsidR="000728AD" w:rsidRDefault="000728AD">
            <w:pPr>
              <w:rPr>
                <w:sz w:val="10"/>
                <w:szCs w:val="10"/>
              </w:rPr>
            </w:pPr>
          </w:p>
        </w:tc>
        <w:tc>
          <w:tcPr>
            <w:tcW w:w="560" w:type="dxa"/>
            <w:tcBorders>
              <w:bottom w:val="single" w:sz="8" w:space="0" w:color="9A9A9A"/>
            </w:tcBorders>
            <w:vAlign w:val="bottom"/>
          </w:tcPr>
          <w:p w:rsidR="000728AD" w:rsidRDefault="000728AD">
            <w:pPr>
              <w:rPr>
                <w:sz w:val="10"/>
                <w:szCs w:val="10"/>
              </w:rPr>
            </w:pPr>
          </w:p>
        </w:tc>
        <w:tc>
          <w:tcPr>
            <w:tcW w:w="80" w:type="dxa"/>
            <w:tcBorders>
              <w:bottom w:val="single" w:sz="8" w:space="0" w:color="9A9A9A"/>
            </w:tcBorders>
            <w:vAlign w:val="bottom"/>
          </w:tcPr>
          <w:p w:rsidR="000728AD" w:rsidRDefault="000728AD">
            <w:pPr>
              <w:rPr>
                <w:sz w:val="10"/>
                <w:szCs w:val="10"/>
              </w:rPr>
            </w:pPr>
          </w:p>
        </w:tc>
        <w:tc>
          <w:tcPr>
            <w:tcW w:w="220" w:type="dxa"/>
            <w:tcBorders>
              <w:bottom w:val="single" w:sz="8" w:space="0" w:color="9A9A9A"/>
            </w:tcBorders>
            <w:vAlign w:val="bottom"/>
          </w:tcPr>
          <w:p w:rsidR="000728AD" w:rsidRDefault="000728AD">
            <w:pPr>
              <w:rPr>
                <w:sz w:val="10"/>
                <w:szCs w:val="10"/>
              </w:rPr>
            </w:pPr>
          </w:p>
        </w:tc>
        <w:tc>
          <w:tcPr>
            <w:tcW w:w="1040" w:type="dxa"/>
            <w:tcBorders>
              <w:bottom w:val="single" w:sz="8" w:space="0" w:color="9A9A9A"/>
            </w:tcBorders>
            <w:vAlign w:val="bottom"/>
          </w:tcPr>
          <w:p w:rsidR="000728AD" w:rsidRDefault="000728AD">
            <w:pPr>
              <w:rPr>
                <w:sz w:val="10"/>
                <w:szCs w:val="10"/>
              </w:rPr>
            </w:pPr>
          </w:p>
        </w:tc>
        <w:tc>
          <w:tcPr>
            <w:tcW w:w="1760" w:type="dxa"/>
            <w:tcBorders>
              <w:bottom w:val="single" w:sz="8" w:space="0" w:color="9A9A9A"/>
            </w:tcBorders>
            <w:vAlign w:val="bottom"/>
          </w:tcPr>
          <w:p w:rsidR="000728AD" w:rsidRDefault="000728AD">
            <w:pPr>
              <w:rPr>
                <w:sz w:val="10"/>
                <w:szCs w:val="10"/>
              </w:rPr>
            </w:pPr>
          </w:p>
        </w:tc>
        <w:tc>
          <w:tcPr>
            <w:tcW w:w="380" w:type="dxa"/>
            <w:tcBorders>
              <w:bottom w:val="single" w:sz="8" w:space="0" w:color="9A9A9A"/>
            </w:tcBorders>
            <w:vAlign w:val="bottom"/>
          </w:tcPr>
          <w:p w:rsidR="000728AD" w:rsidRDefault="000728AD">
            <w:pPr>
              <w:rPr>
                <w:sz w:val="10"/>
                <w:szCs w:val="10"/>
              </w:rPr>
            </w:pPr>
          </w:p>
        </w:tc>
        <w:tc>
          <w:tcPr>
            <w:tcW w:w="40" w:type="dxa"/>
            <w:tcBorders>
              <w:bottom w:val="single" w:sz="8" w:space="0" w:color="9A9A9A"/>
            </w:tcBorders>
            <w:vAlign w:val="bottom"/>
          </w:tcPr>
          <w:p w:rsidR="000728AD" w:rsidRDefault="000728AD">
            <w:pPr>
              <w:rPr>
                <w:sz w:val="10"/>
                <w:szCs w:val="10"/>
              </w:rPr>
            </w:pPr>
          </w:p>
        </w:tc>
        <w:tc>
          <w:tcPr>
            <w:tcW w:w="60" w:type="dxa"/>
            <w:tcBorders>
              <w:bottom w:val="single" w:sz="8" w:space="0" w:color="9A9A9A"/>
            </w:tcBorders>
            <w:vAlign w:val="bottom"/>
          </w:tcPr>
          <w:p w:rsidR="000728AD" w:rsidRDefault="000728AD">
            <w:pPr>
              <w:rPr>
                <w:sz w:val="10"/>
                <w:szCs w:val="10"/>
              </w:rPr>
            </w:pPr>
          </w:p>
        </w:tc>
        <w:tc>
          <w:tcPr>
            <w:tcW w:w="100" w:type="dxa"/>
            <w:tcBorders>
              <w:bottom w:val="single" w:sz="8" w:space="0" w:color="9A9A9A"/>
            </w:tcBorders>
            <w:vAlign w:val="bottom"/>
          </w:tcPr>
          <w:p w:rsidR="000728AD" w:rsidRDefault="000728AD">
            <w:pPr>
              <w:rPr>
                <w:sz w:val="10"/>
                <w:szCs w:val="10"/>
              </w:rPr>
            </w:pPr>
          </w:p>
        </w:tc>
        <w:tc>
          <w:tcPr>
            <w:tcW w:w="60" w:type="dxa"/>
            <w:tcBorders>
              <w:bottom w:val="single" w:sz="8" w:space="0" w:color="9A9A9A"/>
            </w:tcBorders>
            <w:vAlign w:val="bottom"/>
          </w:tcPr>
          <w:p w:rsidR="000728AD" w:rsidRDefault="000728AD">
            <w:pPr>
              <w:rPr>
                <w:sz w:val="10"/>
                <w:szCs w:val="10"/>
              </w:rPr>
            </w:pPr>
          </w:p>
        </w:tc>
        <w:tc>
          <w:tcPr>
            <w:tcW w:w="60" w:type="dxa"/>
            <w:tcBorders>
              <w:bottom w:val="single" w:sz="8" w:space="0" w:color="9A9A9A"/>
            </w:tcBorders>
            <w:vAlign w:val="bottom"/>
          </w:tcPr>
          <w:p w:rsidR="000728AD" w:rsidRDefault="000728AD">
            <w:pPr>
              <w:rPr>
                <w:sz w:val="10"/>
                <w:szCs w:val="10"/>
              </w:rPr>
            </w:pPr>
          </w:p>
        </w:tc>
        <w:tc>
          <w:tcPr>
            <w:tcW w:w="360" w:type="dxa"/>
            <w:tcBorders>
              <w:bottom w:val="single" w:sz="8" w:space="0" w:color="9A9A9A"/>
            </w:tcBorders>
            <w:vAlign w:val="bottom"/>
          </w:tcPr>
          <w:p w:rsidR="000728AD" w:rsidRDefault="000728AD">
            <w:pPr>
              <w:rPr>
                <w:sz w:val="10"/>
                <w:szCs w:val="10"/>
              </w:rPr>
            </w:pPr>
          </w:p>
        </w:tc>
        <w:tc>
          <w:tcPr>
            <w:tcW w:w="0" w:type="dxa"/>
            <w:vAlign w:val="bottom"/>
          </w:tcPr>
          <w:p w:rsidR="000728AD" w:rsidRDefault="000728AD">
            <w:pPr>
              <w:rPr>
                <w:sz w:val="1"/>
                <w:szCs w:val="1"/>
              </w:rPr>
            </w:pPr>
          </w:p>
        </w:tc>
      </w:tr>
    </w:tbl>
    <w:p w:rsidR="000728AD" w:rsidRDefault="000561BE">
      <w:pPr>
        <w:spacing w:line="20" w:lineRule="exact"/>
        <w:rPr>
          <w:sz w:val="20"/>
          <w:szCs w:val="20"/>
        </w:rPr>
      </w:pPr>
      <w:r>
        <w:rPr>
          <w:noProof/>
          <w:sz w:val="20"/>
          <w:szCs w:val="20"/>
        </w:rPr>
        <w:drawing>
          <wp:anchor distT="0" distB="0" distL="114300" distR="114300" simplePos="0" relativeHeight="251604992" behindDoc="1" locked="0" layoutInCell="0" allowOverlap="1">
            <wp:simplePos x="0" y="0"/>
            <wp:positionH relativeFrom="column">
              <wp:posOffset>7115810</wp:posOffset>
            </wp:positionH>
            <wp:positionV relativeFrom="paragraph">
              <wp:posOffset>-29210</wp:posOffset>
            </wp:positionV>
            <wp:extent cx="33655" cy="425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33655" cy="42545"/>
                    </a:xfrm>
                    <a:prstGeom prst="rect">
                      <a:avLst/>
                    </a:prstGeom>
                    <a:noFill/>
                  </pic:spPr>
                </pic:pic>
              </a:graphicData>
            </a:graphic>
          </wp:anchor>
        </w:drawing>
      </w:r>
      <w:r>
        <w:rPr>
          <w:noProof/>
          <w:sz w:val="20"/>
          <w:szCs w:val="20"/>
        </w:rPr>
        <w:drawing>
          <wp:anchor distT="0" distB="0" distL="114300" distR="114300" simplePos="0" relativeHeight="251606016" behindDoc="1" locked="0" layoutInCell="0" allowOverlap="1">
            <wp:simplePos x="0" y="0"/>
            <wp:positionH relativeFrom="column">
              <wp:posOffset>-6985</wp:posOffset>
            </wp:positionH>
            <wp:positionV relativeFrom="paragraph">
              <wp:posOffset>-29210</wp:posOffset>
            </wp:positionV>
            <wp:extent cx="34290" cy="425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429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5" w:name="page5"/>
    <w:bookmarkEnd w:id="5"/>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395" w:lineRule="exact"/>
        <w:rPr>
          <w:sz w:val="20"/>
          <w:szCs w:val="20"/>
        </w:rPr>
      </w:pPr>
    </w:p>
    <w:p w:rsidR="000728AD" w:rsidRDefault="000561BE">
      <w:pPr>
        <w:ind w:left="3900"/>
        <w:rPr>
          <w:sz w:val="20"/>
          <w:szCs w:val="20"/>
        </w:rPr>
      </w:pPr>
      <w:r>
        <w:rPr>
          <w:rFonts w:ascii="Arial" w:eastAsia="Arial" w:hAnsi="Arial" w:cs="Arial"/>
          <w:b/>
          <w:bCs/>
          <w:sz w:val="20"/>
          <w:szCs w:val="20"/>
        </w:rPr>
        <w:t>PART I - FINANCIAL INFORMATION</w:t>
      </w:r>
    </w:p>
    <w:p w:rsidR="000728AD" w:rsidRDefault="000728AD">
      <w:pPr>
        <w:spacing w:line="216" w:lineRule="exact"/>
        <w:rPr>
          <w:sz w:val="20"/>
          <w:szCs w:val="20"/>
        </w:rPr>
      </w:pPr>
    </w:p>
    <w:p w:rsidR="000728AD" w:rsidRDefault="000561BE">
      <w:pPr>
        <w:rPr>
          <w:sz w:val="20"/>
          <w:szCs w:val="20"/>
        </w:rPr>
      </w:pPr>
      <w:r>
        <w:rPr>
          <w:rFonts w:ascii="Arial" w:eastAsia="Arial" w:hAnsi="Arial" w:cs="Arial"/>
          <w:b/>
          <w:bCs/>
          <w:sz w:val="20"/>
          <w:szCs w:val="20"/>
        </w:rPr>
        <w:t xml:space="preserve">Item I. Condensed </w:t>
      </w:r>
      <w:r>
        <w:rPr>
          <w:rFonts w:ascii="Arial" w:eastAsia="Arial" w:hAnsi="Arial" w:cs="Arial"/>
          <w:b/>
          <w:bCs/>
          <w:sz w:val="20"/>
          <w:szCs w:val="20"/>
        </w:rPr>
        <w:t>Consolidated Financial Statements (Unaudited)</w:t>
      </w:r>
    </w:p>
    <w:p w:rsidR="000728AD" w:rsidRDefault="000728AD">
      <w:pPr>
        <w:spacing w:line="200" w:lineRule="exact"/>
        <w:rPr>
          <w:sz w:val="20"/>
          <w:szCs w:val="20"/>
        </w:rPr>
      </w:pPr>
    </w:p>
    <w:p w:rsidR="000728AD" w:rsidRDefault="000728AD">
      <w:pPr>
        <w:spacing w:line="259" w:lineRule="exact"/>
        <w:rPr>
          <w:sz w:val="20"/>
          <w:szCs w:val="20"/>
        </w:rPr>
      </w:pPr>
    </w:p>
    <w:p w:rsidR="000728AD" w:rsidRDefault="000561BE">
      <w:pPr>
        <w:jc w:val="center"/>
        <w:rPr>
          <w:sz w:val="20"/>
          <w:szCs w:val="20"/>
        </w:rPr>
      </w:pPr>
      <w:r>
        <w:rPr>
          <w:rFonts w:ascii="Arial" w:eastAsia="Arial" w:hAnsi="Arial" w:cs="Arial"/>
          <w:b/>
          <w:bCs/>
          <w:sz w:val="20"/>
          <w:szCs w:val="20"/>
        </w:rPr>
        <w:t>AXCELLA HEALTH INC.</w:t>
      </w:r>
    </w:p>
    <w:p w:rsidR="000728AD" w:rsidRDefault="000728AD">
      <w:pPr>
        <w:spacing w:line="21" w:lineRule="exact"/>
        <w:rPr>
          <w:sz w:val="20"/>
          <w:szCs w:val="20"/>
        </w:rPr>
      </w:pPr>
    </w:p>
    <w:p w:rsidR="000728AD" w:rsidRDefault="000561BE">
      <w:pPr>
        <w:jc w:val="center"/>
        <w:rPr>
          <w:sz w:val="20"/>
          <w:szCs w:val="20"/>
        </w:rPr>
      </w:pPr>
      <w:r>
        <w:rPr>
          <w:rFonts w:ascii="Arial" w:eastAsia="Arial" w:hAnsi="Arial" w:cs="Arial"/>
          <w:b/>
          <w:bCs/>
          <w:sz w:val="20"/>
          <w:szCs w:val="20"/>
        </w:rPr>
        <w:t>Condensed Consolidated Balance Sheets (Unaudited)</w:t>
      </w:r>
    </w:p>
    <w:p w:rsidR="000728AD" w:rsidRDefault="000561BE">
      <w:pPr>
        <w:jc w:val="center"/>
        <w:rPr>
          <w:sz w:val="20"/>
          <w:szCs w:val="20"/>
        </w:rPr>
      </w:pPr>
      <w:r>
        <w:rPr>
          <w:rFonts w:ascii="Arial" w:eastAsia="Arial" w:hAnsi="Arial" w:cs="Arial"/>
          <w:b/>
          <w:bCs/>
          <w:sz w:val="20"/>
          <w:szCs w:val="20"/>
        </w:rPr>
        <w:t>(in thousands, except share data)</w:t>
      </w:r>
    </w:p>
    <w:p w:rsidR="000728AD" w:rsidRDefault="000728AD">
      <w:pPr>
        <w:spacing w:line="20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80"/>
        <w:gridCol w:w="280"/>
        <w:gridCol w:w="1240"/>
        <w:gridCol w:w="120"/>
        <w:gridCol w:w="200"/>
        <w:gridCol w:w="1320"/>
        <w:gridCol w:w="20"/>
      </w:tblGrid>
      <w:tr w:rsidR="000728AD">
        <w:trPr>
          <w:trHeight w:val="252"/>
        </w:trPr>
        <w:tc>
          <w:tcPr>
            <w:tcW w:w="8080" w:type="dxa"/>
            <w:vAlign w:val="bottom"/>
          </w:tcPr>
          <w:p w:rsidR="000728AD" w:rsidRDefault="000728AD">
            <w:pPr>
              <w:rPr>
                <w:sz w:val="21"/>
                <w:szCs w:val="21"/>
              </w:rPr>
            </w:pPr>
          </w:p>
        </w:tc>
        <w:tc>
          <w:tcPr>
            <w:tcW w:w="280" w:type="dxa"/>
            <w:tcBorders>
              <w:bottom w:val="single" w:sz="8" w:space="0" w:color="auto"/>
            </w:tcBorders>
            <w:vAlign w:val="bottom"/>
          </w:tcPr>
          <w:p w:rsidR="000728AD" w:rsidRDefault="000728AD">
            <w:pPr>
              <w:rPr>
                <w:sz w:val="21"/>
                <w:szCs w:val="21"/>
              </w:rPr>
            </w:pPr>
          </w:p>
        </w:tc>
        <w:tc>
          <w:tcPr>
            <w:tcW w:w="1560" w:type="dxa"/>
            <w:gridSpan w:val="3"/>
            <w:tcBorders>
              <w:bottom w:val="single" w:sz="8" w:space="0" w:color="auto"/>
            </w:tcBorders>
            <w:vAlign w:val="bottom"/>
          </w:tcPr>
          <w:p w:rsidR="000728AD" w:rsidRDefault="000561BE">
            <w:pPr>
              <w:jc w:val="right"/>
              <w:rPr>
                <w:sz w:val="20"/>
                <w:szCs w:val="20"/>
              </w:rPr>
            </w:pPr>
            <w:r>
              <w:rPr>
                <w:rFonts w:ascii="Arial" w:eastAsia="Arial" w:hAnsi="Arial" w:cs="Arial"/>
                <w:b/>
                <w:bCs/>
                <w:sz w:val="20"/>
                <w:szCs w:val="20"/>
              </w:rPr>
              <w:t>As of</w:t>
            </w:r>
          </w:p>
        </w:tc>
        <w:tc>
          <w:tcPr>
            <w:tcW w:w="1320" w:type="dxa"/>
            <w:tcBorders>
              <w:bottom w:val="single" w:sz="8" w:space="0" w:color="auto"/>
            </w:tcBorders>
            <w:vAlign w:val="bottom"/>
          </w:tcPr>
          <w:p w:rsidR="000728AD" w:rsidRDefault="000728AD">
            <w:pPr>
              <w:rPr>
                <w:sz w:val="21"/>
                <w:szCs w:val="21"/>
              </w:rPr>
            </w:pPr>
          </w:p>
        </w:tc>
        <w:tc>
          <w:tcPr>
            <w:tcW w:w="0" w:type="dxa"/>
            <w:vAlign w:val="bottom"/>
          </w:tcPr>
          <w:p w:rsidR="000728AD" w:rsidRDefault="000728AD">
            <w:pPr>
              <w:rPr>
                <w:sz w:val="1"/>
                <w:szCs w:val="1"/>
              </w:rPr>
            </w:pPr>
          </w:p>
        </w:tc>
      </w:tr>
      <w:tr w:rsidR="000728AD">
        <w:trPr>
          <w:trHeight w:val="183"/>
        </w:trPr>
        <w:tc>
          <w:tcPr>
            <w:tcW w:w="8080" w:type="dxa"/>
            <w:vAlign w:val="bottom"/>
          </w:tcPr>
          <w:p w:rsidR="000728AD" w:rsidRDefault="000728AD">
            <w:pPr>
              <w:rPr>
                <w:sz w:val="15"/>
                <w:szCs w:val="15"/>
              </w:rPr>
            </w:pPr>
          </w:p>
        </w:tc>
        <w:tc>
          <w:tcPr>
            <w:tcW w:w="280" w:type="dxa"/>
            <w:vAlign w:val="bottom"/>
          </w:tcPr>
          <w:p w:rsidR="000728AD" w:rsidRDefault="000728AD">
            <w:pPr>
              <w:rPr>
                <w:sz w:val="15"/>
                <w:szCs w:val="15"/>
              </w:rPr>
            </w:pPr>
          </w:p>
        </w:tc>
        <w:tc>
          <w:tcPr>
            <w:tcW w:w="1360" w:type="dxa"/>
            <w:gridSpan w:val="2"/>
            <w:vAlign w:val="bottom"/>
          </w:tcPr>
          <w:p w:rsidR="000728AD" w:rsidRDefault="000561BE">
            <w:pPr>
              <w:spacing w:line="182" w:lineRule="exact"/>
              <w:ind w:left="160"/>
              <w:rPr>
                <w:sz w:val="20"/>
                <w:szCs w:val="20"/>
              </w:rPr>
            </w:pPr>
            <w:r>
              <w:rPr>
                <w:rFonts w:ascii="Arial" w:eastAsia="Arial" w:hAnsi="Arial" w:cs="Arial"/>
                <w:b/>
                <w:bCs/>
                <w:sz w:val="18"/>
                <w:szCs w:val="18"/>
              </w:rPr>
              <w:t>June 30,</w:t>
            </w:r>
          </w:p>
        </w:tc>
        <w:tc>
          <w:tcPr>
            <w:tcW w:w="200" w:type="dxa"/>
            <w:vAlign w:val="bottom"/>
          </w:tcPr>
          <w:p w:rsidR="000728AD" w:rsidRDefault="000728AD">
            <w:pPr>
              <w:rPr>
                <w:sz w:val="15"/>
                <w:szCs w:val="15"/>
              </w:rPr>
            </w:pPr>
          </w:p>
        </w:tc>
        <w:tc>
          <w:tcPr>
            <w:tcW w:w="1320" w:type="dxa"/>
            <w:vAlign w:val="bottom"/>
          </w:tcPr>
          <w:p w:rsidR="000728AD" w:rsidRDefault="000561BE">
            <w:pPr>
              <w:spacing w:line="182" w:lineRule="exact"/>
              <w:ind w:right="142"/>
              <w:jc w:val="right"/>
              <w:rPr>
                <w:sz w:val="20"/>
                <w:szCs w:val="20"/>
              </w:rPr>
            </w:pPr>
            <w:r>
              <w:rPr>
                <w:rFonts w:ascii="Arial" w:eastAsia="Arial" w:hAnsi="Arial" w:cs="Arial"/>
                <w:b/>
                <w:bCs/>
                <w:w w:val="90"/>
                <w:sz w:val="18"/>
                <w:szCs w:val="18"/>
              </w:rPr>
              <w:t>December 31,</w:t>
            </w:r>
          </w:p>
        </w:tc>
        <w:tc>
          <w:tcPr>
            <w:tcW w:w="0" w:type="dxa"/>
            <w:vAlign w:val="bottom"/>
          </w:tcPr>
          <w:p w:rsidR="000728AD" w:rsidRDefault="000728AD">
            <w:pPr>
              <w:rPr>
                <w:sz w:val="1"/>
                <w:szCs w:val="1"/>
              </w:rPr>
            </w:pPr>
          </w:p>
        </w:tc>
      </w:tr>
      <w:tr w:rsidR="000728AD">
        <w:trPr>
          <w:trHeight w:val="229"/>
        </w:trPr>
        <w:tc>
          <w:tcPr>
            <w:tcW w:w="8080" w:type="dxa"/>
            <w:tcBorders>
              <w:bottom w:val="single" w:sz="8" w:space="0" w:color="CCEEFF"/>
            </w:tcBorders>
            <w:vAlign w:val="bottom"/>
          </w:tcPr>
          <w:p w:rsidR="000728AD" w:rsidRDefault="000728AD">
            <w:pPr>
              <w:rPr>
                <w:sz w:val="19"/>
                <w:szCs w:val="19"/>
              </w:rPr>
            </w:pPr>
          </w:p>
        </w:tc>
        <w:tc>
          <w:tcPr>
            <w:tcW w:w="280" w:type="dxa"/>
            <w:tcBorders>
              <w:bottom w:val="single" w:sz="8" w:space="0" w:color="auto"/>
            </w:tcBorders>
            <w:vAlign w:val="bottom"/>
          </w:tcPr>
          <w:p w:rsidR="000728AD" w:rsidRDefault="000728AD">
            <w:pPr>
              <w:rPr>
                <w:sz w:val="19"/>
                <w:szCs w:val="19"/>
              </w:rPr>
            </w:pPr>
          </w:p>
        </w:tc>
        <w:tc>
          <w:tcPr>
            <w:tcW w:w="1240" w:type="dxa"/>
            <w:tcBorders>
              <w:bottom w:val="single" w:sz="8" w:space="0" w:color="auto"/>
            </w:tcBorders>
            <w:vAlign w:val="bottom"/>
          </w:tcPr>
          <w:p w:rsidR="000728AD" w:rsidRDefault="000561BE">
            <w:pPr>
              <w:ind w:right="482"/>
              <w:jc w:val="right"/>
              <w:rPr>
                <w:sz w:val="20"/>
                <w:szCs w:val="20"/>
              </w:rPr>
            </w:pPr>
            <w:r>
              <w:rPr>
                <w:rFonts w:ascii="Arial" w:eastAsia="Arial" w:hAnsi="Arial" w:cs="Arial"/>
                <w:b/>
                <w:bCs/>
                <w:sz w:val="18"/>
                <w:szCs w:val="18"/>
              </w:rPr>
              <w:t>2021</w:t>
            </w:r>
          </w:p>
        </w:tc>
        <w:tc>
          <w:tcPr>
            <w:tcW w:w="120" w:type="dxa"/>
            <w:tcBorders>
              <w:bottom w:val="single" w:sz="8" w:space="0" w:color="CCEEFF"/>
            </w:tcBorders>
            <w:vAlign w:val="bottom"/>
          </w:tcPr>
          <w:p w:rsidR="000728AD" w:rsidRDefault="000728AD">
            <w:pPr>
              <w:rPr>
                <w:sz w:val="19"/>
                <w:szCs w:val="19"/>
              </w:rPr>
            </w:pPr>
          </w:p>
        </w:tc>
        <w:tc>
          <w:tcPr>
            <w:tcW w:w="200" w:type="dxa"/>
            <w:tcBorders>
              <w:bottom w:val="single" w:sz="8" w:space="0" w:color="auto"/>
            </w:tcBorders>
            <w:vAlign w:val="bottom"/>
          </w:tcPr>
          <w:p w:rsidR="000728AD" w:rsidRDefault="000728AD">
            <w:pPr>
              <w:rPr>
                <w:sz w:val="19"/>
                <w:szCs w:val="19"/>
              </w:rPr>
            </w:pPr>
          </w:p>
        </w:tc>
        <w:tc>
          <w:tcPr>
            <w:tcW w:w="1320" w:type="dxa"/>
            <w:tcBorders>
              <w:bottom w:val="single" w:sz="8" w:space="0" w:color="auto"/>
            </w:tcBorders>
            <w:vAlign w:val="bottom"/>
          </w:tcPr>
          <w:p w:rsidR="000728AD" w:rsidRDefault="000561BE">
            <w:pPr>
              <w:ind w:right="482"/>
              <w:jc w:val="right"/>
              <w:rPr>
                <w:sz w:val="20"/>
                <w:szCs w:val="20"/>
              </w:rPr>
            </w:pPr>
            <w:r>
              <w:rPr>
                <w:rFonts w:ascii="Arial" w:eastAsia="Arial" w:hAnsi="Arial" w:cs="Arial"/>
                <w:b/>
                <w:bCs/>
                <w:sz w:val="18"/>
                <w:szCs w:val="18"/>
              </w:rPr>
              <w:t>2020</w:t>
            </w:r>
          </w:p>
        </w:tc>
        <w:tc>
          <w:tcPr>
            <w:tcW w:w="0" w:type="dxa"/>
            <w:vAlign w:val="bottom"/>
          </w:tcPr>
          <w:p w:rsidR="000728AD" w:rsidRDefault="000728AD">
            <w:pPr>
              <w:rPr>
                <w:sz w:val="1"/>
                <w:szCs w:val="1"/>
              </w:rPr>
            </w:pPr>
          </w:p>
        </w:tc>
      </w:tr>
      <w:tr w:rsidR="000728AD">
        <w:trPr>
          <w:trHeight w:val="223"/>
        </w:trPr>
        <w:tc>
          <w:tcPr>
            <w:tcW w:w="8080" w:type="dxa"/>
            <w:shd w:val="clear" w:color="auto" w:fill="CCEEFF"/>
            <w:vAlign w:val="bottom"/>
          </w:tcPr>
          <w:p w:rsidR="000728AD" w:rsidRDefault="000561BE">
            <w:pPr>
              <w:spacing w:line="223" w:lineRule="exact"/>
              <w:ind w:left="20"/>
              <w:rPr>
                <w:sz w:val="20"/>
                <w:szCs w:val="20"/>
              </w:rPr>
            </w:pPr>
            <w:r>
              <w:rPr>
                <w:rFonts w:ascii="Arial" w:eastAsia="Arial" w:hAnsi="Arial" w:cs="Arial"/>
                <w:b/>
                <w:bCs/>
                <w:sz w:val="20"/>
                <w:szCs w:val="20"/>
              </w:rPr>
              <w:t>Assets</w:t>
            </w:r>
          </w:p>
        </w:tc>
        <w:tc>
          <w:tcPr>
            <w:tcW w:w="280" w:type="dxa"/>
            <w:shd w:val="clear" w:color="auto" w:fill="CCEEFF"/>
            <w:vAlign w:val="bottom"/>
          </w:tcPr>
          <w:p w:rsidR="000728AD" w:rsidRDefault="000728AD">
            <w:pPr>
              <w:rPr>
                <w:sz w:val="19"/>
                <w:szCs w:val="19"/>
              </w:rPr>
            </w:pPr>
          </w:p>
        </w:tc>
        <w:tc>
          <w:tcPr>
            <w:tcW w:w="1240" w:type="dxa"/>
            <w:shd w:val="clear" w:color="auto" w:fill="CCEEFF"/>
            <w:vAlign w:val="bottom"/>
          </w:tcPr>
          <w:p w:rsidR="000728AD" w:rsidRDefault="000728AD">
            <w:pPr>
              <w:rPr>
                <w:sz w:val="19"/>
                <w:szCs w:val="19"/>
              </w:rPr>
            </w:pPr>
          </w:p>
        </w:tc>
        <w:tc>
          <w:tcPr>
            <w:tcW w:w="120" w:type="dxa"/>
            <w:shd w:val="clear" w:color="auto" w:fill="CCEEFF"/>
            <w:vAlign w:val="bottom"/>
          </w:tcPr>
          <w:p w:rsidR="000728AD" w:rsidRDefault="000728AD">
            <w:pPr>
              <w:rPr>
                <w:sz w:val="19"/>
                <w:szCs w:val="19"/>
              </w:rPr>
            </w:pPr>
          </w:p>
        </w:tc>
        <w:tc>
          <w:tcPr>
            <w:tcW w:w="200" w:type="dxa"/>
            <w:shd w:val="clear" w:color="auto" w:fill="CCEEFF"/>
            <w:vAlign w:val="bottom"/>
          </w:tcPr>
          <w:p w:rsidR="000728AD" w:rsidRDefault="000728AD">
            <w:pPr>
              <w:rPr>
                <w:sz w:val="19"/>
                <w:szCs w:val="19"/>
              </w:rPr>
            </w:pPr>
          </w:p>
        </w:tc>
        <w:tc>
          <w:tcPr>
            <w:tcW w:w="1320" w:type="dxa"/>
            <w:shd w:val="clear" w:color="auto" w:fill="CCEEFF"/>
            <w:vAlign w:val="bottom"/>
          </w:tcPr>
          <w:p w:rsidR="000728AD" w:rsidRDefault="000728AD">
            <w:pPr>
              <w:rPr>
                <w:sz w:val="19"/>
                <w:szCs w:val="19"/>
              </w:rPr>
            </w:pPr>
          </w:p>
        </w:tc>
        <w:tc>
          <w:tcPr>
            <w:tcW w:w="0" w:type="dxa"/>
            <w:vAlign w:val="bottom"/>
          </w:tcPr>
          <w:p w:rsidR="000728AD" w:rsidRDefault="000728AD">
            <w:pPr>
              <w:rPr>
                <w:sz w:val="1"/>
                <w:szCs w:val="1"/>
              </w:rPr>
            </w:pPr>
          </w:p>
        </w:tc>
      </w:tr>
      <w:tr w:rsidR="000728AD">
        <w:trPr>
          <w:trHeight w:val="243"/>
        </w:trPr>
        <w:tc>
          <w:tcPr>
            <w:tcW w:w="8080" w:type="dxa"/>
            <w:vAlign w:val="bottom"/>
          </w:tcPr>
          <w:p w:rsidR="000728AD" w:rsidRDefault="000561BE">
            <w:pPr>
              <w:ind w:left="20"/>
              <w:rPr>
                <w:sz w:val="20"/>
                <w:szCs w:val="20"/>
              </w:rPr>
            </w:pPr>
            <w:r>
              <w:rPr>
                <w:rFonts w:ascii="Arial" w:eastAsia="Arial" w:hAnsi="Arial" w:cs="Arial"/>
                <w:sz w:val="20"/>
                <w:szCs w:val="20"/>
              </w:rPr>
              <w:t>Current assets:</w:t>
            </w:r>
          </w:p>
        </w:tc>
        <w:tc>
          <w:tcPr>
            <w:tcW w:w="280" w:type="dxa"/>
            <w:vAlign w:val="bottom"/>
          </w:tcPr>
          <w:p w:rsidR="000728AD" w:rsidRDefault="000728AD">
            <w:pPr>
              <w:rPr>
                <w:sz w:val="21"/>
                <w:szCs w:val="21"/>
              </w:rPr>
            </w:pPr>
          </w:p>
        </w:tc>
        <w:tc>
          <w:tcPr>
            <w:tcW w:w="1240" w:type="dxa"/>
            <w:vAlign w:val="bottom"/>
          </w:tcPr>
          <w:p w:rsidR="000728AD" w:rsidRDefault="000728AD">
            <w:pPr>
              <w:rPr>
                <w:sz w:val="21"/>
                <w:szCs w:val="21"/>
              </w:rPr>
            </w:pPr>
          </w:p>
        </w:tc>
        <w:tc>
          <w:tcPr>
            <w:tcW w:w="120" w:type="dxa"/>
            <w:vAlign w:val="bottom"/>
          </w:tcPr>
          <w:p w:rsidR="000728AD" w:rsidRDefault="000728AD">
            <w:pPr>
              <w:rPr>
                <w:sz w:val="21"/>
                <w:szCs w:val="21"/>
              </w:rPr>
            </w:pPr>
          </w:p>
        </w:tc>
        <w:tc>
          <w:tcPr>
            <w:tcW w:w="200" w:type="dxa"/>
            <w:vAlign w:val="bottom"/>
          </w:tcPr>
          <w:p w:rsidR="000728AD" w:rsidRDefault="000728AD">
            <w:pPr>
              <w:rPr>
                <w:sz w:val="21"/>
                <w:szCs w:val="21"/>
              </w:rPr>
            </w:pPr>
          </w:p>
        </w:tc>
        <w:tc>
          <w:tcPr>
            <w:tcW w:w="1320" w:type="dxa"/>
            <w:vAlign w:val="bottom"/>
          </w:tcPr>
          <w:p w:rsidR="000728AD" w:rsidRDefault="000728AD">
            <w:pPr>
              <w:rPr>
                <w:sz w:val="21"/>
                <w:szCs w:val="21"/>
              </w:rPr>
            </w:pPr>
          </w:p>
        </w:tc>
        <w:tc>
          <w:tcPr>
            <w:tcW w:w="0" w:type="dxa"/>
            <w:vAlign w:val="bottom"/>
          </w:tcPr>
          <w:p w:rsidR="000728AD" w:rsidRDefault="000728AD">
            <w:pPr>
              <w:rPr>
                <w:sz w:val="1"/>
                <w:szCs w:val="1"/>
              </w:rPr>
            </w:pPr>
          </w:p>
        </w:tc>
      </w:tr>
      <w:tr w:rsidR="000728AD">
        <w:trPr>
          <w:trHeight w:val="243"/>
        </w:trPr>
        <w:tc>
          <w:tcPr>
            <w:tcW w:w="8080" w:type="dxa"/>
            <w:shd w:val="clear" w:color="auto" w:fill="CCEEFF"/>
            <w:vAlign w:val="bottom"/>
          </w:tcPr>
          <w:p w:rsidR="000728AD" w:rsidRDefault="000561BE">
            <w:pPr>
              <w:ind w:left="220"/>
              <w:rPr>
                <w:sz w:val="20"/>
                <w:szCs w:val="20"/>
              </w:rPr>
            </w:pPr>
            <w:r>
              <w:rPr>
                <w:rFonts w:ascii="Arial" w:eastAsia="Arial" w:hAnsi="Arial" w:cs="Arial"/>
                <w:sz w:val="20"/>
                <w:szCs w:val="20"/>
              </w:rPr>
              <w:t xml:space="preserve">Cash and </w:t>
            </w:r>
            <w:r>
              <w:rPr>
                <w:rFonts w:ascii="Arial" w:eastAsia="Arial" w:hAnsi="Arial" w:cs="Arial"/>
                <w:sz w:val="20"/>
                <w:szCs w:val="20"/>
              </w:rPr>
              <w:t>cash equivalents</w:t>
            </w:r>
          </w:p>
        </w:tc>
        <w:tc>
          <w:tcPr>
            <w:tcW w:w="280" w:type="dxa"/>
            <w:shd w:val="clear" w:color="auto" w:fill="CCEEFF"/>
            <w:vAlign w:val="bottom"/>
          </w:tcPr>
          <w:p w:rsidR="000728AD" w:rsidRDefault="000561BE">
            <w:pPr>
              <w:ind w:right="61"/>
              <w:jc w:val="right"/>
              <w:rPr>
                <w:sz w:val="20"/>
                <w:szCs w:val="20"/>
              </w:rPr>
            </w:pPr>
            <w:r>
              <w:rPr>
                <w:rFonts w:ascii="Arial" w:eastAsia="Arial" w:hAnsi="Arial" w:cs="Arial"/>
                <w:w w:val="89"/>
                <w:sz w:val="20"/>
                <w:szCs w:val="20"/>
              </w:rPr>
              <w:t>$</w:t>
            </w:r>
          </w:p>
        </w:tc>
        <w:tc>
          <w:tcPr>
            <w:tcW w:w="1240" w:type="dxa"/>
            <w:shd w:val="clear" w:color="auto" w:fill="CCEEFF"/>
            <w:vAlign w:val="bottom"/>
          </w:tcPr>
          <w:p w:rsidR="000728AD" w:rsidRDefault="000561BE">
            <w:pPr>
              <w:jc w:val="right"/>
              <w:rPr>
                <w:sz w:val="20"/>
                <w:szCs w:val="20"/>
              </w:rPr>
            </w:pPr>
            <w:r>
              <w:rPr>
                <w:rFonts w:ascii="Arial" w:eastAsia="Arial" w:hAnsi="Arial" w:cs="Arial"/>
                <w:sz w:val="20"/>
                <w:szCs w:val="20"/>
              </w:rPr>
              <w:t>33,940</w:t>
            </w:r>
          </w:p>
        </w:tc>
        <w:tc>
          <w:tcPr>
            <w:tcW w:w="120" w:type="dxa"/>
            <w:shd w:val="clear" w:color="auto" w:fill="CCEEFF"/>
            <w:vAlign w:val="bottom"/>
          </w:tcPr>
          <w:p w:rsidR="000728AD" w:rsidRDefault="000728AD">
            <w:pPr>
              <w:rPr>
                <w:sz w:val="21"/>
                <w:szCs w:val="21"/>
              </w:rPr>
            </w:pPr>
          </w:p>
        </w:tc>
        <w:tc>
          <w:tcPr>
            <w:tcW w:w="200" w:type="dxa"/>
            <w:shd w:val="clear" w:color="auto" w:fill="CCEEFF"/>
            <w:vAlign w:val="bottom"/>
          </w:tcPr>
          <w:p w:rsidR="000728AD" w:rsidRDefault="000561BE">
            <w:pPr>
              <w:jc w:val="right"/>
              <w:rPr>
                <w:sz w:val="20"/>
                <w:szCs w:val="20"/>
              </w:rPr>
            </w:pPr>
            <w:r>
              <w:rPr>
                <w:rFonts w:ascii="Arial" w:eastAsia="Arial" w:hAnsi="Arial" w:cs="Arial"/>
                <w:w w:val="89"/>
                <w:sz w:val="20"/>
                <w:szCs w:val="20"/>
              </w:rPr>
              <w:t>$</w:t>
            </w:r>
          </w:p>
        </w:tc>
        <w:tc>
          <w:tcPr>
            <w:tcW w:w="1320" w:type="dxa"/>
            <w:shd w:val="clear" w:color="auto" w:fill="CCEEFF"/>
            <w:vAlign w:val="bottom"/>
          </w:tcPr>
          <w:p w:rsidR="000728AD" w:rsidRDefault="000561BE">
            <w:pPr>
              <w:jc w:val="right"/>
              <w:rPr>
                <w:sz w:val="20"/>
                <w:szCs w:val="20"/>
              </w:rPr>
            </w:pPr>
            <w:r>
              <w:rPr>
                <w:rFonts w:ascii="Arial" w:eastAsia="Arial" w:hAnsi="Arial" w:cs="Arial"/>
                <w:sz w:val="20"/>
                <w:szCs w:val="20"/>
              </w:rPr>
              <w:t>71,590</w:t>
            </w:r>
          </w:p>
        </w:tc>
        <w:tc>
          <w:tcPr>
            <w:tcW w:w="0" w:type="dxa"/>
            <w:vAlign w:val="bottom"/>
          </w:tcPr>
          <w:p w:rsidR="000728AD" w:rsidRDefault="000728AD">
            <w:pPr>
              <w:rPr>
                <w:sz w:val="1"/>
                <w:szCs w:val="1"/>
              </w:rPr>
            </w:pPr>
          </w:p>
        </w:tc>
      </w:tr>
      <w:tr w:rsidR="000728AD">
        <w:trPr>
          <w:trHeight w:val="243"/>
        </w:trPr>
        <w:tc>
          <w:tcPr>
            <w:tcW w:w="8080" w:type="dxa"/>
            <w:vAlign w:val="bottom"/>
          </w:tcPr>
          <w:p w:rsidR="000728AD" w:rsidRDefault="000561BE">
            <w:pPr>
              <w:ind w:left="220"/>
              <w:rPr>
                <w:sz w:val="20"/>
                <w:szCs w:val="20"/>
              </w:rPr>
            </w:pPr>
            <w:r>
              <w:rPr>
                <w:rFonts w:ascii="Arial" w:eastAsia="Arial" w:hAnsi="Arial" w:cs="Arial"/>
                <w:sz w:val="20"/>
                <w:szCs w:val="20"/>
              </w:rPr>
              <w:t>Marketable securities</w:t>
            </w:r>
          </w:p>
        </w:tc>
        <w:tc>
          <w:tcPr>
            <w:tcW w:w="280" w:type="dxa"/>
            <w:vAlign w:val="bottom"/>
          </w:tcPr>
          <w:p w:rsidR="000728AD" w:rsidRDefault="000728AD">
            <w:pPr>
              <w:rPr>
                <w:sz w:val="21"/>
                <w:szCs w:val="21"/>
              </w:rPr>
            </w:pPr>
          </w:p>
        </w:tc>
        <w:tc>
          <w:tcPr>
            <w:tcW w:w="1240" w:type="dxa"/>
            <w:vAlign w:val="bottom"/>
          </w:tcPr>
          <w:p w:rsidR="000728AD" w:rsidRDefault="000561BE">
            <w:pPr>
              <w:jc w:val="right"/>
              <w:rPr>
                <w:sz w:val="20"/>
                <w:szCs w:val="20"/>
              </w:rPr>
            </w:pPr>
            <w:r>
              <w:rPr>
                <w:rFonts w:ascii="Arial" w:eastAsia="Arial" w:hAnsi="Arial" w:cs="Arial"/>
                <w:sz w:val="20"/>
                <w:szCs w:val="20"/>
              </w:rPr>
              <w:t>45,003</w:t>
            </w:r>
          </w:p>
        </w:tc>
        <w:tc>
          <w:tcPr>
            <w:tcW w:w="120" w:type="dxa"/>
            <w:vAlign w:val="bottom"/>
          </w:tcPr>
          <w:p w:rsidR="000728AD" w:rsidRDefault="000728AD">
            <w:pPr>
              <w:rPr>
                <w:sz w:val="21"/>
                <w:szCs w:val="21"/>
              </w:rPr>
            </w:pPr>
          </w:p>
        </w:tc>
        <w:tc>
          <w:tcPr>
            <w:tcW w:w="200" w:type="dxa"/>
            <w:vAlign w:val="bottom"/>
          </w:tcPr>
          <w:p w:rsidR="000728AD" w:rsidRDefault="000728AD">
            <w:pPr>
              <w:rPr>
                <w:sz w:val="21"/>
                <w:szCs w:val="21"/>
              </w:rPr>
            </w:pPr>
          </w:p>
        </w:tc>
        <w:tc>
          <w:tcPr>
            <w:tcW w:w="1320" w:type="dxa"/>
            <w:vAlign w:val="bottom"/>
          </w:tcPr>
          <w:p w:rsidR="000728AD" w:rsidRDefault="000561BE">
            <w:pPr>
              <w:jc w:val="right"/>
              <w:rPr>
                <w:sz w:val="20"/>
                <w:szCs w:val="20"/>
              </w:rPr>
            </w:pPr>
            <w:r>
              <w:rPr>
                <w:rFonts w:ascii="Arial" w:eastAsia="Arial" w:hAnsi="Arial" w:cs="Arial"/>
                <w:sz w:val="20"/>
                <w:szCs w:val="20"/>
              </w:rPr>
              <w:t>35,739</w:t>
            </w:r>
          </w:p>
        </w:tc>
        <w:tc>
          <w:tcPr>
            <w:tcW w:w="0" w:type="dxa"/>
            <w:vAlign w:val="bottom"/>
          </w:tcPr>
          <w:p w:rsidR="000728AD" w:rsidRDefault="000728AD">
            <w:pPr>
              <w:rPr>
                <w:sz w:val="1"/>
                <w:szCs w:val="1"/>
              </w:rPr>
            </w:pPr>
          </w:p>
        </w:tc>
      </w:tr>
      <w:tr w:rsidR="000728AD">
        <w:trPr>
          <w:trHeight w:val="243"/>
        </w:trPr>
        <w:tc>
          <w:tcPr>
            <w:tcW w:w="8080" w:type="dxa"/>
            <w:shd w:val="clear" w:color="auto" w:fill="CCEEFF"/>
            <w:vAlign w:val="bottom"/>
          </w:tcPr>
          <w:p w:rsidR="000728AD" w:rsidRDefault="000561BE">
            <w:pPr>
              <w:ind w:left="220"/>
              <w:rPr>
                <w:sz w:val="20"/>
                <w:szCs w:val="20"/>
              </w:rPr>
            </w:pPr>
            <w:r>
              <w:rPr>
                <w:rFonts w:ascii="Arial" w:eastAsia="Arial" w:hAnsi="Arial" w:cs="Arial"/>
                <w:sz w:val="20"/>
                <w:szCs w:val="20"/>
              </w:rPr>
              <w:t>Prepaid expenses and other current assets</w:t>
            </w:r>
          </w:p>
        </w:tc>
        <w:tc>
          <w:tcPr>
            <w:tcW w:w="280" w:type="dxa"/>
            <w:tcBorders>
              <w:bottom w:val="single" w:sz="8" w:space="0" w:color="auto"/>
            </w:tcBorders>
            <w:shd w:val="clear" w:color="auto" w:fill="CCEEFF"/>
            <w:vAlign w:val="bottom"/>
          </w:tcPr>
          <w:p w:rsidR="000728AD" w:rsidRDefault="000728AD">
            <w:pPr>
              <w:rPr>
                <w:sz w:val="21"/>
                <w:szCs w:val="21"/>
              </w:rPr>
            </w:pPr>
          </w:p>
        </w:tc>
        <w:tc>
          <w:tcPr>
            <w:tcW w:w="124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1,315</w:t>
            </w:r>
          </w:p>
        </w:tc>
        <w:tc>
          <w:tcPr>
            <w:tcW w:w="120" w:type="dxa"/>
            <w:shd w:val="clear" w:color="auto" w:fill="CCEEFF"/>
            <w:vAlign w:val="bottom"/>
          </w:tcPr>
          <w:p w:rsidR="000728AD" w:rsidRDefault="000728AD">
            <w:pPr>
              <w:rPr>
                <w:sz w:val="21"/>
                <w:szCs w:val="21"/>
              </w:rPr>
            </w:pPr>
          </w:p>
        </w:tc>
        <w:tc>
          <w:tcPr>
            <w:tcW w:w="200" w:type="dxa"/>
            <w:tcBorders>
              <w:bottom w:val="single" w:sz="8" w:space="0" w:color="auto"/>
            </w:tcBorders>
            <w:shd w:val="clear" w:color="auto" w:fill="CCEEFF"/>
            <w:vAlign w:val="bottom"/>
          </w:tcPr>
          <w:p w:rsidR="000728AD" w:rsidRDefault="000728AD">
            <w:pPr>
              <w:rPr>
                <w:sz w:val="21"/>
                <w:szCs w:val="21"/>
              </w:rPr>
            </w:pPr>
          </w:p>
        </w:tc>
        <w:tc>
          <w:tcPr>
            <w:tcW w:w="132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1,692</w:t>
            </w:r>
          </w:p>
        </w:tc>
        <w:tc>
          <w:tcPr>
            <w:tcW w:w="0" w:type="dxa"/>
            <w:vAlign w:val="bottom"/>
          </w:tcPr>
          <w:p w:rsidR="000728AD" w:rsidRDefault="000728AD">
            <w:pPr>
              <w:rPr>
                <w:sz w:val="1"/>
                <w:szCs w:val="1"/>
              </w:rPr>
            </w:pPr>
          </w:p>
        </w:tc>
      </w:tr>
      <w:tr w:rsidR="000728AD">
        <w:trPr>
          <w:trHeight w:val="237"/>
        </w:trPr>
        <w:tc>
          <w:tcPr>
            <w:tcW w:w="8080" w:type="dxa"/>
            <w:vAlign w:val="bottom"/>
          </w:tcPr>
          <w:p w:rsidR="000728AD" w:rsidRDefault="000561BE">
            <w:pPr>
              <w:ind w:left="480"/>
              <w:rPr>
                <w:sz w:val="20"/>
                <w:szCs w:val="20"/>
              </w:rPr>
            </w:pPr>
            <w:r>
              <w:rPr>
                <w:rFonts w:ascii="Arial" w:eastAsia="Arial" w:hAnsi="Arial" w:cs="Arial"/>
                <w:sz w:val="20"/>
                <w:szCs w:val="20"/>
              </w:rPr>
              <w:t>Total current assets</w:t>
            </w:r>
          </w:p>
        </w:tc>
        <w:tc>
          <w:tcPr>
            <w:tcW w:w="280" w:type="dxa"/>
            <w:vAlign w:val="bottom"/>
          </w:tcPr>
          <w:p w:rsidR="000728AD" w:rsidRDefault="000728AD">
            <w:pPr>
              <w:rPr>
                <w:sz w:val="20"/>
                <w:szCs w:val="20"/>
              </w:rPr>
            </w:pPr>
          </w:p>
        </w:tc>
        <w:tc>
          <w:tcPr>
            <w:tcW w:w="1240" w:type="dxa"/>
            <w:vAlign w:val="bottom"/>
          </w:tcPr>
          <w:p w:rsidR="000728AD" w:rsidRDefault="000561BE">
            <w:pPr>
              <w:jc w:val="right"/>
              <w:rPr>
                <w:sz w:val="20"/>
                <w:szCs w:val="20"/>
              </w:rPr>
            </w:pPr>
            <w:r>
              <w:rPr>
                <w:rFonts w:ascii="Arial" w:eastAsia="Arial" w:hAnsi="Arial" w:cs="Arial"/>
                <w:sz w:val="20"/>
                <w:szCs w:val="20"/>
              </w:rPr>
              <w:t>80,258</w:t>
            </w:r>
          </w:p>
        </w:tc>
        <w:tc>
          <w:tcPr>
            <w:tcW w:w="120" w:type="dxa"/>
            <w:vAlign w:val="bottom"/>
          </w:tcPr>
          <w:p w:rsidR="000728AD" w:rsidRDefault="000728AD">
            <w:pPr>
              <w:rPr>
                <w:sz w:val="20"/>
                <w:szCs w:val="20"/>
              </w:rPr>
            </w:pPr>
          </w:p>
        </w:tc>
        <w:tc>
          <w:tcPr>
            <w:tcW w:w="200" w:type="dxa"/>
            <w:vAlign w:val="bottom"/>
          </w:tcPr>
          <w:p w:rsidR="000728AD" w:rsidRDefault="000728AD">
            <w:pPr>
              <w:rPr>
                <w:sz w:val="20"/>
                <w:szCs w:val="20"/>
              </w:rPr>
            </w:pPr>
          </w:p>
        </w:tc>
        <w:tc>
          <w:tcPr>
            <w:tcW w:w="1320" w:type="dxa"/>
            <w:vAlign w:val="bottom"/>
          </w:tcPr>
          <w:p w:rsidR="000728AD" w:rsidRDefault="000561BE">
            <w:pPr>
              <w:jc w:val="right"/>
              <w:rPr>
                <w:sz w:val="20"/>
                <w:szCs w:val="20"/>
              </w:rPr>
            </w:pPr>
            <w:r>
              <w:rPr>
                <w:rFonts w:ascii="Arial" w:eastAsia="Arial" w:hAnsi="Arial" w:cs="Arial"/>
                <w:sz w:val="20"/>
                <w:szCs w:val="20"/>
              </w:rPr>
              <w:t>109,021</w:t>
            </w:r>
          </w:p>
        </w:tc>
        <w:tc>
          <w:tcPr>
            <w:tcW w:w="0" w:type="dxa"/>
            <w:vAlign w:val="bottom"/>
          </w:tcPr>
          <w:p w:rsidR="000728AD" w:rsidRDefault="000728AD">
            <w:pPr>
              <w:rPr>
                <w:sz w:val="1"/>
                <w:szCs w:val="1"/>
              </w:rPr>
            </w:pPr>
          </w:p>
        </w:tc>
      </w:tr>
      <w:tr w:rsidR="000728AD">
        <w:trPr>
          <w:trHeight w:val="243"/>
        </w:trPr>
        <w:tc>
          <w:tcPr>
            <w:tcW w:w="8080" w:type="dxa"/>
            <w:shd w:val="clear" w:color="auto" w:fill="CCEEFF"/>
            <w:vAlign w:val="bottom"/>
          </w:tcPr>
          <w:p w:rsidR="000728AD" w:rsidRDefault="000561BE">
            <w:pPr>
              <w:ind w:left="20"/>
              <w:rPr>
                <w:sz w:val="20"/>
                <w:szCs w:val="20"/>
              </w:rPr>
            </w:pPr>
            <w:r>
              <w:rPr>
                <w:rFonts w:ascii="Arial" w:eastAsia="Arial" w:hAnsi="Arial" w:cs="Arial"/>
                <w:sz w:val="20"/>
                <w:szCs w:val="20"/>
              </w:rPr>
              <w:t>Property and equipment, net</w:t>
            </w:r>
          </w:p>
        </w:tc>
        <w:tc>
          <w:tcPr>
            <w:tcW w:w="280" w:type="dxa"/>
            <w:shd w:val="clear" w:color="auto" w:fill="CCEEFF"/>
            <w:vAlign w:val="bottom"/>
          </w:tcPr>
          <w:p w:rsidR="000728AD" w:rsidRDefault="000728AD">
            <w:pPr>
              <w:rPr>
                <w:sz w:val="21"/>
                <w:szCs w:val="21"/>
              </w:rPr>
            </w:pPr>
          </w:p>
        </w:tc>
        <w:tc>
          <w:tcPr>
            <w:tcW w:w="1240" w:type="dxa"/>
            <w:shd w:val="clear" w:color="auto" w:fill="CCEEFF"/>
            <w:vAlign w:val="bottom"/>
          </w:tcPr>
          <w:p w:rsidR="000728AD" w:rsidRDefault="000561BE">
            <w:pPr>
              <w:jc w:val="right"/>
              <w:rPr>
                <w:sz w:val="20"/>
                <w:szCs w:val="20"/>
              </w:rPr>
            </w:pPr>
            <w:r>
              <w:rPr>
                <w:rFonts w:ascii="Arial" w:eastAsia="Arial" w:hAnsi="Arial" w:cs="Arial"/>
                <w:sz w:val="20"/>
                <w:szCs w:val="20"/>
              </w:rPr>
              <w:t>1,015</w:t>
            </w:r>
          </w:p>
        </w:tc>
        <w:tc>
          <w:tcPr>
            <w:tcW w:w="120" w:type="dxa"/>
            <w:shd w:val="clear" w:color="auto" w:fill="CCEEFF"/>
            <w:vAlign w:val="bottom"/>
          </w:tcPr>
          <w:p w:rsidR="000728AD" w:rsidRDefault="000728AD">
            <w:pPr>
              <w:rPr>
                <w:sz w:val="21"/>
                <w:szCs w:val="21"/>
              </w:rPr>
            </w:pPr>
          </w:p>
        </w:tc>
        <w:tc>
          <w:tcPr>
            <w:tcW w:w="200" w:type="dxa"/>
            <w:shd w:val="clear" w:color="auto" w:fill="CCEEFF"/>
            <w:vAlign w:val="bottom"/>
          </w:tcPr>
          <w:p w:rsidR="000728AD" w:rsidRDefault="000728AD">
            <w:pPr>
              <w:rPr>
                <w:sz w:val="21"/>
                <w:szCs w:val="21"/>
              </w:rPr>
            </w:pPr>
          </w:p>
        </w:tc>
        <w:tc>
          <w:tcPr>
            <w:tcW w:w="1320" w:type="dxa"/>
            <w:shd w:val="clear" w:color="auto" w:fill="CCEEFF"/>
            <w:vAlign w:val="bottom"/>
          </w:tcPr>
          <w:p w:rsidR="000728AD" w:rsidRDefault="000561BE">
            <w:pPr>
              <w:jc w:val="right"/>
              <w:rPr>
                <w:sz w:val="20"/>
                <w:szCs w:val="20"/>
              </w:rPr>
            </w:pPr>
            <w:r>
              <w:rPr>
                <w:rFonts w:ascii="Arial" w:eastAsia="Arial" w:hAnsi="Arial" w:cs="Arial"/>
                <w:sz w:val="20"/>
                <w:szCs w:val="20"/>
              </w:rPr>
              <w:t>360</w:t>
            </w:r>
          </w:p>
        </w:tc>
        <w:tc>
          <w:tcPr>
            <w:tcW w:w="0" w:type="dxa"/>
            <w:vAlign w:val="bottom"/>
          </w:tcPr>
          <w:p w:rsidR="000728AD" w:rsidRDefault="000728AD">
            <w:pPr>
              <w:rPr>
                <w:sz w:val="1"/>
                <w:szCs w:val="1"/>
              </w:rPr>
            </w:pPr>
          </w:p>
        </w:tc>
      </w:tr>
      <w:tr w:rsidR="000728AD">
        <w:trPr>
          <w:trHeight w:val="243"/>
        </w:trPr>
        <w:tc>
          <w:tcPr>
            <w:tcW w:w="8080" w:type="dxa"/>
            <w:tcBorders>
              <w:bottom w:val="single" w:sz="8" w:space="0" w:color="CCEEFF"/>
            </w:tcBorders>
            <w:vAlign w:val="bottom"/>
          </w:tcPr>
          <w:p w:rsidR="000728AD" w:rsidRDefault="000561BE">
            <w:pPr>
              <w:ind w:left="20"/>
              <w:rPr>
                <w:sz w:val="20"/>
                <w:szCs w:val="20"/>
              </w:rPr>
            </w:pPr>
            <w:r>
              <w:rPr>
                <w:rFonts w:ascii="Arial" w:eastAsia="Arial" w:hAnsi="Arial" w:cs="Arial"/>
                <w:sz w:val="20"/>
                <w:szCs w:val="20"/>
              </w:rPr>
              <w:t>Other assets</w:t>
            </w:r>
          </w:p>
        </w:tc>
        <w:tc>
          <w:tcPr>
            <w:tcW w:w="280" w:type="dxa"/>
            <w:tcBorders>
              <w:bottom w:val="single" w:sz="8" w:space="0" w:color="auto"/>
            </w:tcBorders>
            <w:vAlign w:val="bottom"/>
          </w:tcPr>
          <w:p w:rsidR="000728AD" w:rsidRDefault="000728AD">
            <w:pPr>
              <w:rPr>
                <w:sz w:val="21"/>
                <w:szCs w:val="21"/>
              </w:rPr>
            </w:pPr>
          </w:p>
        </w:tc>
        <w:tc>
          <w:tcPr>
            <w:tcW w:w="124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211</w:t>
            </w:r>
          </w:p>
        </w:tc>
        <w:tc>
          <w:tcPr>
            <w:tcW w:w="120" w:type="dxa"/>
            <w:tcBorders>
              <w:bottom w:val="single" w:sz="8" w:space="0" w:color="CCEEFF"/>
            </w:tcBorders>
            <w:vAlign w:val="bottom"/>
          </w:tcPr>
          <w:p w:rsidR="000728AD" w:rsidRDefault="000728AD">
            <w:pPr>
              <w:rPr>
                <w:sz w:val="21"/>
                <w:szCs w:val="21"/>
              </w:rPr>
            </w:pPr>
          </w:p>
        </w:tc>
        <w:tc>
          <w:tcPr>
            <w:tcW w:w="200" w:type="dxa"/>
            <w:tcBorders>
              <w:bottom w:val="single" w:sz="8" w:space="0" w:color="auto"/>
            </w:tcBorders>
            <w:vAlign w:val="bottom"/>
          </w:tcPr>
          <w:p w:rsidR="000728AD" w:rsidRDefault="000728AD">
            <w:pPr>
              <w:rPr>
                <w:sz w:val="21"/>
                <w:szCs w:val="21"/>
              </w:rPr>
            </w:pPr>
          </w:p>
        </w:tc>
        <w:tc>
          <w:tcPr>
            <w:tcW w:w="132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211</w:t>
            </w:r>
          </w:p>
        </w:tc>
        <w:tc>
          <w:tcPr>
            <w:tcW w:w="0" w:type="dxa"/>
            <w:vAlign w:val="bottom"/>
          </w:tcPr>
          <w:p w:rsidR="000728AD" w:rsidRDefault="000728AD">
            <w:pPr>
              <w:rPr>
                <w:sz w:val="1"/>
                <w:szCs w:val="1"/>
              </w:rPr>
            </w:pPr>
          </w:p>
        </w:tc>
      </w:tr>
      <w:tr w:rsidR="000728AD">
        <w:trPr>
          <w:trHeight w:val="262"/>
        </w:trPr>
        <w:tc>
          <w:tcPr>
            <w:tcW w:w="8080" w:type="dxa"/>
            <w:tcBorders>
              <w:bottom w:val="single" w:sz="8" w:space="0" w:color="CCEEFF"/>
            </w:tcBorders>
            <w:shd w:val="clear" w:color="auto" w:fill="CCEEFF"/>
            <w:vAlign w:val="bottom"/>
          </w:tcPr>
          <w:p w:rsidR="000728AD" w:rsidRDefault="000561BE">
            <w:pPr>
              <w:ind w:left="480"/>
              <w:rPr>
                <w:sz w:val="20"/>
                <w:szCs w:val="20"/>
              </w:rPr>
            </w:pPr>
            <w:r>
              <w:rPr>
                <w:rFonts w:ascii="Arial" w:eastAsia="Arial" w:hAnsi="Arial" w:cs="Arial"/>
                <w:sz w:val="20"/>
                <w:szCs w:val="20"/>
              </w:rPr>
              <w:t>Total assets</w:t>
            </w:r>
          </w:p>
        </w:tc>
        <w:tc>
          <w:tcPr>
            <w:tcW w:w="280" w:type="dxa"/>
            <w:tcBorders>
              <w:bottom w:val="single" w:sz="8" w:space="0" w:color="auto"/>
            </w:tcBorders>
            <w:shd w:val="clear" w:color="auto" w:fill="CCEEFF"/>
            <w:vAlign w:val="bottom"/>
          </w:tcPr>
          <w:p w:rsidR="000728AD" w:rsidRDefault="000561BE">
            <w:pPr>
              <w:ind w:right="61"/>
              <w:jc w:val="right"/>
              <w:rPr>
                <w:sz w:val="20"/>
                <w:szCs w:val="20"/>
              </w:rPr>
            </w:pPr>
            <w:r>
              <w:rPr>
                <w:rFonts w:ascii="Arial" w:eastAsia="Arial" w:hAnsi="Arial" w:cs="Arial"/>
                <w:w w:val="89"/>
                <w:sz w:val="20"/>
                <w:szCs w:val="20"/>
              </w:rPr>
              <w:t>$</w:t>
            </w:r>
          </w:p>
        </w:tc>
        <w:tc>
          <w:tcPr>
            <w:tcW w:w="124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81,484</w:t>
            </w:r>
          </w:p>
        </w:tc>
        <w:tc>
          <w:tcPr>
            <w:tcW w:w="120" w:type="dxa"/>
            <w:tcBorders>
              <w:bottom w:val="single" w:sz="8" w:space="0" w:color="CCEEFF"/>
            </w:tcBorders>
            <w:shd w:val="clear" w:color="auto" w:fill="CCEEFF"/>
            <w:vAlign w:val="bottom"/>
          </w:tcPr>
          <w:p w:rsidR="000728AD" w:rsidRDefault="000728AD"/>
        </w:tc>
        <w:tc>
          <w:tcPr>
            <w:tcW w:w="20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w w:val="89"/>
                <w:sz w:val="20"/>
                <w:szCs w:val="20"/>
              </w:rPr>
              <w:t>$</w:t>
            </w:r>
          </w:p>
        </w:tc>
        <w:tc>
          <w:tcPr>
            <w:tcW w:w="132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109,592</w:t>
            </w:r>
          </w:p>
        </w:tc>
        <w:tc>
          <w:tcPr>
            <w:tcW w:w="0" w:type="dxa"/>
            <w:vAlign w:val="bottom"/>
          </w:tcPr>
          <w:p w:rsidR="000728AD" w:rsidRDefault="000728AD">
            <w:pPr>
              <w:rPr>
                <w:sz w:val="1"/>
                <w:szCs w:val="1"/>
              </w:rPr>
            </w:pPr>
          </w:p>
        </w:tc>
      </w:tr>
      <w:tr w:rsidR="000728AD">
        <w:trPr>
          <w:trHeight w:val="20"/>
        </w:trPr>
        <w:tc>
          <w:tcPr>
            <w:tcW w:w="8080" w:type="dxa"/>
            <w:vMerge w:val="restart"/>
            <w:tcBorders>
              <w:top w:val="single" w:sz="8" w:space="0" w:color="CCEEFF"/>
              <w:bottom w:val="single" w:sz="8" w:space="0" w:color="CCEEFF"/>
            </w:tcBorders>
            <w:vAlign w:val="bottom"/>
          </w:tcPr>
          <w:p w:rsidR="000728AD" w:rsidRDefault="000561BE">
            <w:pPr>
              <w:ind w:left="20"/>
              <w:rPr>
                <w:sz w:val="20"/>
                <w:szCs w:val="20"/>
              </w:rPr>
            </w:pPr>
            <w:r>
              <w:rPr>
                <w:rFonts w:ascii="Arial" w:eastAsia="Arial" w:hAnsi="Arial" w:cs="Arial"/>
                <w:b/>
                <w:bCs/>
                <w:sz w:val="20"/>
                <w:szCs w:val="20"/>
              </w:rPr>
              <w:t>Liabilities and Stockholders' Equity</w:t>
            </w:r>
          </w:p>
        </w:tc>
        <w:tc>
          <w:tcPr>
            <w:tcW w:w="28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24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20" w:type="dxa"/>
            <w:tcBorders>
              <w:top w:val="single" w:sz="8" w:space="0" w:color="CCEEFF"/>
            </w:tcBorders>
            <w:vAlign w:val="bottom"/>
          </w:tcPr>
          <w:p w:rsidR="000728AD" w:rsidRDefault="000728AD">
            <w:pPr>
              <w:spacing w:line="20" w:lineRule="exact"/>
              <w:rPr>
                <w:sz w:val="1"/>
                <w:szCs w:val="1"/>
              </w:rPr>
            </w:pPr>
          </w:p>
        </w:tc>
        <w:tc>
          <w:tcPr>
            <w:tcW w:w="20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32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0" w:type="dxa"/>
            <w:vAlign w:val="bottom"/>
          </w:tcPr>
          <w:p w:rsidR="000728AD" w:rsidRDefault="000728AD">
            <w:pPr>
              <w:spacing w:line="20" w:lineRule="exact"/>
              <w:rPr>
                <w:sz w:val="1"/>
                <w:szCs w:val="1"/>
              </w:rPr>
            </w:pPr>
          </w:p>
        </w:tc>
      </w:tr>
      <w:tr w:rsidR="000728AD">
        <w:trPr>
          <w:trHeight w:val="190"/>
        </w:trPr>
        <w:tc>
          <w:tcPr>
            <w:tcW w:w="8080" w:type="dxa"/>
            <w:vMerge/>
            <w:vAlign w:val="bottom"/>
          </w:tcPr>
          <w:p w:rsidR="000728AD" w:rsidRDefault="000728AD">
            <w:pPr>
              <w:rPr>
                <w:sz w:val="16"/>
                <w:szCs w:val="16"/>
              </w:rPr>
            </w:pPr>
          </w:p>
        </w:tc>
        <w:tc>
          <w:tcPr>
            <w:tcW w:w="280" w:type="dxa"/>
            <w:vAlign w:val="bottom"/>
          </w:tcPr>
          <w:p w:rsidR="000728AD" w:rsidRDefault="000728AD">
            <w:pPr>
              <w:rPr>
                <w:sz w:val="16"/>
                <w:szCs w:val="16"/>
              </w:rPr>
            </w:pPr>
          </w:p>
        </w:tc>
        <w:tc>
          <w:tcPr>
            <w:tcW w:w="1240" w:type="dxa"/>
            <w:vAlign w:val="bottom"/>
          </w:tcPr>
          <w:p w:rsidR="000728AD" w:rsidRDefault="000728AD">
            <w:pPr>
              <w:rPr>
                <w:sz w:val="16"/>
                <w:szCs w:val="16"/>
              </w:rPr>
            </w:pPr>
          </w:p>
        </w:tc>
        <w:tc>
          <w:tcPr>
            <w:tcW w:w="120" w:type="dxa"/>
            <w:vAlign w:val="bottom"/>
          </w:tcPr>
          <w:p w:rsidR="000728AD" w:rsidRDefault="000728AD">
            <w:pPr>
              <w:rPr>
                <w:sz w:val="16"/>
                <w:szCs w:val="16"/>
              </w:rPr>
            </w:pPr>
          </w:p>
        </w:tc>
        <w:tc>
          <w:tcPr>
            <w:tcW w:w="200" w:type="dxa"/>
            <w:vAlign w:val="bottom"/>
          </w:tcPr>
          <w:p w:rsidR="000728AD" w:rsidRDefault="000728AD">
            <w:pPr>
              <w:rPr>
                <w:sz w:val="16"/>
                <w:szCs w:val="16"/>
              </w:rPr>
            </w:pPr>
          </w:p>
        </w:tc>
        <w:tc>
          <w:tcPr>
            <w:tcW w:w="1320" w:type="dxa"/>
            <w:vAlign w:val="bottom"/>
          </w:tcPr>
          <w:p w:rsidR="000728AD" w:rsidRDefault="000728AD">
            <w:pPr>
              <w:rPr>
                <w:sz w:val="16"/>
                <w:szCs w:val="16"/>
              </w:rPr>
            </w:pPr>
          </w:p>
        </w:tc>
        <w:tc>
          <w:tcPr>
            <w:tcW w:w="0" w:type="dxa"/>
            <w:vAlign w:val="bottom"/>
          </w:tcPr>
          <w:p w:rsidR="000728AD" w:rsidRDefault="000728AD">
            <w:pPr>
              <w:rPr>
                <w:sz w:val="1"/>
                <w:szCs w:val="1"/>
              </w:rPr>
            </w:pPr>
          </w:p>
        </w:tc>
      </w:tr>
      <w:tr w:rsidR="000728AD">
        <w:trPr>
          <w:trHeight w:val="243"/>
        </w:trPr>
        <w:tc>
          <w:tcPr>
            <w:tcW w:w="8080" w:type="dxa"/>
            <w:shd w:val="clear" w:color="auto" w:fill="CCEEFF"/>
            <w:vAlign w:val="bottom"/>
          </w:tcPr>
          <w:p w:rsidR="000728AD" w:rsidRDefault="000561BE">
            <w:pPr>
              <w:ind w:left="20"/>
              <w:rPr>
                <w:sz w:val="20"/>
                <w:szCs w:val="20"/>
              </w:rPr>
            </w:pPr>
            <w:r>
              <w:rPr>
                <w:rFonts w:ascii="Arial" w:eastAsia="Arial" w:hAnsi="Arial" w:cs="Arial"/>
                <w:sz w:val="20"/>
                <w:szCs w:val="20"/>
              </w:rPr>
              <w:t>Current liabilities:</w:t>
            </w:r>
          </w:p>
        </w:tc>
        <w:tc>
          <w:tcPr>
            <w:tcW w:w="280" w:type="dxa"/>
            <w:shd w:val="clear" w:color="auto" w:fill="CCEEFF"/>
            <w:vAlign w:val="bottom"/>
          </w:tcPr>
          <w:p w:rsidR="000728AD" w:rsidRDefault="000728AD">
            <w:pPr>
              <w:rPr>
                <w:sz w:val="21"/>
                <w:szCs w:val="21"/>
              </w:rPr>
            </w:pPr>
          </w:p>
        </w:tc>
        <w:tc>
          <w:tcPr>
            <w:tcW w:w="1240" w:type="dxa"/>
            <w:shd w:val="clear" w:color="auto" w:fill="CCEEFF"/>
            <w:vAlign w:val="bottom"/>
          </w:tcPr>
          <w:p w:rsidR="000728AD" w:rsidRDefault="000728AD">
            <w:pPr>
              <w:rPr>
                <w:sz w:val="21"/>
                <w:szCs w:val="21"/>
              </w:rPr>
            </w:pPr>
          </w:p>
        </w:tc>
        <w:tc>
          <w:tcPr>
            <w:tcW w:w="120" w:type="dxa"/>
            <w:shd w:val="clear" w:color="auto" w:fill="CCEEFF"/>
            <w:vAlign w:val="bottom"/>
          </w:tcPr>
          <w:p w:rsidR="000728AD" w:rsidRDefault="000728AD">
            <w:pPr>
              <w:rPr>
                <w:sz w:val="21"/>
                <w:szCs w:val="21"/>
              </w:rPr>
            </w:pPr>
          </w:p>
        </w:tc>
        <w:tc>
          <w:tcPr>
            <w:tcW w:w="200" w:type="dxa"/>
            <w:shd w:val="clear" w:color="auto" w:fill="CCEEFF"/>
            <w:vAlign w:val="bottom"/>
          </w:tcPr>
          <w:p w:rsidR="000728AD" w:rsidRDefault="000728AD">
            <w:pPr>
              <w:rPr>
                <w:sz w:val="21"/>
                <w:szCs w:val="21"/>
              </w:rPr>
            </w:pPr>
          </w:p>
        </w:tc>
        <w:tc>
          <w:tcPr>
            <w:tcW w:w="1320" w:type="dxa"/>
            <w:shd w:val="clear" w:color="auto" w:fill="CCEEFF"/>
            <w:vAlign w:val="bottom"/>
          </w:tcPr>
          <w:p w:rsidR="000728AD" w:rsidRDefault="000728AD">
            <w:pPr>
              <w:rPr>
                <w:sz w:val="21"/>
                <w:szCs w:val="21"/>
              </w:rPr>
            </w:pPr>
          </w:p>
        </w:tc>
        <w:tc>
          <w:tcPr>
            <w:tcW w:w="0" w:type="dxa"/>
            <w:vAlign w:val="bottom"/>
          </w:tcPr>
          <w:p w:rsidR="000728AD" w:rsidRDefault="000728AD">
            <w:pPr>
              <w:rPr>
                <w:sz w:val="1"/>
                <w:szCs w:val="1"/>
              </w:rPr>
            </w:pPr>
          </w:p>
        </w:tc>
      </w:tr>
      <w:tr w:rsidR="000728AD">
        <w:trPr>
          <w:trHeight w:val="243"/>
        </w:trPr>
        <w:tc>
          <w:tcPr>
            <w:tcW w:w="8080" w:type="dxa"/>
            <w:vAlign w:val="bottom"/>
          </w:tcPr>
          <w:p w:rsidR="000728AD" w:rsidRDefault="000561BE">
            <w:pPr>
              <w:ind w:left="220"/>
              <w:rPr>
                <w:sz w:val="20"/>
                <w:szCs w:val="20"/>
              </w:rPr>
            </w:pPr>
            <w:r>
              <w:rPr>
                <w:rFonts w:ascii="Arial" w:eastAsia="Arial" w:hAnsi="Arial" w:cs="Arial"/>
                <w:sz w:val="20"/>
                <w:szCs w:val="20"/>
              </w:rPr>
              <w:t>Accounts payable</w:t>
            </w:r>
          </w:p>
        </w:tc>
        <w:tc>
          <w:tcPr>
            <w:tcW w:w="280" w:type="dxa"/>
            <w:vAlign w:val="bottom"/>
          </w:tcPr>
          <w:p w:rsidR="000728AD" w:rsidRDefault="000561BE">
            <w:pPr>
              <w:ind w:right="61"/>
              <w:jc w:val="right"/>
              <w:rPr>
                <w:sz w:val="20"/>
                <w:szCs w:val="20"/>
              </w:rPr>
            </w:pPr>
            <w:r>
              <w:rPr>
                <w:rFonts w:ascii="Arial" w:eastAsia="Arial" w:hAnsi="Arial" w:cs="Arial"/>
                <w:w w:val="89"/>
                <w:sz w:val="20"/>
                <w:szCs w:val="20"/>
              </w:rPr>
              <w:t>$</w:t>
            </w:r>
          </w:p>
        </w:tc>
        <w:tc>
          <w:tcPr>
            <w:tcW w:w="1240" w:type="dxa"/>
            <w:vAlign w:val="bottom"/>
          </w:tcPr>
          <w:p w:rsidR="000728AD" w:rsidRDefault="000561BE">
            <w:pPr>
              <w:jc w:val="right"/>
              <w:rPr>
                <w:sz w:val="20"/>
                <w:szCs w:val="20"/>
              </w:rPr>
            </w:pPr>
            <w:r>
              <w:rPr>
                <w:rFonts w:ascii="Arial" w:eastAsia="Arial" w:hAnsi="Arial" w:cs="Arial"/>
                <w:sz w:val="20"/>
                <w:szCs w:val="20"/>
              </w:rPr>
              <w:t>2,302</w:t>
            </w:r>
          </w:p>
        </w:tc>
        <w:tc>
          <w:tcPr>
            <w:tcW w:w="120" w:type="dxa"/>
            <w:vAlign w:val="bottom"/>
          </w:tcPr>
          <w:p w:rsidR="000728AD" w:rsidRDefault="000728AD">
            <w:pPr>
              <w:rPr>
                <w:sz w:val="21"/>
                <w:szCs w:val="21"/>
              </w:rPr>
            </w:pPr>
          </w:p>
        </w:tc>
        <w:tc>
          <w:tcPr>
            <w:tcW w:w="200" w:type="dxa"/>
            <w:vAlign w:val="bottom"/>
          </w:tcPr>
          <w:p w:rsidR="000728AD" w:rsidRDefault="000561BE">
            <w:pPr>
              <w:jc w:val="right"/>
              <w:rPr>
                <w:sz w:val="20"/>
                <w:szCs w:val="20"/>
              </w:rPr>
            </w:pPr>
            <w:r>
              <w:rPr>
                <w:rFonts w:ascii="Arial" w:eastAsia="Arial" w:hAnsi="Arial" w:cs="Arial"/>
                <w:w w:val="89"/>
                <w:sz w:val="20"/>
                <w:szCs w:val="20"/>
              </w:rPr>
              <w:t>$</w:t>
            </w:r>
          </w:p>
        </w:tc>
        <w:tc>
          <w:tcPr>
            <w:tcW w:w="1320" w:type="dxa"/>
            <w:vAlign w:val="bottom"/>
          </w:tcPr>
          <w:p w:rsidR="000728AD" w:rsidRDefault="000561BE">
            <w:pPr>
              <w:jc w:val="right"/>
              <w:rPr>
                <w:sz w:val="20"/>
                <w:szCs w:val="20"/>
              </w:rPr>
            </w:pPr>
            <w:r>
              <w:rPr>
                <w:rFonts w:ascii="Arial" w:eastAsia="Arial" w:hAnsi="Arial" w:cs="Arial"/>
                <w:sz w:val="20"/>
                <w:szCs w:val="20"/>
              </w:rPr>
              <w:t>2,290</w:t>
            </w:r>
          </w:p>
        </w:tc>
        <w:tc>
          <w:tcPr>
            <w:tcW w:w="0" w:type="dxa"/>
            <w:vAlign w:val="bottom"/>
          </w:tcPr>
          <w:p w:rsidR="000728AD" w:rsidRDefault="000728AD">
            <w:pPr>
              <w:rPr>
                <w:sz w:val="1"/>
                <w:szCs w:val="1"/>
              </w:rPr>
            </w:pPr>
          </w:p>
        </w:tc>
      </w:tr>
      <w:tr w:rsidR="000728AD">
        <w:trPr>
          <w:trHeight w:val="243"/>
        </w:trPr>
        <w:tc>
          <w:tcPr>
            <w:tcW w:w="8080" w:type="dxa"/>
            <w:shd w:val="clear" w:color="auto" w:fill="CCEEFF"/>
            <w:vAlign w:val="bottom"/>
          </w:tcPr>
          <w:p w:rsidR="000728AD" w:rsidRDefault="000561BE">
            <w:pPr>
              <w:ind w:left="220"/>
              <w:rPr>
                <w:sz w:val="20"/>
                <w:szCs w:val="20"/>
              </w:rPr>
            </w:pPr>
            <w:r>
              <w:rPr>
                <w:rFonts w:ascii="Arial" w:eastAsia="Arial" w:hAnsi="Arial" w:cs="Arial"/>
                <w:sz w:val="20"/>
                <w:szCs w:val="20"/>
              </w:rPr>
              <w:t>Accrued expenses and other current liabilities</w:t>
            </w:r>
          </w:p>
        </w:tc>
        <w:tc>
          <w:tcPr>
            <w:tcW w:w="280" w:type="dxa"/>
            <w:shd w:val="clear" w:color="auto" w:fill="CCEEFF"/>
            <w:vAlign w:val="bottom"/>
          </w:tcPr>
          <w:p w:rsidR="000728AD" w:rsidRDefault="000728AD">
            <w:pPr>
              <w:rPr>
                <w:sz w:val="21"/>
                <w:szCs w:val="21"/>
              </w:rPr>
            </w:pPr>
          </w:p>
        </w:tc>
        <w:tc>
          <w:tcPr>
            <w:tcW w:w="1240" w:type="dxa"/>
            <w:shd w:val="clear" w:color="auto" w:fill="CCEEFF"/>
            <w:vAlign w:val="bottom"/>
          </w:tcPr>
          <w:p w:rsidR="000728AD" w:rsidRDefault="000561BE">
            <w:pPr>
              <w:jc w:val="right"/>
              <w:rPr>
                <w:sz w:val="20"/>
                <w:szCs w:val="20"/>
              </w:rPr>
            </w:pPr>
            <w:r>
              <w:rPr>
                <w:rFonts w:ascii="Arial" w:eastAsia="Arial" w:hAnsi="Arial" w:cs="Arial"/>
                <w:sz w:val="20"/>
                <w:szCs w:val="20"/>
              </w:rPr>
              <w:t>3,954</w:t>
            </w:r>
          </w:p>
        </w:tc>
        <w:tc>
          <w:tcPr>
            <w:tcW w:w="120" w:type="dxa"/>
            <w:shd w:val="clear" w:color="auto" w:fill="CCEEFF"/>
            <w:vAlign w:val="bottom"/>
          </w:tcPr>
          <w:p w:rsidR="000728AD" w:rsidRDefault="000728AD">
            <w:pPr>
              <w:rPr>
                <w:sz w:val="21"/>
                <w:szCs w:val="21"/>
              </w:rPr>
            </w:pPr>
          </w:p>
        </w:tc>
        <w:tc>
          <w:tcPr>
            <w:tcW w:w="200" w:type="dxa"/>
            <w:shd w:val="clear" w:color="auto" w:fill="CCEEFF"/>
            <w:vAlign w:val="bottom"/>
          </w:tcPr>
          <w:p w:rsidR="000728AD" w:rsidRDefault="000728AD">
            <w:pPr>
              <w:rPr>
                <w:sz w:val="21"/>
                <w:szCs w:val="21"/>
              </w:rPr>
            </w:pPr>
          </w:p>
        </w:tc>
        <w:tc>
          <w:tcPr>
            <w:tcW w:w="1320" w:type="dxa"/>
            <w:shd w:val="clear" w:color="auto" w:fill="CCEEFF"/>
            <w:vAlign w:val="bottom"/>
          </w:tcPr>
          <w:p w:rsidR="000728AD" w:rsidRDefault="000561BE">
            <w:pPr>
              <w:jc w:val="right"/>
              <w:rPr>
                <w:sz w:val="20"/>
                <w:szCs w:val="20"/>
              </w:rPr>
            </w:pPr>
            <w:r>
              <w:rPr>
                <w:rFonts w:ascii="Arial" w:eastAsia="Arial" w:hAnsi="Arial" w:cs="Arial"/>
                <w:sz w:val="20"/>
                <w:szCs w:val="20"/>
              </w:rPr>
              <w:t>5,494</w:t>
            </w:r>
          </w:p>
        </w:tc>
        <w:tc>
          <w:tcPr>
            <w:tcW w:w="0" w:type="dxa"/>
            <w:vAlign w:val="bottom"/>
          </w:tcPr>
          <w:p w:rsidR="000728AD" w:rsidRDefault="000728AD">
            <w:pPr>
              <w:rPr>
                <w:sz w:val="1"/>
                <w:szCs w:val="1"/>
              </w:rPr>
            </w:pPr>
          </w:p>
        </w:tc>
      </w:tr>
      <w:tr w:rsidR="000728AD">
        <w:trPr>
          <w:trHeight w:val="243"/>
        </w:trPr>
        <w:tc>
          <w:tcPr>
            <w:tcW w:w="8080" w:type="dxa"/>
            <w:tcBorders>
              <w:bottom w:val="single" w:sz="8" w:space="0" w:color="CCEEFF"/>
            </w:tcBorders>
            <w:vAlign w:val="bottom"/>
          </w:tcPr>
          <w:p w:rsidR="000728AD" w:rsidRDefault="000561BE">
            <w:pPr>
              <w:ind w:left="220"/>
              <w:rPr>
                <w:sz w:val="20"/>
                <w:szCs w:val="20"/>
              </w:rPr>
            </w:pPr>
            <w:r>
              <w:rPr>
                <w:rFonts w:ascii="Arial" w:eastAsia="Arial" w:hAnsi="Arial" w:cs="Arial"/>
                <w:sz w:val="20"/>
                <w:szCs w:val="20"/>
              </w:rPr>
              <w:t>Current portion of long-term debt</w:t>
            </w:r>
          </w:p>
        </w:tc>
        <w:tc>
          <w:tcPr>
            <w:tcW w:w="280" w:type="dxa"/>
            <w:tcBorders>
              <w:bottom w:val="single" w:sz="8" w:space="0" w:color="auto"/>
            </w:tcBorders>
            <w:vAlign w:val="bottom"/>
          </w:tcPr>
          <w:p w:rsidR="000728AD" w:rsidRDefault="000728AD">
            <w:pPr>
              <w:rPr>
                <w:sz w:val="21"/>
                <w:szCs w:val="21"/>
              </w:rPr>
            </w:pPr>
          </w:p>
        </w:tc>
        <w:tc>
          <w:tcPr>
            <w:tcW w:w="124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5,778</w:t>
            </w:r>
          </w:p>
        </w:tc>
        <w:tc>
          <w:tcPr>
            <w:tcW w:w="120" w:type="dxa"/>
            <w:tcBorders>
              <w:bottom w:val="single" w:sz="8" w:space="0" w:color="CCEEFF"/>
            </w:tcBorders>
            <w:vAlign w:val="bottom"/>
          </w:tcPr>
          <w:p w:rsidR="000728AD" w:rsidRDefault="000728AD">
            <w:pPr>
              <w:rPr>
                <w:sz w:val="21"/>
                <w:szCs w:val="21"/>
              </w:rPr>
            </w:pPr>
          </w:p>
        </w:tc>
        <w:tc>
          <w:tcPr>
            <w:tcW w:w="200" w:type="dxa"/>
            <w:tcBorders>
              <w:bottom w:val="single" w:sz="8" w:space="0" w:color="auto"/>
            </w:tcBorders>
            <w:vAlign w:val="bottom"/>
          </w:tcPr>
          <w:p w:rsidR="000728AD" w:rsidRDefault="000728AD">
            <w:pPr>
              <w:rPr>
                <w:sz w:val="21"/>
                <w:szCs w:val="21"/>
              </w:rPr>
            </w:pPr>
          </w:p>
        </w:tc>
        <w:tc>
          <w:tcPr>
            <w:tcW w:w="132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w:t>
            </w:r>
          </w:p>
        </w:tc>
        <w:tc>
          <w:tcPr>
            <w:tcW w:w="0" w:type="dxa"/>
            <w:vAlign w:val="bottom"/>
          </w:tcPr>
          <w:p w:rsidR="000728AD" w:rsidRDefault="000728AD">
            <w:pPr>
              <w:rPr>
                <w:sz w:val="1"/>
                <w:szCs w:val="1"/>
              </w:rPr>
            </w:pPr>
          </w:p>
        </w:tc>
      </w:tr>
      <w:tr w:rsidR="000728AD">
        <w:trPr>
          <w:trHeight w:val="237"/>
        </w:trPr>
        <w:tc>
          <w:tcPr>
            <w:tcW w:w="8080" w:type="dxa"/>
            <w:shd w:val="clear" w:color="auto" w:fill="CCEEFF"/>
            <w:vAlign w:val="bottom"/>
          </w:tcPr>
          <w:p w:rsidR="000728AD" w:rsidRDefault="000561BE">
            <w:pPr>
              <w:ind w:left="220"/>
              <w:rPr>
                <w:sz w:val="20"/>
                <w:szCs w:val="20"/>
              </w:rPr>
            </w:pPr>
            <w:r>
              <w:rPr>
                <w:rFonts w:ascii="Arial" w:eastAsia="Arial" w:hAnsi="Arial" w:cs="Arial"/>
                <w:sz w:val="20"/>
                <w:szCs w:val="20"/>
              </w:rPr>
              <w:t>Total current liabilities</w:t>
            </w:r>
          </w:p>
        </w:tc>
        <w:tc>
          <w:tcPr>
            <w:tcW w:w="280" w:type="dxa"/>
            <w:shd w:val="clear" w:color="auto" w:fill="CCEEFF"/>
            <w:vAlign w:val="bottom"/>
          </w:tcPr>
          <w:p w:rsidR="000728AD" w:rsidRDefault="000728AD">
            <w:pPr>
              <w:rPr>
                <w:sz w:val="20"/>
                <w:szCs w:val="20"/>
              </w:rPr>
            </w:pPr>
          </w:p>
        </w:tc>
        <w:tc>
          <w:tcPr>
            <w:tcW w:w="1240" w:type="dxa"/>
            <w:shd w:val="clear" w:color="auto" w:fill="CCEEFF"/>
            <w:vAlign w:val="bottom"/>
          </w:tcPr>
          <w:p w:rsidR="000728AD" w:rsidRDefault="000561BE">
            <w:pPr>
              <w:jc w:val="right"/>
              <w:rPr>
                <w:sz w:val="20"/>
                <w:szCs w:val="20"/>
              </w:rPr>
            </w:pPr>
            <w:r>
              <w:rPr>
                <w:rFonts w:ascii="Arial" w:eastAsia="Arial" w:hAnsi="Arial" w:cs="Arial"/>
                <w:sz w:val="20"/>
                <w:szCs w:val="20"/>
              </w:rPr>
              <w:t>12,034</w:t>
            </w:r>
          </w:p>
        </w:tc>
        <w:tc>
          <w:tcPr>
            <w:tcW w:w="120" w:type="dxa"/>
            <w:shd w:val="clear" w:color="auto" w:fill="CCEEFF"/>
            <w:vAlign w:val="bottom"/>
          </w:tcPr>
          <w:p w:rsidR="000728AD" w:rsidRDefault="000728AD">
            <w:pPr>
              <w:rPr>
                <w:sz w:val="20"/>
                <w:szCs w:val="20"/>
              </w:rPr>
            </w:pPr>
          </w:p>
        </w:tc>
        <w:tc>
          <w:tcPr>
            <w:tcW w:w="200" w:type="dxa"/>
            <w:shd w:val="clear" w:color="auto" w:fill="CCEEFF"/>
            <w:vAlign w:val="bottom"/>
          </w:tcPr>
          <w:p w:rsidR="000728AD" w:rsidRDefault="000728AD">
            <w:pPr>
              <w:rPr>
                <w:sz w:val="20"/>
                <w:szCs w:val="20"/>
              </w:rPr>
            </w:pPr>
          </w:p>
        </w:tc>
        <w:tc>
          <w:tcPr>
            <w:tcW w:w="1320" w:type="dxa"/>
            <w:shd w:val="clear" w:color="auto" w:fill="CCEEFF"/>
            <w:vAlign w:val="bottom"/>
          </w:tcPr>
          <w:p w:rsidR="000728AD" w:rsidRDefault="000561BE">
            <w:pPr>
              <w:jc w:val="right"/>
              <w:rPr>
                <w:sz w:val="20"/>
                <w:szCs w:val="20"/>
              </w:rPr>
            </w:pPr>
            <w:r>
              <w:rPr>
                <w:rFonts w:ascii="Arial" w:eastAsia="Arial" w:hAnsi="Arial" w:cs="Arial"/>
                <w:sz w:val="20"/>
                <w:szCs w:val="20"/>
              </w:rPr>
              <w:t>7,784</w:t>
            </w:r>
          </w:p>
        </w:tc>
        <w:tc>
          <w:tcPr>
            <w:tcW w:w="0" w:type="dxa"/>
            <w:vAlign w:val="bottom"/>
          </w:tcPr>
          <w:p w:rsidR="000728AD" w:rsidRDefault="000728AD">
            <w:pPr>
              <w:rPr>
                <w:sz w:val="1"/>
                <w:szCs w:val="1"/>
              </w:rPr>
            </w:pPr>
          </w:p>
        </w:tc>
      </w:tr>
      <w:tr w:rsidR="000728AD">
        <w:trPr>
          <w:trHeight w:val="243"/>
        </w:trPr>
        <w:tc>
          <w:tcPr>
            <w:tcW w:w="8080" w:type="dxa"/>
            <w:vAlign w:val="bottom"/>
          </w:tcPr>
          <w:p w:rsidR="000728AD" w:rsidRDefault="000561BE">
            <w:pPr>
              <w:ind w:left="20"/>
              <w:rPr>
                <w:sz w:val="20"/>
                <w:szCs w:val="20"/>
              </w:rPr>
            </w:pPr>
            <w:r>
              <w:rPr>
                <w:rFonts w:ascii="Arial" w:eastAsia="Arial" w:hAnsi="Arial" w:cs="Arial"/>
                <w:sz w:val="20"/>
                <w:szCs w:val="20"/>
              </w:rPr>
              <w:t>Long-term debt, net of current portion and discount</w:t>
            </w:r>
          </w:p>
        </w:tc>
        <w:tc>
          <w:tcPr>
            <w:tcW w:w="280" w:type="dxa"/>
            <w:vAlign w:val="bottom"/>
          </w:tcPr>
          <w:p w:rsidR="000728AD" w:rsidRDefault="000728AD">
            <w:pPr>
              <w:rPr>
                <w:sz w:val="21"/>
                <w:szCs w:val="21"/>
              </w:rPr>
            </w:pPr>
          </w:p>
        </w:tc>
        <w:tc>
          <w:tcPr>
            <w:tcW w:w="1240" w:type="dxa"/>
            <w:vAlign w:val="bottom"/>
          </w:tcPr>
          <w:p w:rsidR="000728AD" w:rsidRDefault="000561BE">
            <w:pPr>
              <w:jc w:val="right"/>
              <w:rPr>
                <w:sz w:val="20"/>
                <w:szCs w:val="20"/>
              </w:rPr>
            </w:pPr>
            <w:r>
              <w:rPr>
                <w:rFonts w:ascii="Arial" w:eastAsia="Arial" w:hAnsi="Arial" w:cs="Arial"/>
                <w:sz w:val="20"/>
                <w:szCs w:val="20"/>
              </w:rPr>
              <w:t>19,631</w:t>
            </w:r>
          </w:p>
        </w:tc>
        <w:tc>
          <w:tcPr>
            <w:tcW w:w="120" w:type="dxa"/>
            <w:vAlign w:val="bottom"/>
          </w:tcPr>
          <w:p w:rsidR="000728AD" w:rsidRDefault="000728AD">
            <w:pPr>
              <w:rPr>
                <w:sz w:val="21"/>
                <w:szCs w:val="21"/>
              </w:rPr>
            </w:pPr>
          </w:p>
        </w:tc>
        <w:tc>
          <w:tcPr>
            <w:tcW w:w="200" w:type="dxa"/>
            <w:vAlign w:val="bottom"/>
          </w:tcPr>
          <w:p w:rsidR="000728AD" w:rsidRDefault="000728AD">
            <w:pPr>
              <w:rPr>
                <w:sz w:val="21"/>
                <w:szCs w:val="21"/>
              </w:rPr>
            </w:pPr>
          </w:p>
        </w:tc>
        <w:tc>
          <w:tcPr>
            <w:tcW w:w="1320" w:type="dxa"/>
            <w:vAlign w:val="bottom"/>
          </w:tcPr>
          <w:p w:rsidR="000728AD" w:rsidRDefault="000561BE">
            <w:pPr>
              <w:jc w:val="right"/>
              <w:rPr>
                <w:sz w:val="20"/>
                <w:szCs w:val="20"/>
              </w:rPr>
            </w:pPr>
            <w:r>
              <w:rPr>
                <w:rFonts w:ascii="Arial" w:eastAsia="Arial" w:hAnsi="Arial" w:cs="Arial"/>
                <w:sz w:val="20"/>
                <w:szCs w:val="20"/>
              </w:rPr>
              <w:t>25,222</w:t>
            </w:r>
          </w:p>
        </w:tc>
        <w:tc>
          <w:tcPr>
            <w:tcW w:w="0" w:type="dxa"/>
            <w:vAlign w:val="bottom"/>
          </w:tcPr>
          <w:p w:rsidR="000728AD" w:rsidRDefault="000728AD">
            <w:pPr>
              <w:rPr>
                <w:sz w:val="1"/>
                <w:szCs w:val="1"/>
              </w:rPr>
            </w:pPr>
          </w:p>
        </w:tc>
      </w:tr>
      <w:tr w:rsidR="000728AD">
        <w:trPr>
          <w:trHeight w:val="243"/>
        </w:trPr>
        <w:tc>
          <w:tcPr>
            <w:tcW w:w="8080" w:type="dxa"/>
            <w:shd w:val="clear" w:color="auto" w:fill="CCEEFF"/>
            <w:vAlign w:val="bottom"/>
          </w:tcPr>
          <w:p w:rsidR="000728AD" w:rsidRDefault="000561BE">
            <w:pPr>
              <w:ind w:left="20"/>
              <w:rPr>
                <w:sz w:val="20"/>
                <w:szCs w:val="20"/>
              </w:rPr>
            </w:pPr>
            <w:r>
              <w:rPr>
                <w:rFonts w:ascii="Arial" w:eastAsia="Arial" w:hAnsi="Arial" w:cs="Arial"/>
                <w:sz w:val="20"/>
                <w:szCs w:val="20"/>
              </w:rPr>
              <w:t>Other liabilities</w:t>
            </w:r>
          </w:p>
        </w:tc>
        <w:tc>
          <w:tcPr>
            <w:tcW w:w="280" w:type="dxa"/>
            <w:tcBorders>
              <w:bottom w:val="single" w:sz="8" w:space="0" w:color="auto"/>
            </w:tcBorders>
            <w:shd w:val="clear" w:color="auto" w:fill="CCEEFF"/>
            <w:vAlign w:val="bottom"/>
          </w:tcPr>
          <w:p w:rsidR="000728AD" w:rsidRDefault="000728AD">
            <w:pPr>
              <w:rPr>
                <w:sz w:val="21"/>
                <w:szCs w:val="21"/>
              </w:rPr>
            </w:pPr>
          </w:p>
        </w:tc>
        <w:tc>
          <w:tcPr>
            <w:tcW w:w="124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1,732</w:t>
            </w:r>
          </w:p>
        </w:tc>
        <w:tc>
          <w:tcPr>
            <w:tcW w:w="120" w:type="dxa"/>
            <w:shd w:val="clear" w:color="auto" w:fill="CCEEFF"/>
            <w:vAlign w:val="bottom"/>
          </w:tcPr>
          <w:p w:rsidR="000728AD" w:rsidRDefault="000728AD">
            <w:pPr>
              <w:rPr>
                <w:sz w:val="21"/>
                <w:szCs w:val="21"/>
              </w:rPr>
            </w:pPr>
          </w:p>
        </w:tc>
        <w:tc>
          <w:tcPr>
            <w:tcW w:w="200" w:type="dxa"/>
            <w:tcBorders>
              <w:bottom w:val="single" w:sz="8" w:space="0" w:color="auto"/>
            </w:tcBorders>
            <w:shd w:val="clear" w:color="auto" w:fill="CCEEFF"/>
            <w:vAlign w:val="bottom"/>
          </w:tcPr>
          <w:p w:rsidR="000728AD" w:rsidRDefault="000728AD">
            <w:pPr>
              <w:rPr>
                <w:sz w:val="21"/>
                <w:szCs w:val="21"/>
              </w:rPr>
            </w:pPr>
          </w:p>
        </w:tc>
        <w:tc>
          <w:tcPr>
            <w:tcW w:w="132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1,205</w:t>
            </w:r>
          </w:p>
        </w:tc>
        <w:tc>
          <w:tcPr>
            <w:tcW w:w="0" w:type="dxa"/>
            <w:vAlign w:val="bottom"/>
          </w:tcPr>
          <w:p w:rsidR="000728AD" w:rsidRDefault="000728AD">
            <w:pPr>
              <w:rPr>
                <w:sz w:val="1"/>
                <w:szCs w:val="1"/>
              </w:rPr>
            </w:pPr>
          </w:p>
        </w:tc>
      </w:tr>
      <w:tr w:rsidR="000728AD">
        <w:trPr>
          <w:trHeight w:val="237"/>
        </w:trPr>
        <w:tc>
          <w:tcPr>
            <w:tcW w:w="8080" w:type="dxa"/>
            <w:vAlign w:val="bottom"/>
          </w:tcPr>
          <w:p w:rsidR="000728AD" w:rsidRDefault="000561BE">
            <w:pPr>
              <w:ind w:left="220"/>
              <w:rPr>
                <w:sz w:val="20"/>
                <w:szCs w:val="20"/>
              </w:rPr>
            </w:pPr>
            <w:r>
              <w:rPr>
                <w:rFonts w:ascii="Arial" w:eastAsia="Arial" w:hAnsi="Arial" w:cs="Arial"/>
                <w:sz w:val="20"/>
                <w:szCs w:val="20"/>
              </w:rPr>
              <w:t>Total liabilities</w:t>
            </w:r>
          </w:p>
        </w:tc>
        <w:tc>
          <w:tcPr>
            <w:tcW w:w="280" w:type="dxa"/>
            <w:vAlign w:val="bottom"/>
          </w:tcPr>
          <w:p w:rsidR="000728AD" w:rsidRDefault="000728AD">
            <w:pPr>
              <w:rPr>
                <w:sz w:val="20"/>
                <w:szCs w:val="20"/>
              </w:rPr>
            </w:pPr>
          </w:p>
        </w:tc>
        <w:tc>
          <w:tcPr>
            <w:tcW w:w="1240" w:type="dxa"/>
            <w:vAlign w:val="bottom"/>
          </w:tcPr>
          <w:p w:rsidR="000728AD" w:rsidRDefault="000561BE">
            <w:pPr>
              <w:jc w:val="right"/>
              <w:rPr>
                <w:sz w:val="20"/>
                <w:szCs w:val="20"/>
              </w:rPr>
            </w:pPr>
            <w:r>
              <w:rPr>
                <w:rFonts w:ascii="Arial" w:eastAsia="Arial" w:hAnsi="Arial" w:cs="Arial"/>
                <w:sz w:val="20"/>
                <w:szCs w:val="20"/>
              </w:rPr>
              <w:t>33,397</w:t>
            </w:r>
          </w:p>
        </w:tc>
        <w:tc>
          <w:tcPr>
            <w:tcW w:w="120" w:type="dxa"/>
            <w:vAlign w:val="bottom"/>
          </w:tcPr>
          <w:p w:rsidR="000728AD" w:rsidRDefault="000728AD">
            <w:pPr>
              <w:rPr>
                <w:sz w:val="20"/>
                <w:szCs w:val="20"/>
              </w:rPr>
            </w:pPr>
          </w:p>
        </w:tc>
        <w:tc>
          <w:tcPr>
            <w:tcW w:w="200" w:type="dxa"/>
            <w:vAlign w:val="bottom"/>
          </w:tcPr>
          <w:p w:rsidR="000728AD" w:rsidRDefault="000728AD">
            <w:pPr>
              <w:rPr>
                <w:sz w:val="20"/>
                <w:szCs w:val="20"/>
              </w:rPr>
            </w:pPr>
          </w:p>
        </w:tc>
        <w:tc>
          <w:tcPr>
            <w:tcW w:w="1320" w:type="dxa"/>
            <w:vAlign w:val="bottom"/>
          </w:tcPr>
          <w:p w:rsidR="000728AD" w:rsidRDefault="000561BE">
            <w:pPr>
              <w:jc w:val="right"/>
              <w:rPr>
                <w:sz w:val="20"/>
                <w:szCs w:val="20"/>
              </w:rPr>
            </w:pPr>
            <w:r>
              <w:rPr>
                <w:rFonts w:ascii="Arial" w:eastAsia="Arial" w:hAnsi="Arial" w:cs="Arial"/>
                <w:sz w:val="20"/>
                <w:szCs w:val="20"/>
              </w:rPr>
              <w:t>34,211</w:t>
            </w:r>
          </w:p>
        </w:tc>
        <w:tc>
          <w:tcPr>
            <w:tcW w:w="0" w:type="dxa"/>
            <w:vAlign w:val="bottom"/>
          </w:tcPr>
          <w:p w:rsidR="000728AD" w:rsidRDefault="000728AD">
            <w:pPr>
              <w:rPr>
                <w:sz w:val="1"/>
                <w:szCs w:val="1"/>
              </w:rPr>
            </w:pPr>
          </w:p>
        </w:tc>
      </w:tr>
      <w:tr w:rsidR="000728AD">
        <w:trPr>
          <w:trHeight w:val="243"/>
        </w:trPr>
        <w:tc>
          <w:tcPr>
            <w:tcW w:w="8080" w:type="dxa"/>
            <w:shd w:val="clear" w:color="auto" w:fill="CCEEFF"/>
            <w:vAlign w:val="bottom"/>
          </w:tcPr>
          <w:p w:rsidR="000728AD" w:rsidRDefault="000561BE">
            <w:pPr>
              <w:ind w:left="20"/>
              <w:rPr>
                <w:sz w:val="20"/>
                <w:szCs w:val="20"/>
              </w:rPr>
            </w:pPr>
            <w:r>
              <w:rPr>
                <w:rFonts w:ascii="Arial" w:eastAsia="Arial" w:hAnsi="Arial" w:cs="Arial"/>
                <w:sz w:val="20"/>
                <w:szCs w:val="20"/>
              </w:rPr>
              <w:t>Commitments and contingencies (Note 10)</w:t>
            </w:r>
          </w:p>
        </w:tc>
        <w:tc>
          <w:tcPr>
            <w:tcW w:w="280" w:type="dxa"/>
            <w:shd w:val="clear" w:color="auto" w:fill="CCEEFF"/>
            <w:vAlign w:val="bottom"/>
          </w:tcPr>
          <w:p w:rsidR="000728AD" w:rsidRDefault="000728AD">
            <w:pPr>
              <w:rPr>
                <w:sz w:val="21"/>
                <w:szCs w:val="21"/>
              </w:rPr>
            </w:pPr>
          </w:p>
        </w:tc>
        <w:tc>
          <w:tcPr>
            <w:tcW w:w="1360" w:type="dxa"/>
            <w:gridSpan w:val="2"/>
            <w:shd w:val="clear" w:color="auto" w:fill="CCEEFF"/>
            <w:vAlign w:val="bottom"/>
          </w:tcPr>
          <w:p w:rsidR="000728AD" w:rsidRDefault="000561BE">
            <w:pPr>
              <w:ind w:right="180"/>
              <w:jc w:val="right"/>
              <w:rPr>
                <w:sz w:val="20"/>
                <w:szCs w:val="20"/>
              </w:rPr>
            </w:pPr>
            <w:r>
              <w:rPr>
                <w:rFonts w:ascii="Arial" w:eastAsia="Arial" w:hAnsi="Arial" w:cs="Arial"/>
                <w:sz w:val="20"/>
                <w:szCs w:val="20"/>
              </w:rPr>
              <w:t>—</w:t>
            </w:r>
          </w:p>
        </w:tc>
        <w:tc>
          <w:tcPr>
            <w:tcW w:w="200" w:type="dxa"/>
            <w:shd w:val="clear" w:color="auto" w:fill="CCEEFF"/>
            <w:vAlign w:val="bottom"/>
          </w:tcPr>
          <w:p w:rsidR="000728AD" w:rsidRDefault="000728AD">
            <w:pPr>
              <w:rPr>
                <w:sz w:val="21"/>
                <w:szCs w:val="21"/>
              </w:rPr>
            </w:pPr>
          </w:p>
        </w:tc>
        <w:tc>
          <w:tcPr>
            <w:tcW w:w="1320" w:type="dxa"/>
            <w:shd w:val="clear" w:color="auto" w:fill="CCEEFF"/>
            <w:vAlign w:val="bottom"/>
          </w:tcPr>
          <w:p w:rsidR="000728AD" w:rsidRDefault="000561BE">
            <w:pPr>
              <w:jc w:val="right"/>
              <w:rPr>
                <w:sz w:val="20"/>
                <w:szCs w:val="20"/>
              </w:rPr>
            </w:pPr>
            <w:r>
              <w:rPr>
                <w:rFonts w:ascii="Arial" w:eastAsia="Arial" w:hAnsi="Arial" w:cs="Arial"/>
                <w:sz w:val="20"/>
                <w:szCs w:val="20"/>
              </w:rPr>
              <w:t>—</w:t>
            </w:r>
          </w:p>
        </w:tc>
        <w:tc>
          <w:tcPr>
            <w:tcW w:w="0" w:type="dxa"/>
            <w:vAlign w:val="bottom"/>
          </w:tcPr>
          <w:p w:rsidR="000728AD" w:rsidRDefault="000728AD">
            <w:pPr>
              <w:rPr>
                <w:sz w:val="1"/>
                <w:szCs w:val="1"/>
              </w:rPr>
            </w:pPr>
          </w:p>
        </w:tc>
      </w:tr>
      <w:tr w:rsidR="000728AD">
        <w:trPr>
          <w:trHeight w:val="243"/>
        </w:trPr>
        <w:tc>
          <w:tcPr>
            <w:tcW w:w="8080" w:type="dxa"/>
            <w:vAlign w:val="bottom"/>
          </w:tcPr>
          <w:p w:rsidR="000728AD" w:rsidRDefault="000561BE">
            <w:pPr>
              <w:ind w:left="20"/>
              <w:rPr>
                <w:sz w:val="20"/>
                <w:szCs w:val="20"/>
              </w:rPr>
            </w:pPr>
            <w:r>
              <w:rPr>
                <w:rFonts w:ascii="Arial" w:eastAsia="Arial" w:hAnsi="Arial" w:cs="Arial"/>
                <w:sz w:val="20"/>
                <w:szCs w:val="20"/>
              </w:rPr>
              <w:t>Stockholders' equity:</w:t>
            </w:r>
          </w:p>
        </w:tc>
        <w:tc>
          <w:tcPr>
            <w:tcW w:w="280" w:type="dxa"/>
            <w:vAlign w:val="bottom"/>
          </w:tcPr>
          <w:p w:rsidR="000728AD" w:rsidRDefault="000728AD">
            <w:pPr>
              <w:rPr>
                <w:sz w:val="21"/>
                <w:szCs w:val="21"/>
              </w:rPr>
            </w:pPr>
          </w:p>
        </w:tc>
        <w:tc>
          <w:tcPr>
            <w:tcW w:w="1240" w:type="dxa"/>
            <w:vAlign w:val="bottom"/>
          </w:tcPr>
          <w:p w:rsidR="000728AD" w:rsidRDefault="000728AD">
            <w:pPr>
              <w:rPr>
                <w:sz w:val="21"/>
                <w:szCs w:val="21"/>
              </w:rPr>
            </w:pPr>
          </w:p>
        </w:tc>
        <w:tc>
          <w:tcPr>
            <w:tcW w:w="120" w:type="dxa"/>
            <w:vAlign w:val="bottom"/>
          </w:tcPr>
          <w:p w:rsidR="000728AD" w:rsidRDefault="000728AD">
            <w:pPr>
              <w:rPr>
                <w:sz w:val="21"/>
                <w:szCs w:val="21"/>
              </w:rPr>
            </w:pPr>
          </w:p>
        </w:tc>
        <w:tc>
          <w:tcPr>
            <w:tcW w:w="200" w:type="dxa"/>
            <w:vAlign w:val="bottom"/>
          </w:tcPr>
          <w:p w:rsidR="000728AD" w:rsidRDefault="000728AD">
            <w:pPr>
              <w:rPr>
                <w:sz w:val="21"/>
                <w:szCs w:val="21"/>
              </w:rPr>
            </w:pPr>
          </w:p>
        </w:tc>
        <w:tc>
          <w:tcPr>
            <w:tcW w:w="1320" w:type="dxa"/>
            <w:vAlign w:val="bottom"/>
          </w:tcPr>
          <w:p w:rsidR="000728AD" w:rsidRDefault="000728AD">
            <w:pPr>
              <w:rPr>
                <w:sz w:val="21"/>
                <w:szCs w:val="21"/>
              </w:rPr>
            </w:pPr>
          </w:p>
        </w:tc>
        <w:tc>
          <w:tcPr>
            <w:tcW w:w="0" w:type="dxa"/>
            <w:vAlign w:val="bottom"/>
          </w:tcPr>
          <w:p w:rsidR="000728AD" w:rsidRDefault="000728AD">
            <w:pPr>
              <w:rPr>
                <w:sz w:val="1"/>
                <w:szCs w:val="1"/>
              </w:rPr>
            </w:pPr>
          </w:p>
        </w:tc>
      </w:tr>
      <w:tr w:rsidR="000728AD">
        <w:trPr>
          <w:trHeight w:val="240"/>
        </w:trPr>
        <w:tc>
          <w:tcPr>
            <w:tcW w:w="8080" w:type="dxa"/>
            <w:shd w:val="clear" w:color="auto" w:fill="CCEEFF"/>
            <w:vAlign w:val="bottom"/>
          </w:tcPr>
          <w:p w:rsidR="000728AD" w:rsidRDefault="000561BE">
            <w:pPr>
              <w:ind w:left="180"/>
              <w:rPr>
                <w:sz w:val="20"/>
                <w:szCs w:val="20"/>
              </w:rPr>
            </w:pPr>
            <w:r>
              <w:rPr>
                <w:rFonts w:ascii="Arial" w:eastAsia="Arial" w:hAnsi="Arial" w:cs="Arial"/>
                <w:w w:val="94"/>
                <w:sz w:val="20"/>
                <w:szCs w:val="20"/>
              </w:rPr>
              <w:t>Common stock, $0.001 par value; 150,000,000 shares authorized, 38,274,269 and 38,022,273</w:t>
            </w:r>
          </w:p>
        </w:tc>
        <w:tc>
          <w:tcPr>
            <w:tcW w:w="280" w:type="dxa"/>
            <w:shd w:val="clear" w:color="auto" w:fill="CCEEFF"/>
            <w:vAlign w:val="bottom"/>
          </w:tcPr>
          <w:p w:rsidR="000728AD" w:rsidRDefault="000728AD">
            <w:pPr>
              <w:rPr>
                <w:sz w:val="20"/>
                <w:szCs w:val="20"/>
              </w:rPr>
            </w:pPr>
          </w:p>
        </w:tc>
        <w:tc>
          <w:tcPr>
            <w:tcW w:w="1240" w:type="dxa"/>
            <w:shd w:val="clear" w:color="auto" w:fill="CCEEFF"/>
            <w:vAlign w:val="bottom"/>
          </w:tcPr>
          <w:p w:rsidR="000728AD" w:rsidRDefault="000728AD">
            <w:pPr>
              <w:rPr>
                <w:sz w:val="20"/>
                <w:szCs w:val="20"/>
              </w:rPr>
            </w:pPr>
          </w:p>
        </w:tc>
        <w:tc>
          <w:tcPr>
            <w:tcW w:w="120" w:type="dxa"/>
            <w:shd w:val="clear" w:color="auto" w:fill="CCEEFF"/>
            <w:vAlign w:val="bottom"/>
          </w:tcPr>
          <w:p w:rsidR="000728AD" w:rsidRDefault="000728AD">
            <w:pPr>
              <w:rPr>
                <w:sz w:val="20"/>
                <w:szCs w:val="20"/>
              </w:rPr>
            </w:pPr>
          </w:p>
        </w:tc>
        <w:tc>
          <w:tcPr>
            <w:tcW w:w="200" w:type="dxa"/>
            <w:shd w:val="clear" w:color="auto" w:fill="CCEEFF"/>
            <w:vAlign w:val="bottom"/>
          </w:tcPr>
          <w:p w:rsidR="000728AD" w:rsidRDefault="000728AD">
            <w:pPr>
              <w:rPr>
                <w:sz w:val="20"/>
                <w:szCs w:val="20"/>
              </w:rPr>
            </w:pPr>
          </w:p>
        </w:tc>
        <w:tc>
          <w:tcPr>
            <w:tcW w:w="1320" w:type="dxa"/>
            <w:shd w:val="clear" w:color="auto" w:fill="CCEEFF"/>
            <w:vAlign w:val="bottom"/>
          </w:tcPr>
          <w:p w:rsidR="000728AD" w:rsidRDefault="000728AD">
            <w:pPr>
              <w:rPr>
                <w:sz w:val="20"/>
                <w:szCs w:val="20"/>
              </w:rPr>
            </w:pPr>
          </w:p>
        </w:tc>
        <w:tc>
          <w:tcPr>
            <w:tcW w:w="0" w:type="dxa"/>
            <w:vAlign w:val="bottom"/>
          </w:tcPr>
          <w:p w:rsidR="000728AD" w:rsidRDefault="000728AD">
            <w:pPr>
              <w:rPr>
                <w:sz w:val="1"/>
                <w:szCs w:val="1"/>
              </w:rPr>
            </w:pPr>
          </w:p>
        </w:tc>
      </w:tr>
      <w:tr w:rsidR="000728AD">
        <w:trPr>
          <w:trHeight w:val="230"/>
        </w:trPr>
        <w:tc>
          <w:tcPr>
            <w:tcW w:w="8080" w:type="dxa"/>
            <w:shd w:val="clear" w:color="auto" w:fill="CCEEFF"/>
            <w:vAlign w:val="bottom"/>
          </w:tcPr>
          <w:p w:rsidR="000728AD" w:rsidRDefault="000561BE">
            <w:pPr>
              <w:ind w:left="360"/>
              <w:rPr>
                <w:sz w:val="20"/>
                <w:szCs w:val="20"/>
              </w:rPr>
            </w:pPr>
            <w:r>
              <w:rPr>
                <w:rFonts w:ascii="Arial" w:eastAsia="Arial" w:hAnsi="Arial" w:cs="Arial"/>
                <w:w w:val="98"/>
                <w:sz w:val="20"/>
                <w:szCs w:val="20"/>
              </w:rPr>
              <w:t>shares issued and 37,855,288 and 37,603,292 shares outstanding at June 30, 2021 and</w:t>
            </w:r>
          </w:p>
        </w:tc>
        <w:tc>
          <w:tcPr>
            <w:tcW w:w="280" w:type="dxa"/>
            <w:shd w:val="clear" w:color="auto" w:fill="CCEEFF"/>
            <w:vAlign w:val="bottom"/>
          </w:tcPr>
          <w:p w:rsidR="000728AD" w:rsidRDefault="000728AD">
            <w:pPr>
              <w:rPr>
                <w:sz w:val="19"/>
                <w:szCs w:val="19"/>
              </w:rPr>
            </w:pPr>
          </w:p>
        </w:tc>
        <w:tc>
          <w:tcPr>
            <w:tcW w:w="1240" w:type="dxa"/>
            <w:shd w:val="clear" w:color="auto" w:fill="CCEEFF"/>
            <w:vAlign w:val="bottom"/>
          </w:tcPr>
          <w:p w:rsidR="000728AD" w:rsidRDefault="000728AD">
            <w:pPr>
              <w:rPr>
                <w:sz w:val="19"/>
                <w:szCs w:val="19"/>
              </w:rPr>
            </w:pPr>
          </w:p>
        </w:tc>
        <w:tc>
          <w:tcPr>
            <w:tcW w:w="120" w:type="dxa"/>
            <w:shd w:val="clear" w:color="auto" w:fill="CCEEFF"/>
            <w:vAlign w:val="bottom"/>
          </w:tcPr>
          <w:p w:rsidR="000728AD" w:rsidRDefault="000728AD">
            <w:pPr>
              <w:rPr>
                <w:sz w:val="19"/>
                <w:szCs w:val="19"/>
              </w:rPr>
            </w:pPr>
          </w:p>
        </w:tc>
        <w:tc>
          <w:tcPr>
            <w:tcW w:w="200" w:type="dxa"/>
            <w:shd w:val="clear" w:color="auto" w:fill="CCEEFF"/>
            <w:vAlign w:val="bottom"/>
          </w:tcPr>
          <w:p w:rsidR="000728AD" w:rsidRDefault="000728AD">
            <w:pPr>
              <w:rPr>
                <w:sz w:val="19"/>
                <w:szCs w:val="19"/>
              </w:rPr>
            </w:pPr>
          </w:p>
        </w:tc>
        <w:tc>
          <w:tcPr>
            <w:tcW w:w="1320" w:type="dxa"/>
            <w:shd w:val="clear" w:color="auto" w:fill="CCEEFF"/>
            <w:vAlign w:val="bottom"/>
          </w:tcPr>
          <w:p w:rsidR="000728AD" w:rsidRDefault="000728AD">
            <w:pPr>
              <w:rPr>
                <w:sz w:val="19"/>
                <w:szCs w:val="19"/>
              </w:rPr>
            </w:pPr>
          </w:p>
        </w:tc>
        <w:tc>
          <w:tcPr>
            <w:tcW w:w="0" w:type="dxa"/>
            <w:vAlign w:val="bottom"/>
          </w:tcPr>
          <w:p w:rsidR="000728AD" w:rsidRDefault="000728AD">
            <w:pPr>
              <w:rPr>
                <w:sz w:val="1"/>
                <w:szCs w:val="1"/>
              </w:rPr>
            </w:pPr>
          </w:p>
        </w:tc>
      </w:tr>
      <w:tr w:rsidR="000728AD">
        <w:trPr>
          <w:trHeight w:val="273"/>
        </w:trPr>
        <w:tc>
          <w:tcPr>
            <w:tcW w:w="8080" w:type="dxa"/>
            <w:shd w:val="clear" w:color="auto" w:fill="CCEEFF"/>
            <w:vAlign w:val="bottom"/>
          </w:tcPr>
          <w:p w:rsidR="000728AD" w:rsidRDefault="000561BE">
            <w:pPr>
              <w:ind w:left="360"/>
              <w:rPr>
                <w:sz w:val="20"/>
                <w:szCs w:val="20"/>
              </w:rPr>
            </w:pPr>
            <w:r>
              <w:rPr>
                <w:rFonts w:ascii="Arial" w:eastAsia="Arial" w:hAnsi="Arial" w:cs="Arial"/>
                <w:sz w:val="20"/>
                <w:szCs w:val="20"/>
              </w:rPr>
              <w:t xml:space="preserve">December 31, 2020, </w:t>
            </w:r>
            <w:r>
              <w:rPr>
                <w:rFonts w:ascii="Arial" w:eastAsia="Arial" w:hAnsi="Arial" w:cs="Arial"/>
                <w:sz w:val="20"/>
                <w:szCs w:val="20"/>
              </w:rPr>
              <w:t>respectively</w:t>
            </w:r>
          </w:p>
        </w:tc>
        <w:tc>
          <w:tcPr>
            <w:tcW w:w="280" w:type="dxa"/>
            <w:shd w:val="clear" w:color="auto" w:fill="CCEEFF"/>
            <w:vAlign w:val="bottom"/>
          </w:tcPr>
          <w:p w:rsidR="000728AD" w:rsidRDefault="000728AD">
            <w:pPr>
              <w:rPr>
                <w:sz w:val="23"/>
                <w:szCs w:val="23"/>
              </w:rPr>
            </w:pPr>
          </w:p>
        </w:tc>
        <w:tc>
          <w:tcPr>
            <w:tcW w:w="1240" w:type="dxa"/>
            <w:shd w:val="clear" w:color="auto" w:fill="CCEEFF"/>
            <w:vAlign w:val="bottom"/>
          </w:tcPr>
          <w:p w:rsidR="000728AD" w:rsidRDefault="000561BE">
            <w:pPr>
              <w:jc w:val="right"/>
              <w:rPr>
                <w:sz w:val="20"/>
                <w:szCs w:val="20"/>
              </w:rPr>
            </w:pPr>
            <w:r>
              <w:rPr>
                <w:rFonts w:ascii="Arial" w:eastAsia="Arial" w:hAnsi="Arial" w:cs="Arial"/>
                <w:sz w:val="20"/>
                <w:szCs w:val="20"/>
              </w:rPr>
              <w:t>39</w:t>
            </w:r>
          </w:p>
        </w:tc>
        <w:tc>
          <w:tcPr>
            <w:tcW w:w="120" w:type="dxa"/>
            <w:shd w:val="clear" w:color="auto" w:fill="CCEEFF"/>
            <w:vAlign w:val="bottom"/>
          </w:tcPr>
          <w:p w:rsidR="000728AD" w:rsidRDefault="000728AD">
            <w:pPr>
              <w:rPr>
                <w:sz w:val="23"/>
                <w:szCs w:val="23"/>
              </w:rPr>
            </w:pPr>
          </w:p>
        </w:tc>
        <w:tc>
          <w:tcPr>
            <w:tcW w:w="200" w:type="dxa"/>
            <w:shd w:val="clear" w:color="auto" w:fill="CCEEFF"/>
            <w:vAlign w:val="bottom"/>
          </w:tcPr>
          <w:p w:rsidR="000728AD" w:rsidRDefault="000728AD">
            <w:pPr>
              <w:rPr>
                <w:sz w:val="23"/>
                <w:szCs w:val="23"/>
              </w:rPr>
            </w:pPr>
          </w:p>
        </w:tc>
        <w:tc>
          <w:tcPr>
            <w:tcW w:w="1320" w:type="dxa"/>
            <w:shd w:val="clear" w:color="auto" w:fill="CCEEFF"/>
            <w:vAlign w:val="bottom"/>
          </w:tcPr>
          <w:p w:rsidR="000728AD" w:rsidRDefault="000561BE">
            <w:pPr>
              <w:jc w:val="right"/>
              <w:rPr>
                <w:sz w:val="20"/>
                <w:szCs w:val="20"/>
              </w:rPr>
            </w:pPr>
            <w:r>
              <w:rPr>
                <w:rFonts w:ascii="Arial" w:eastAsia="Arial" w:hAnsi="Arial" w:cs="Arial"/>
                <w:sz w:val="20"/>
                <w:szCs w:val="20"/>
              </w:rPr>
              <w:t>38</w:t>
            </w:r>
          </w:p>
        </w:tc>
        <w:tc>
          <w:tcPr>
            <w:tcW w:w="0" w:type="dxa"/>
            <w:vAlign w:val="bottom"/>
          </w:tcPr>
          <w:p w:rsidR="000728AD" w:rsidRDefault="000728AD">
            <w:pPr>
              <w:rPr>
                <w:sz w:val="1"/>
                <w:szCs w:val="1"/>
              </w:rPr>
            </w:pPr>
          </w:p>
        </w:tc>
      </w:tr>
      <w:tr w:rsidR="000728AD">
        <w:trPr>
          <w:trHeight w:val="243"/>
        </w:trPr>
        <w:tc>
          <w:tcPr>
            <w:tcW w:w="8080" w:type="dxa"/>
            <w:vAlign w:val="bottom"/>
          </w:tcPr>
          <w:p w:rsidR="000728AD" w:rsidRDefault="000561BE">
            <w:pPr>
              <w:ind w:left="220"/>
              <w:rPr>
                <w:sz w:val="20"/>
                <w:szCs w:val="20"/>
              </w:rPr>
            </w:pPr>
            <w:r>
              <w:rPr>
                <w:rFonts w:ascii="Arial" w:eastAsia="Arial" w:hAnsi="Arial" w:cs="Arial"/>
                <w:sz w:val="20"/>
                <w:szCs w:val="20"/>
              </w:rPr>
              <w:t>Additional paid-in capital</w:t>
            </w:r>
          </w:p>
        </w:tc>
        <w:tc>
          <w:tcPr>
            <w:tcW w:w="280" w:type="dxa"/>
            <w:vAlign w:val="bottom"/>
          </w:tcPr>
          <w:p w:rsidR="000728AD" w:rsidRDefault="000728AD">
            <w:pPr>
              <w:rPr>
                <w:sz w:val="21"/>
                <w:szCs w:val="21"/>
              </w:rPr>
            </w:pPr>
          </w:p>
        </w:tc>
        <w:tc>
          <w:tcPr>
            <w:tcW w:w="1240" w:type="dxa"/>
            <w:vAlign w:val="bottom"/>
          </w:tcPr>
          <w:p w:rsidR="000728AD" w:rsidRDefault="000561BE">
            <w:pPr>
              <w:jc w:val="right"/>
              <w:rPr>
                <w:sz w:val="20"/>
                <w:szCs w:val="20"/>
              </w:rPr>
            </w:pPr>
            <w:r>
              <w:rPr>
                <w:rFonts w:ascii="Arial" w:eastAsia="Arial" w:hAnsi="Arial" w:cs="Arial"/>
                <w:sz w:val="20"/>
                <w:szCs w:val="20"/>
              </w:rPr>
              <w:t>351,794</w:t>
            </w:r>
          </w:p>
        </w:tc>
        <w:tc>
          <w:tcPr>
            <w:tcW w:w="120" w:type="dxa"/>
            <w:vAlign w:val="bottom"/>
          </w:tcPr>
          <w:p w:rsidR="000728AD" w:rsidRDefault="000728AD">
            <w:pPr>
              <w:rPr>
                <w:sz w:val="21"/>
                <w:szCs w:val="21"/>
              </w:rPr>
            </w:pPr>
          </w:p>
        </w:tc>
        <w:tc>
          <w:tcPr>
            <w:tcW w:w="200" w:type="dxa"/>
            <w:vAlign w:val="bottom"/>
          </w:tcPr>
          <w:p w:rsidR="000728AD" w:rsidRDefault="000728AD">
            <w:pPr>
              <w:rPr>
                <w:sz w:val="21"/>
                <w:szCs w:val="21"/>
              </w:rPr>
            </w:pPr>
          </w:p>
        </w:tc>
        <w:tc>
          <w:tcPr>
            <w:tcW w:w="1320" w:type="dxa"/>
            <w:vAlign w:val="bottom"/>
          </w:tcPr>
          <w:p w:rsidR="000728AD" w:rsidRDefault="000561BE">
            <w:pPr>
              <w:jc w:val="right"/>
              <w:rPr>
                <w:sz w:val="20"/>
                <w:szCs w:val="20"/>
              </w:rPr>
            </w:pPr>
            <w:r>
              <w:rPr>
                <w:rFonts w:ascii="Arial" w:eastAsia="Arial" w:hAnsi="Arial" w:cs="Arial"/>
                <w:sz w:val="20"/>
                <w:szCs w:val="20"/>
              </w:rPr>
              <w:t>347,990</w:t>
            </w:r>
          </w:p>
        </w:tc>
        <w:tc>
          <w:tcPr>
            <w:tcW w:w="0" w:type="dxa"/>
            <w:vAlign w:val="bottom"/>
          </w:tcPr>
          <w:p w:rsidR="000728AD" w:rsidRDefault="000728AD">
            <w:pPr>
              <w:rPr>
                <w:sz w:val="1"/>
                <w:szCs w:val="1"/>
              </w:rPr>
            </w:pPr>
          </w:p>
        </w:tc>
      </w:tr>
      <w:tr w:rsidR="000728AD">
        <w:trPr>
          <w:trHeight w:val="243"/>
        </w:trPr>
        <w:tc>
          <w:tcPr>
            <w:tcW w:w="8080" w:type="dxa"/>
            <w:shd w:val="clear" w:color="auto" w:fill="CCEEFF"/>
            <w:vAlign w:val="bottom"/>
          </w:tcPr>
          <w:p w:rsidR="000728AD" w:rsidRDefault="000561BE">
            <w:pPr>
              <w:ind w:left="220"/>
              <w:rPr>
                <w:sz w:val="20"/>
                <w:szCs w:val="20"/>
              </w:rPr>
            </w:pPr>
            <w:r>
              <w:rPr>
                <w:rFonts w:ascii="Arial" w:eastAsia="Arial" w:hAnsi="Arial" w:cs="Arial"/>
                <w:sz w:val="20"/>
                <w:szCs w:val="20"/>
              </w:rPr>
              <w:t>Treasury stock, 418,981 shares at cost</w:t>
            </w:r>
          </w:p>
        </w:tc>
        <w:tc>
          <w:tcPr>
            <w:tcW w:w="280" w:type="dxa"/>
            <w:shd w:val="clear" w:color="auto" w:fill="CCEEFF"/>
            <w:vAlign w:val="bottom"/>
          </w:tcPr>
          <w:p w:rsidR="000728AD" w:rsidRDefault="000728AD">
            <w:pPr>
              <w:rPr>
                <w:sz w:val="21"/>
                <w:szCs w:val="21"/>
              </w:rPr>
            </w:pPr>
          </w:p>
        </w:tc>
        <w:tc>
          <w:tcPr>
            <w:tcW w:w="1360" w:type="dxa"/>
            <w:gridSpan w:val="2"/>
            <w:shd w:val="clear" w:color="auto" w:fill="CCEEFF"/>
            <w:vAlign w:val="bottom"/>
          </w:tcPr>
          <w:p w:rsidR="000728AD" w:rsidRDefault="000561BE">
            <w:pPr>
              <w:ind w:right="180"/>
              <w:jc w:val="right"/>
              <w:rPr>
                <w:sz w:val="20"/>
                <w:szCs w:val="20"/>
              </w:rPr>
            </w:pPr>
            <w:r>
              <w:rPr>
                <w:rFonts w:ascii="Arial" w:eastAsia="Arial" w:hAnsi="Arial" w:cs="Arial"/>
                <w:sz w:val="20"/>
                <w:szCs w:val="20"/>
              </w:rPr>
              <w:t>—</w:t>
            </w:r>
          </w:p>
        </w:tc>
        <w:tc>
          <w:tcPr>
            <w:tcW w:w="200" w:type="dxa"/>
            <w:shd w:val="clear" w:color="auto" w:fill="CCEEFF"/>
            <w:vAlign w:val="bottom"/>
          </w:tcPr>
          <w:p w:rsidR="000728AD" w:rsidRDefault="000728AD">
            <w:pPr>
              <w:rPr>
                <w:sz w:val="21"/>
                <w:szCs w:val="21"/>
              </w:rPr>
            </w:pPr>
          </w:p>
        </w:tc>
        <w:tc>
          <w:tcPr>
            <w:tcW w:w="1320" w:type="dxa"/>
            <w:shd w:val="clear" w:color="auto" w:fill="CCEEFF"/>
            <w:vAlign w:val="bottom"/>
          </w:tcPr>
          <w:p w:rsidR="000728AD" w:rsidRDefault="000561BE">
            <w:pPr>
              <w:jc w:val="right"/>
              <w:rPr>
                <w:sz w:val="20"/>
                <w:szCs w:val="20"/>
              </w:rPr>
            </w:pPr>
            <w:r>
              <w:rPr>
                <w:rFonts w:ascii="Arial" w:eastAsia="Arial" w:hAnsi="Arial" w:cs="Arial"/>
                <w:sz w:val="20"/>
                <w:szCs w:val="20"/>
              </w:rPr>
              <w:t>—</w:t>
            </w:r>
          </w:p>
        </w:tc>
        <w:tc>
          <w:tcPr>
            <w:tcW w:w="0" w:type="dxa"/>
            <w:vAlign w:val="bottom"/>
          </w:tcPr>
          <w:p w:rsidR="000728AD" w:rsidRDefault="000728AD">
            <w:pPr>
              <w:rPr>
                <w:sz w:val="1"/>
                <w:szCs w:val="1"/>
              </w:rPr>
            </w:pPr>
          </w:p>
        </w:tc>
      </w:tr>
      <w:tr w:rsidR="000728AD">
        <w:trPr>
          <w:trHeight w:val="243"/>
        </w:trPr>
        <w:tc>
          <w:tcPr>
            <w:tcW w:w="8080" w:type="dxa"/>
            <w:vAlign w:val="bottom"/>
          </w:tcPr>
          <w:p w:rsidR="000728AD" w:rsidRDefault="000561BE">
            <w:pPr>
              <w:ind w:left="220"/>
              <w:rPr>
                <w:sz w:val="20"/>
                <w:szCs w:val="20"/>
              </w:rPr>
            </w:pPr>
            <w:r>
              <w:rPr>
                <w:rFonts w:ascii="Arial" w:eastAsia="Arial" w:hAnsi="Arial" w:cs="Arial"/>
                <w:sz w:val="20"/>
                <w:szCs w:val="20"/>
              </w:rPr>
              <w:t>Accumulated other comprehensive loss</w:t>
            </w:r>
          </w:p>
        </w:tc>
        <w:tc>
          <w:tcPr>
            <w:tcW w:w="280" w:type="dxa"/>
            <w:vAlign w:val="bottom"/>
          </w:tcPr>
          <w:p w:rsidR="000728AD" w:rsidRDefault="000728AD">
            <w:pPr>
              <w:rPr>
                <w:sz w:val="21"/>
                <w:szCs w:val="21"/>
              </w:rPr>
            </w:pPr>
          </w:p>
        </w:tc>
        <w:tc>
          <w:tcPr>
            <w:tcW w:w="1240" w:type="dxa"/>
            <w:vAlign w:val="bottom"/>
          </w:tcPr>
          <w:p w:rsidR="000728AD" w:rsidRDefault="000561BE">
            <w:pPr>
              <w:jc w:val="right"/>
              <w:rPr>
                <w:sz w:val="20"/>
                <w:szCs w:val="20"/>
              </w:rPr>
            </w:pPr>
            <w:r>
              <w:rPr>
                <w:rFonts w:ascii="Arial" w:eastAsia="Arial" w:hAnsi="Arial" w:cs="Arial"/>
                <w:sz w:val="20"/>
                <w:szCs w:val="20"/>
              </w:rPr>
              <w:t>(9)</w:t>
            </w:r>
          </w:p>
        </w:tc>
        <w:tc>
          <w:tcPr>
            <w:tcW w:w="120" w:type="dxa"/>
            <w:vAlign w:val="bottom"/>
          </w:tcPr>
          <w:p w:rsidR="000728AD" w:rsidRDefault="000728AD">
            <w:pPr>
              <w:rPr>
                <w:sz w:val="21"/>
                <w:szCs w:val="21"/>
              </w:rPr>
            </w:pPr>
          </w:p>
        </w:tc>
        <w:tc>
          <w:tcPr>
            <w:tcW w:w="200" w:type="dxa"/>
            <w:vAlign w:val="bottom"/>
          </w:tcPr>
          <w:p w:rsidR="000728AD" w:rsidRDefault="000728AD">
            <w:pPr>
              <w:rPr>
                <w:sz w:val="21"/>
                <w:szCs w:val="21"/>
              </w:rPr>
            </w:pPr>
          </w:p>
        </w:tc>
        <w:tc>
          <w:tcPr>
            <w:tcW w:w="1320" w:type="dxa"/>
            <w:vAlign w:val="bottom"/>
          </w:tcPr>
          <w:p w:rsidR="000728AD" w:rsidRDefault="000561BE">
            <w:pPr>
              <w:jc w:val="right"/>
              <w:rPr>
                <w:sz w:val="20"/>
                <w:szCs w:val="20"/>
              </w:rPr>
            </w:pPr>
            <w:r>
              <w:rPr>
                <w:rFonts w:ascii="Arial" w:eastAsia="Arial" w:hAnsi="Arial" w:cs="Arial"/>
                <w:sz w:val="20"/>
                <w:szCs w:val="20"/>
              </w:rPr>
              <w:t>(34)</w:t>
            </w:r>
          </w:p>
        </w:tc>
        <w:tc>
          <w:tcPr>
            <w:tcW w:w="0" w:type="dxa"/>
            <w:vAlign w:val="bottom"/>
          </w:tcPr>
          <w:p w:rsidR="000728AD" w:rsidRDefault="000728AD">
            <w:pPr>
              <w:rPr>
                <w:sz w:val="1"/>
                <w:szCs w:val="1"/>
              </w:rPr>
            </w:pPr>
          </w:p>
        </w:tc>
      </w:tr>
      <w:tr w:rsidR="000728AD">
        <w:trPr>
          <w:trHeight w:val="243"/>
        </w:trPr>
        <w:tc>
          <w:tcPr>
            <w:tcW w:w="8080" w:type="dxa"/>
            <w:shd w:val="clear" w:color="auto" w:fill="CCEEFF"/>
            <w:vAlign w:val="bottom"/>
          </w:tcPr>
          <w:p w:rsidR="000728AD" w:rsidRDefault="000561BE">
            <w:pPr>
              <w:ind w:left="220"/>
              <w:rPr>
                <w:sz w:val="20"/>
                <w:szCs w:val="20"/>
              </w:rPr>
            </w:pPr>
            <w:r>
              <w:rPr>
                <w:rFonts w:ascii="Arial" w:eastAsia="Arial" w:hAnsi="Arial" w:cs="Arial"/>
                <w:sz w:val="20"/>
                <w:szCs w:val="20"/>
              </w:rPr>
              <w:t>Accumulated deficit</w:t>
            </w:r>
          </w:p>
        </w:tc>
        <w:tc>
          <w:tcPr>
            <w:tcW w:w="280" w:type="dxa"/>
            <w:tcBorders>
              <w:bottom w:val="single" w:sz="8" w:space="0" w:color="auto"/>
            </w:tcBorders>
            <w:shd w:val="clear" w:color="auto" w:fill="CCEEFF"/>
            <w:vAlign w:val="bottom"/>
          </w:tcPr>
          <w:p w:rsidR="000728AD" w:rsidRDefault="000728AD">
            <w:pPr>
              <w:rPr>
                <w:sz w:val="21"/>
                <w:szCs w:val="21"/>
              </w:rPr>
            </w:pPr>
          </w:p>
        </w:tc>
        <w:tc>
          <w:tcPr>
            <w:tcW w:w="124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(303,737)</w:t>
            </w:r>
          </w:p>
        </w:tc>
        <w:tc>
          <w:tcPr>
            <w:tcW w:w="120" w:type="dxa"/>
            <w:shd w:val="clear" w:color="auto" w:fill="CCEEFF"/>
            <w:vAlign w:val="bottom"/>
          </w:tcPr>
          <w:p w:rsidR="000728AD" w:rsidRDefault="000728AD">
            <w:pPr>
              <w:rPr>
                <w:sz w:val="21"/>
                <w:szCs w:val="21"/>
              </w:rPr>
            </w:pPr>
          </w:p>
        </w:tc>
        <w:tc>
          <w:tcPr>
            <w:tcW w:w="200" w:type="dxa"/>
            <w:tcBorders>
              <w:bottom w:val="single" w:sz="8" w:space="0" w:color="auto"/>
            </w:tcBorders>
            <w:shd w:val="clear" w:color="auto" w:fill="CCEEFF"/>
            <w:vAlign w:val="bottom"/>
          </w:tcPr>
          <w:p w:rsidR="000728AD" w:rsidRDefault="000728AD">
            <w:pPr>
              <w:rPr>
                <w:sz w:val="21"/>
                <w:szCs w:val="21"/>
              </w:rPr>
            </w:pPr>
          </w:p>
        </w:tc>
        <w:tc>
          <w:tcPr>
            <w:tcW w:w="132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(272,613)</w:t>
            </w:r>
          </w:p>
        </w:tc>
        <w:tc>
          <w:tcPr>
            <w:tcW w:w="0" w:type="dxa"/>
            <w:vAlign w:val="bottom"/>
          </w:tcPr>
          <w:p w:rsidR="000728AD" w:rsidRDefault="000728AD">
            <w:pPr>
              <w:rPr>
                <w:sz w:val="1"/>
                <w:szCs w:val="1"/>
              </w:rPr>
            </w:pPr>
          </w:p>
        </w:tc>
      </w:tr>
      <w:tr w:rsidR="000728AD">
        <w:trPr>
          <w:trHeight w:val="236"/>
        </w:trPr>
        <w:tc>
          <w:tcPr>
            <w:tcW w:w="8080" w:type="dxa"/>
            <w:tcBorders>
              <w:bottom w:val="single" w:sz="8" w:space="0" w:color="CCEEFF"/>
            </w:tcBorders>
            <w:vAlign w:val="bottom"/>
          </w:tcPr>
          <w:p w:rsidR="000728AD" w:rsidRDefault="000561BE">
            <w:pPr>
              <w:ind w:left="220"/>
              <w:rPr>
                <w:sz w:val="20"/>
                <w:szCs w:val="20"/>
              </w:rPr>
            </w:pPr>
            <w:r>
              <w:rPr>
                <w:rFonts w:ascii="Arial" w:eastAsia="Arial" w:hAnsi="Arial" w:cs="Arial"/>
                <w:sz w:val="20"/>
                <w:szCs w:val="20"/>
              </w:rPr>
              <w:t>Total stockholders' equity</w:t>
            </w:r>
          </w:p>
        </w:tc>
        <w:tc>
          <w:tcPr>
            <w:tcW w:w="280" w:type="dxa"/>
            <w:tcBorders>
              <w:bottom w:val="single" w:sz="8" w:space="0" w:color="auto"/>
            </w:tcBorders>
            <w:vAlign w:val="bottom"/>
          </w:tcPr>
          <w:p w:rsidR="000728AD" w:rsidRDefault="000728AD">
            <w:pPr>
              <w:rPr>
                <w:sz w:val="20"/>
                <w:szCs w:val="20"/>
              </w:rPr>
            </w:pPr>
          </w:p>
        </w:tc>
        <w:tc>
          <w:tcPr>
            <w:tcW w:w="124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48,087</w:t>
            </w:r>
          </w:p>
        </w:tc>
        <w:tc>
          <w:tcPr>
            <w:tcW w:w="120" w:type="dxa"/>
            <w:tcBorders>
              <w:bottom w:val="single" w:sz="8" w:space="0" w:color="CCEEFF"/>
            </w:tcBorders>
            <w:vAlign w:val="bottom"/>
          </w:tcPr>
          <w:p w:rsidR="000728AD" w:rsidRDefault="000728AD">
            <w:pPr>
              <w:rPr>
                <w:sz w:val="20"/>
                <w:szCs w:val="20"/>
              </w:rPr>
            </w:pPr>
          </w:p>
        </w:tc>
        <w:tc>
          <w:tcPr>
            <w:tcW w:w="200" w:type="dxa"/>
            <w:tcBorders>
              <w:bottom w:val="single" w:sz="8" w:space="0" w:color="auto"/>
            </w:tcBorders>
            <w:vAlign w:val="bottom"/>
          </w:tcPr>
          <w:p w:rsidR="000728AD" w:rsidRDefault="000728AD">
            <w:pPr>
              <w:rPr>
                <w:sz w:val="20"/>
                <w:szCs w:val="20"/>
              </w:rPr>
            </w:pPr>
          </w:p>
        </w:tc>
        <w:tc>
          <w:tcPr>
            <w:tcW w:w="132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75,381</w:t>
            </w:r>
          </w:p>
        </w:tc>
        <w:tc>
          <w:tcPr>
            <w:tcW w:w="0" w:type="dxa"/>
            <w:vAlign w:val="bottom"/>
          </w:tcPr>
          <w:p w:rsidR="000728AD" w:rsidRDefault="000728AD">
            <w:pPr>
              <w:rPr>
                <w:sz w:val="1"/>
                <w:szCs w:val="1"/>
              </w:rPr>
            </w:pPr>
          </w:p>
        </w:tc>
      </w:tr>
      <w:tr w:rsidR="000728AD">
        <w:trPr>
          <w:trHeight w:val="262"/>
        </w:trPr>
        <w:tc>
          <w:tcPr>
            <w:tcW w:w="8080" w:type="dxa"/>
            <w:tcBorders>
              <w:bottom w:val="single" w:sz="8" w:space="0" w:color="CCEEFF"/>
            </w:tcBorders>
            <w:shd w:val="clear" w:color="auto" w:fill="CCEEFF"/>
            <w:vAlign w:val="bottom"/>
          </w:tcPr>
          <w:p w:rsidR="000728AD" w:rsidRDefault="000561BE">
            <w:pPr>
              <w:ind w:left="20"/>
              <w:rPr>
                <w:sz w:val="20"/>
                <w:szCs w:val="20"/>
              </w:rPr>
            </w:pPr>
            <w:r>
              <w:rPr>
                <w:rFonts w:ascii="Arial" w:eastAsia="Arial" w:hAnsi="Arial" w:cs="Arial"/>
                <w:sz w:val="20"/>
                <w:szCs w:val="20"/>
              </w:rPr>
              <w:t>Total liabilities and stockholders' equity</w:t>
            </w:r>
          </w:p>
        </w:tc>
        <w:tc>
          <w:tcPr>
            <w:tcW w:w="280" w:type="dxa"/>
            <w:tcBorders>
              <w:bottom w:val="single" w:sz="8" w:space="0" w:color="auto"/>
            </w:tcBorders>
            <w:shd w:val="clear" w:color="auto" w:fill="CCEEFF"/>
            <w:vAlign w:val="bottom"/>
          </w:tcPr>
          <w:p w:rsidR="000728AD" w:rsidRDefault="000561BE">
            <w:pPr>
              <w:ind w:right="61"/>
              <w:jc w:val="right"/>
              <w:rPr>
                <w:sz w:val="20"/>
                <w:szCs w:val="20"/>
              </w:rPr>
            </w:pPr>
            <w:r>
              <w:rPr>
                <w:rFonts w:ascii="Arial" w:eastAsia="Arial" w:hAnsi="Arial" w:cs="Arial"/>
                <w:w w:val="89"/>
                <w:sz w:val="20"/>
                <w:szCs w:val="20"/>
              </w:rPr>
              <w:t>$</w:t>
            </w:r>
          </w:p>
        </w:tc>
        <w:tc>
          <w:tcPr>
            <w:tcW w:w="124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81,484</w:t>
            </w:r>
          </w:p>
        </w:tc>
        <w:tc>
          <w:tcPr>
            <w:tcW w:w="120" w:type="dxa"/>
            <w:tcBorders>
              <w:bottom w:val="single" w:sz="8" w:space="0" w:color="CCEEFF"/>
            </w:tcBorders>
            <w:shd w:val="clear" w:color="auto" w:fill="CCEEFF"/>
            <w:vAlign w:val="bottom"/>
          </w:tcPr>
          <w:p w:rsidR="000728AD" w:rsidRDefault="000728AD"/>
        </w:tc>
        <w:tc>
          <w:tcPr>
            <w:tcW w:w="20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w w:val="89"/>
                <w:sz w:val="20"/>
                <w:szCs w:val="20"/>
              </w:rPr>
              <w:t>$</w:t>
            </w:r>
          </w:p>
        </w:tc>
        <w:tc>
          <w:tcPr>
            <w:tcW w:w="132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109,592</w:t>
            </w:r>
          </w:p>
        </w:tc>
        <w:tc>
          <w:tcPr>
            <w:tcW w:w="0" w:type="dxa"/>
            <w:vAlign w:val="bottom"/>
          </w:tcPr>
          <w:p w:rsidR="000728AD" w:rsidRDefault="000728AD">
            <w:pPr>
              <w:rPr>
                <w:sz w:val="1"/>
                <w:szCs w:val="1"/>
              </w:rPr>
            </w:pPr>
          </w:p>
        </w:tc>
      </w:tr>
      <w:tr w:rsidR="000728AD">
        <w:trPr>
          <w:trHeight w:val="20"/>
        </w:trPr>
        <w:tc>
          <w:tcPr>
            <w:tcW w:w="8080" w:type="dxa"/>
            <w:tcBorders>
              <w:top w:val="single" w:sz="8" w:space="0" w:color="CCEEFF"/>
            </w:tcBorders>
            <w:vAlign w:val="bottom"/>
          </w:tcPr>
          <w:p w:rsidR="000728AD" w:rsidRDefault="000728AD">
            <w:pPr>
              <w:spacing w:line="20" w:lineRule="exact"/>
              <w:rPr>
                <w:sz w:val="1"/>
                <w:szCs w:val="1"/>
              </w:rPr>
            </w:pPr>
          </w:p>
        </w:tc>
        <w:tc>
          <w:tcPr>
            <w:tcW w:w="28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24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20" w:type="dxa"/>
            <w:tcBorders>
              <w:top w:val="single" w:sz="8" w:space="0" w:color="CCEEFF"/>
            </w:tcBorders>
            <w:vAlign w:val="bottom"/>
          </w:tcPr>
          <w:p w:rsidR="000728AD" w:rsidRDefault="000728AD">
            <w:pPr>
              <w:spacing w:line="20" w:lineRule="exact"/>
              <w:rPr>
                <w:sz w:val="1"/>
                <w:szCs w:val="1"/>
              </w:rPr>
            </w:pPr>
          </w:p>
        </w:tc>
        <w:tc>
          <w:tcPr>
            <w:tcW w:w="20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32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0" w:type="dxa"/>
            <w:vAlign w:val="bottom"/>
          </w:tcPr>
          <w:p w:rsidR="000728AD" w:rsidRDefault="000728AD">
            <w:pPr>
              <w:spacing w:line="20" w:lineRule="exact"/>
              <w:rPr>
                <w:sz w:val="1"/>
                <w:szCs w:val="1"/>
              </w:rPr>
            </w:pPr>
          </w:p>
        </w:tc>
      </w:tr>
    </w:tbl>
    <w:p w:rsidR="000728AD" w:rsidRDefault="000728AD">
      <w:pPr>
        <w:spacing w:line="294" w:lineRule="exact"/>
        <w:rPr>
          <w:sz w:val="20"/>
          <w:szCs w:val="20"/>
        </w:rPr>
      </w:pPr>
    </w:p>
    <w:p w:rsidR="000728AD" w:rsidRDefault="000561BE">
      <w:pPr>
        <w:jc w:val="center"/>
        <w:rPr>
          <w:sz w:val="20"/>
          <w:szCs w:val="20"/>
        </w:rPr>
      </w:pPr>
      <w:r>
        <w:rPr>
          <w:rFonts w:ascii="Arial" w:eastAsia="Arial" w:hAnsi="Arial" w:cs="Arial"/>
          <w:sz w:val="20"/>
          <w:szCs w:val="20"/>
        </w:rPr>
        <w:t>The accompanying notes are an integral part of these unaudited condensed consolidated financial statements.</w:t>
      </w:r>
    </w:p>
    <w:p w:rsidR="000728AD" w:rsidRDefault="000728AD">
      <w:pPr>
        <w:spacing w:line="200" w:lineRule="exact"/>
        <w:rPr>
          <w:sz w:val="20"/>
          <w:szCs w:val="20"/>
        </w:rPr>
      </w:pPr>
    </w:p>
    <w:p w:rsidR="000728AD" w:rsidRDefault="000728AD">
      <w:pPr>
        <w:spacing w:line="396" w:lineRule="exact"/>
        <w:rPr>
          <w:sz w:val="20"/>
          <w:szCs w:val="20"/>
        </w:rPr>
      </w:pPr>
    </w:p>
    <w:p w:rsidR="000728AD" w:rsidRDefault="000561BE">
      <w:pPr>
        <w:jc w:val="center"/>
        <w:rPr>
          <w:sz w:val="20"/>
          <w:szCs w:val="20"/>
        </w:rPr>
      </w:pPr>
      <w:r>
        <w:rPr>
          <w:rFonts w:ascii="Arial" w:eastAsia="Arial" w:hAnsi="Arial" w:cs="Arial"/>
          <w:sz w:val="18"/>
          <w:szCs w:val="18"/>
        </w:rPr>
        <w:t>5</w:t>
      </w:r>
    </w:p>
    <w:p w:rsidR="000728AD" w:rsidRDefault="000561BE">
      <w:pPr>
        <w:spacing w:line="20" w:lineRule="exact"/>
        <w:rPr>
          <w:sz w:val="20"/>
          <w:szCs w:val="20"/>
        </w:rPr>
      </w:pPr>
      <w:r>
        <w:rPr>
          <w:noProof/>
          <w:sz w:val="20"/>
          <w:szCs w:val="20"/>
        </w:rPr>
        <w:drawing>
          <wp:anchor distT="0" distB="0" distL="114300" distR="114300" simplePos="0" relativeHeight="251607040"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6" w:name="page6"/>
    <w:bookmarkEnd w:id="6"/>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395" w:lineRule="exact"/>
        <w:rPr>
          <w:sz w:val="20"/>
          <w:szCs w:val="20"/>
        </w:rPr>
      </w:pPr>
    </w:p>
    <w:p w:rsidR="000728AD" w:rsidRDefault="000561BE">
      <w:pPr>
        <w:ind w:right="-59"/>
        <w:jc w:val="center"/>
        <w:rPr>
          <w:sz w:val="20"/>
          <w:szCs w:val="20"/>
        </w:rPr>
      </w:pPr>
      <w:r>
        <w:rPr>
          <w:rFonts w:ascii="Arial" w:eastAsia="Arial" w:hAnsi="Arial" w:cs="Arial"/>
          <w:b/>
          <w:bCs/>
          <w:sz w:val="20"/>
          <w:szCs w:val="20"/>
        </w:rPr>
        <w:t>AXCELLA HEALTH INC.</w:t>
      </w:r>
    </w:p>
    <w:p w:rsidR="000728AD" w:rsidRDefault="000728AD">
      <w:pPr>
        <w:spacing w:line="21" w:lineRule="exact"/>
        <w:rPr>
          <w:sz w:val="20"/>
          <w:szCs w:val="20"/>
        </w:rPr>
      </w:pPr>
    </w:p>
    <w:p w:rsidR="000728AD" w:rsidRDefault="000561BE">
      <w:pPr>
        <w:ind w:right="-59"/>
        <w:jc w:val="center"/>
        <w:rPr>
          <w:sz w:val="20"/>
          <w:szCs w:val="20"/>
        </w:rPr>
      </w:pPr>
      <w:r>
        <w:rPr>
          <w:rFonts w:ascii="Arial" w:eastAsia="Arial" w:hAnsi="Arial" w:cs="Arial"/>
          <w:b/>
          <w:bCs/>
          <w:sz w:val="20"/>
          <w:szCs w:val="20"/>
        </w:rPr>
        <w:t>Condensed Consolidated Statements of Operations and Comprehensive Loss (Unaudited)</w:t>
      </w:r>
    </w:p>
    <w:p w:rsidR="000728AD" w:rsidRDefault="000561BE">
      <w:pPr>
        <w:ind w:right="-59"/>
        <w:jc w:val="center"/>
        <w:rPr>
          <w:sz w:val="20"/>
          <w:szCs w:val="20"/>
        </w:rPr>
      </w:pPr>
      <w:r>
        <w:rPr>
          <w:rFonts w:ascii="Arial" w:eastAsia="Arial" w:hAnsi="Arial" w:cs="Arial"/>
          <w:b/>
          <w:bCs/>
          <w:sz w:val="20"/>
          <w:szCs w:val="20"/>
        </w:rPr>
        <w:t>(in thousands, except share and per share data)</w:t>
      </w:r>
    </w:p>
    <w:p w:rsidR="000728AD" w:rsidRDefault="000728AD">
      <w:pPr>
        <w:spacing w:line="158" w:lineRule="exact"/>
        <w:rPr>
          <w:sz w:val="20"/>
          <w:szCs w:val="20"/>
        </w:rPr>
      </w:pPr>
    </w:p>
    <w:tbl>
      <w:tblPr>
        <w:tblW w:w="0" w:type="auto"/>
        <w:tblInd w:w="60" w:type="dxa"/>
        <w:tblLayout w:type="fixed"/>
        <w:tblCellMar>
          <w:left w:w="0" w:type="dxa"/>
          <w:right w:w="0" w:type="dxa"/>
        </w:tblCellMar>
        <w:tblLook w:val="04A0" w:firstRow="1" w:lastRow="0" w:firstColumn="1" w:lastColumn="0" w:noHBand="0" w:noVBand="1"/>
      </w:tblPr>
      <w:tblGrid>
        <w:gridCol w:w="4780"/>
        <w:gridCol w:w="320"/>
        <w:gridCol w:w="1180"/>
        <w:gridCol w:w="100"/>
        <w:gridCol w:w="400"/>
        <w:gridCol w:w="1100"/>
        <w:gridCol w:w="120"/>
        <w:gridCol w:w="320"/>
        <w:gridCol w:w="1180"/>
        <w:gridCol w:w="100"/>
        <w:gridCol w:w="420"/>
        <w:gridCol w:w="1100"/>
        <w:gridCol w:w="20"/>
      </w:tblGrid>
      <w:tr w:rsidR="000728AD">
        <w:trPr>
          <w:trHeight w:val="207"/>
        </w:trPr>
        <w:tc>
          <w:tcPr>
            <w:tcW w:w="4780" w:type="dxa"/>
            <w:vAlign w:val="bottom"/>
          </w:tcPr>
          <w:p w:rsidR="000728AD" w:rsidRDefault="000728AD">
            <w:pPr>
              <w:rPr>
                <w:sz w:val="17"/>
                <w:szCs w:val="17"/>
              </w:rPr>
            </w:pPr>
          </w:p>
        </w:tc>
        <w:tc>
          <w:tcPr>
            <w:tcW w:w="320" w:type="dxa"/>
            <w:vAlign w:val="bottom"/>
          </w:tcPr>
          <w:p w:rsidR="000728AD" w:rsidRDefault="000728AD">
            <w:pPr>
              <w:rPr>
                <w:sz w:val="17"/>
                <w:szCs w:val="17"/>
              </w:rPr>
            </w:pPr>
          </w:p>
        </w:tc>
        <w:tc>
          <w:tcPr>
            <w:tcW w:w="2900" w:type="dxa"/>
            <w:gridSpan w:val="5"/>
            <w:vAlign w:val="bottom"/>
          </w:tcPr>
          <w:p w:rsidR="000728AD" w:rsidRDefault="000561BE">
            <w:pPr>
              <w:ind w:left="420"/>
              <w:rPr>
                <w:sz w:val="20"/>
                <w:szCs w:val="20"/>
              </w:rPr>
            </w:pPr>
            <w:r>
              <w:rPr>
                <w:rFonts w:ascii="Arial" w:eastAsia="Arial" w:hAnsi="Arial" w:cs="Arial"/>
                <w:b/>
                <w:bCs/>
                <w:sz w:val="18"/>
                <w:szCs w:val="18"/>
              </w:rPr>
              <w:t>Three Months Ended</w:t>
            </w:r>
          </w:p>
        </w:tc>
        <w:tc>
          <w:tcPr>
            <w:tcW w:w="320" w:type="dxa"/>
            <w:vAlign w:val="bottom"/>
          </w:tcPr>
          <w:p w:rsidR="000728AD" w:rsidRDefault="000728AD">
            <w:pPr>
              <w:rPr>
                <w:sz w:val="17"/>
                <w:szCs w:val="17"/>
              </w:rPr>
            </w:pPr>
          </w:p>
        </w:tc>
        <w:tc>
          <w:tcPr>
            <w:tcW w:w="2800" w:type="dxa"/>
            <w:gridSpan w:val="4"/>
            <w:vAlign w:val="bottom"/>
          </w:tcPr>
          <w:p w:rsidR="000728AD" w:rsidRDefault="000561BE">
            <w:pPr>
              <w:ind w:right="742"/>
              <w:jc w:val="right"/>
              <w:rPr>
                <w:sz w:val="20"/>
                <w:szCs w:val="20"/>
              </w:rPr>
            </w:pPr>
            <w:r>
              <w:rPr>
                <w:rFonts w:ascii="Arial" w:eastAsia="Arial" w:hAnsi="Arial" w:cs="Arial"/>
                <w:b/>
                <w:bCs/>
                <w:sz w:val="18"/>
                <w:szCs w:val="18"/>
              </w:rPr>
              <w:t>Six Months Ended</w:t>
            </w:r>
          </w:p>
        </w:tc>
        <w:tc>
          <w:tcPr>
            <w:tcW w:w="0" w:type="dxa"/>
            <w:vAlign w:val="bottom"/>
          </w:tcPr>
          <w:p w:rsidR="000728AD" w:rsidRDefault="000728AD">
            <w:pPr>
              <w:rPr>
                <w:sz w:val="1"/>
                <w:szCs w:val="1"/>
              </w:rPr>
            </w:pPr>
          </w:p>
        </w:tc>
      </w:tr>
      <w:tr w:rsidR="000728AD">
        <w:trPr>
          <w:trHeight w:val="229"/>
        </w:trPr>
        <w:tc>
          <w:tcPr>
            <w:tcW w:w="4780" w:type="dxa"/>
            <w:vAlign w:val="bottom"/>
          </w:tcPr>
          <w:p w:rsidR="000728AD" w:rsidRDefault="000728AD">
            <w:pPr>
              <w:rPr>
                <w:sz w:val="19"/>
                <w:szCs w:val="19"/>
              </w:rPr>
            </w:pPr>
          </w:p>
        </w:tc>
        <w:tc>
          <w:tcPr>
            <w:tcW w:w="320" w:type="dxa"/>
            <w:tcBorders>
              <w:bottom w:val="single" w:sz="8" w:space="0" w:color="auto"/>
            </w:tcBorders>
            <w:vAlign w:val="bottom"/>
          </w:tcPr>
          <w:p w:rsidR="000728AD" w:rsidRDefault="000728AD">
            <w:pPr>
              <w:rPr>
                <w:sz w:val="19"/>
                <w:szCs w:val="19"/>
              </w:rPr>
            </w:pPr>
          </w:p>
        </w:tc>
        <w:tc>
          <w:tcPr>
            <w:tcW w:w="1680" w:type="dxa"/>
            <w:gridSpan w:val="3"/>
            <w:tcBorders>
              <w:bottom w:val="single" w:sz="8" w:space="0" w:color="auto"/>
            </w:tcBorders>
            <w:vAlign w:val="bottom"/>
          </w:tcPr>
          <w:p w:rsidR="000728AD" w:rsidRDefault="000561BE">
            <w:pPr>
              <w:ind w:right="21"/>
              <w:jc w:val="right"/>
              <w:rPr>
                <w:sz w:val="20"/>
                <w:szCs w:val="20"/>
              </w:rPr>
            </w:pPr>
            <w:r>
              <w:rPr>
                <w:rFonts w:ascii="Arial" w:eastAsia="Arial" w:hAnsi="Arial" w:cs="Arial"/>
                <w:b/>
                <w:bCs/>
                <w:sz w:val="18"/>
                <w:szCs w:val="18"/>
              </w:rPr>
              <w:t>June 30,</w:t>
            </w:r>
          </w:p>
        </w:tc>
        <w:tc>
          <w:tcPr>
            <w:tcW w:w="1100" w:type="dxa"/>
            <w:tcBorders>
              <w:bottom w:val="single" w:sz="8" w:space="0" w:color="auto"/>
            </w:tcBorders>
            <w:vAlign w:val="bottom"/>
          </w:tcPr>
          <w:p w:rsidR="000728AD" w:rsidRDefault="000728AD">
            <w:pPr>
              <w:rPr>
                <w:sz w:val="19"/>
                <w:szCs w:val="19"/>
              </w:rPr>
            </w:pPr>
          </w:p>
        </w:tc>
        <w:tc>
          <w:tcPr>
            <w:tcW w:w="120" w:type="dxa"/>
            <w:vAlign w:val="bottom"/>
          </w:tcPr>
          <w:p w:rsidR="000728AD" w:rsidRDefault="000728AD">
            <w:pPr>
              <w:rPr>
                <w:sz w:val="19"/>
                <w:szCs w:val="19"/>
              </w:rPr>
            </w:pPr>
          </w:p>
        </w:tc>
        <w:tc>
          <w:tcPr>
            <w:tcW w:w="320" w:type="dxa"/>
            <w:tcBorders>
              <w:bottom w:val="single" w:sz="8" w:space="0" w:color="auto"/>
            </w:tcBorders>
            <w:vAlign w:val="bottom"/>
          </w:tcPr>
          <w:p w:rsidR="000728AD" w:rsidRDefault="000728AD">
            <w:pPr>
              <w:rPr>
                <w:sz w:val="19"/>
                <w:szCs w:val="19"/>
              </w:rPr>
            </w:pPr>
          </w:p>
        </w:tc>
        <w:tc>
          <w:tcPr>
            <w:tcW w:w="1700" w:type="dxa"/>
            <w:gridSpan w:val="3"/>
            <w:tcBorders>
              <w:bottom w:val="single" w:sz="8" w:space="0" w:color="auto"/>
            </w:tcBorders>
            <w:vAlign w:val="bottom"/>
          </w:tcPr>
          <w:p w:rsidR="000728AD" w:rsidRDefault="000561BE">
            <w:pPr>
              <w:ind w:right="41"/>
              <w:jc w:val="right"/>
              <w:rPr>
                <w:sz w:val="20"/>
                <w:szCs w:val="20"/>
              </w:rPr>
            </w:pPr>
            <w:r>
              <w:rPr>
                <w:rFonts w:ascii="Arial" w:eastAsia="Arial" w:hAnsi="Arial" w:cs="Arial"/>
                <w:b/>
                <w:bCs/>
                <w:sz w:val="18"/>
                <w:szCs w:val="18"/>
              </w:rPr>
              <w:t>June 30,</w:t>
            </w:r>
          </w:p>
        </w:tc>
        <w:tc>
          <w:tcPr>
            <w:tcW w:w="1100" w:type="dxa"/>
            <w:tcBorders>
              <w:bottom w:val="single" w:sz="8" w:space="0" w:color="auto"/>
            </w:tcBorders>
            <w:vAlign w:val="bottom"/>
          </w:tcPr>
          <w:p w:rsidR="000728AD" w:rsidRDefault="000728AD">
            <w:pPr>
              <w:rPr>
                <w:sz w:val="19"/>
                <w:szCs w:val="19"/>
              </w:rPr>
            </w:pPr>
          </w:p>
        </w:tc>
        <w:tc>
          <w:tcPr>
            <w:tcW w:w="0" w:type="dxa"/>
            <w:vAlign w:val="bottom"/>
          </w:tcPr>
          <w:p w:rsidR="000728AD" w:rsidRDefault="000728AD">
            <w:pPr>
              <w:rPr>
                <w:sz w:val="1"/>
                <w:szCs w:val="1"/>
              </w:rPr>
            </w:pPr>
          </w:p>
        </w:tc>
      </w:tr>
      <w:tr w:rsidR="000728AD">
        <w:trPr>
          <w:trHeight w:val="223"/>
        </w:trPr>
        <w:tc>
          <w:tcPr>
            <w:tcW w:w="4780" w:type="dxa"/>
            <w:tcBorders>
              <w:bottom w:val="single" w:sz="8" w:space="0" w:color="CCEEFF"/>
            </w:tcBorders>
            <w:vAlign w:val="bottom"/>
          </w:tcPr>
          <w:p w:rsidR="000728AD" w:rsidRDefault="000728AD">
            <w:pPr>
              <w:rPr>
                <w:sz w:val="19"/>
                <w:szCs w:val="19"/>
              </w:rPr>
            </w:pPr>
          </w:p>
        </w:tc>
        <w:tc>
          <w:tcPr>
            <w:tcW w:w="320" w:type="dxa"/>
            <w:tcBorders>
              <w:bottom w:val="single" w:sz="8" w:space="0" w:color="auto"/>
            </w:tcBorders>
            <w:vAlign w:val="bottom"/>
          </w:tcPr>
          <w:p w:rsidR="000728AD" w:rsidRDefault="000728AD">
            <w:pPr>
              <w:rPr>
                <w:sz w:val="19"/>
                <w:szCs w:val="19"/>
              </w:rPr>
            </w:pPr>
          </w:p>
        </w:tc>
        <w:tc>
          <w:tcPr>
            <w:tcW w:w="1180" w:type="dxa"/>
            <w:tcBorders>
              <w:bottom w:val="single" w:sz="8" w:space="0" w:color="auto"/>
            </w:tcBorders>
            <w:vAlign w:val="bottom"/>
          </w:tcPr>
          <w:p w:rsidR="000728AD" w:rsidRDefault="000561BE">
            <w:pPr>
              <w:ind w:right="463"/>
              <w:jc w:val="right"/>
              <w:rPr>
                <w:sz w:val="20"/>
                <w:szCs w:val="20"/>
              </w:rPr>
            </w:pPr>
            <w:r>
              <w:rPr>
                <w:rFonts w:ascii="Arial" w:eastAsia="Arial" w:hAnsi="Arial" w:cs="Arial"/>
                <w:b/>
                <w:bCs/>
                <w:sz w:val="18"/>
                <w:szCs w:val="18"/>
              </w:rPr>
              <w:t>2021</w:t>
            </w:r>
          </w:p>
        </w:tc>
        <w:tc>
          <w:tcPr>
            <w:tcW w:w="100" w:type="dxa"/>
            <w:tcBorders>
              <w:bottom w:val="single" w:sz="8" w:space="0" w:color="CCEEFF"/>
            </w:tcBorders>
            <w:vAlign w:val="bottom"/>
          </w:tcPr>
          <w:p w:rsidR="000728AD" w:rsidRDefault="000728AD">
            <w:pPr>
              <w:rPr>
                <w:sz w:val="19"/>
                <w:szCs w:val="19"/>
              </w:rPr>
            </w:pPr>
          </w:p>
        </w:tc>
        <w:tc>
          <w:tcPr>
            <w:tcW w:w="400" w:type="dxa"/>
            <w:tcBorders>
              <w:bottom w:val="single" w:sz="8" w:space="0" w:color="auto"/>
            </w:tcBorders>
            <w:vAlign w:val="bottom"/>
          </w:tcPr>
          <w:p w:rsidR="000728AD" w:rsidRDefault="000728AD">
            <w:pPr>
              <w:rPr>
                <w:sz w:val="19"/>
                <w:szCs w:val="19"/>
              </w:rPr>
            </w:pPr>
          </w:p>
        </w:tc>
        <w:tc>
          <w:tcPr>
            <w:tcW w:w="1100" w:type="dxa"/>
            <w:tcBorders>
              <w:bottom w:val="single" w:sz="8" w:space="0" w:color="auto"/>
            </w:tcBorders>
            <w:vAlign w:val="bottom"/>
          </w:tcPr>
          <w:p w:rsidR="000728AD" w:rsidRDefault="000561BE">
            <w:pPr>
              <w:ind w:right="462"/>
              <w:jc w:val="right"/>
              <w:rPr>
                <w:sz w:val="20"/>
                <w:szCs w:val="20"/>
              </w:rPr>
            </w:pPr>
            <w:r>
              <w:rPr>
                <w:rFonts w:ascii="Arial" w:eastAsia="Arial" w:hAnsi="Arial" w:cs="Arial"/>
                <w:b/>
                <w:bCs/>
                <w:sz w:val="18"/>
                <w:szCs w:val="18"/>
              </w:rPr>
              <w:t>2020</w:t>
            </w:r>
          </w:p>
        </w:tc>
        <w:tc>
          <w:tcPr>
            <w:tcW w:w="120" w:type="dxa"/>
            <w:tcBorders>
              <w:bottom w:val="single" w:sz="8" w:space="0" w:color="CCEEFF"/>
            </w:tcBorders>
            <w:vAlign w:val="bottom"/>
          </w:tcPr>
          <w:p w:rsidR="000728AD" w:rsidRDefault="000728AD">
            <w:pPr>
              <w:rPr>
                <w:sz w:val="19"/>
                <w:szCs w:val="19"/>
              </w:rPr>
            </w:pPr>
          </w:p>
        </w:tc>
        <w:tc>
          <w:tcPr>
            <w:tcW w:w="320" w:type="dxa"/>
            <w:tcBorders>
              <w:bottom w:val="single" w:sz="8" w:space="0" w:color="auto"/>
            </w:tcBorders>
            <w:vAlign w:val="bottom"/>
          </w:tcPr>
          <w:p w:rsidR="000728AD" w:rsidRDefault="000728AD">
            <w:pPr>
              <w:rPr>
                <w:sz w:val="19"/>
                <w:szCs w:val="19"/>
              </w:rPr>
            </w:pPr>
          </w:p>
        </w:tc>
        <w:tc>
          <w:tcPr>
            <w:tcW w:w="1180" w:type="dxa"/>
            <w:tcBorders>
              <w:bottom w:val="single" w:sz="8" w:space="0" w:color="auto"/>
            </w:tcBorders>
            <w:vAlign w:val="bottom"/>
          </w:tcPr>
          <w:p w:rsidR="000728AD" w:rsidRDefault="000561BE">
            <w:pPr>
              <w:ind w:right="483"/>
              <w:jc w:val="right"/>
              <w:rPr>
                <w:sz w:val="20"/>
                <w:szCs w:val="20"/>
              </w:rPr>
            </w:pPr>
            <w:r>
              <w:rPr>
                <w:rFonts w:ascii="Arial" w:eastAsia="Arial" w:hAnsi="Arial" w:cs="Arial"/>
                <w:b/>
                <w:bCs/>
                <w:sz w:val="18"/>
                <w:szCs w:val="18"/>
              </w:rPr>
              <w:t>2021</w:t>
            </w:r>
          </w:p>
        </w:tc>
        <w:tc>
          <w:tcPr>
            <w:tcW w:w="100" w:type="dxa"/>
            <w:tcBorders>
              <w:bottom w:val="single" w:sz="8" w:space="0" w:color="CCEEFF"/>
            </w:tcBorders>
            <w:vAlign w:val="bottom"/>
          </w:tcPr>
          <w:p w:rsidR="000728AD" w:rsidRDefault="000728AD">
            <w:pPr>
              <w:rPr>
                <w:sz w:val="19"/>
                <w:szCs w:val="19"/>
              </w:rPr>
            </w:pPr>
          </w:p>
        </w:tc>
        <w:tc>
          <w:tcPr>
            <w:tcW w:w="420" w:type="dxa"/>
            <w:tcBorders>
              <w:bottom w:val="single" w:sz="8" w:space="0" w:color="auto"/>
            </w:tcBorders>
            <w:vAlign w:val="bottom"/>
          </w:tcPr>
          <w:p w:rsidR="000728AD" w:rsidRDefault="000728AD">
            <w:pPr>
              <w:rPr>
                <w:sz w:val="19"/>
                <w:szCs w:val="19"/>
              </w:rPr>
            </w:pPr>
          </w:p>
        </w:tc>
        <w:tc>
          <w:tcPr>
            <w:tcW w:w="1100" w:type="dxa"/>
            <w:tcBorders>
              <w:bottom w:val="single" w:sz="8" w:space="0" w:color="auto"/>
            </w:tcBorders>
            <w:vAlign w:val="bottom"/>
          </w:tcPr>
          <w:p w:rsidR="000728AD" w:rsidRDefault="000561BE">
            <w:pPr>
              <w:ind w:right="482"/>
              <w:jc w:val="right"/>
              <w:rPr>
                <w:sz w:val="20"/>
                <w:szCs w:val="20"/>
              </w:rPr>
            </w:pPr>
            <w:r>
              <w:rPr>
                <w:rFonts w:ascii="Arial" w:eastAsia="Arial" w:hAnsi="Arial" w:cs="Arial"/>
                <w:b/>
                <w:bCs/>
                <w:sz w:val="18"/>
                <w:szCs w:val="18"/>
              </w:rPr>
              <w:t>2020</w:t>
            </w:r>
          </w:p>
        </w:tc>
        <w:tc>
          <w:tcPr>
            <w:tcW w:w="0" w:type="dxa"/>
            <w:vAlign w:val="bottom"/>
          </w:tcPr>
          <w:p w:rsidR="000728AD" w:rsidRDefault="000728AD">
            <w:pPr>
              <w:rPr>
                <w:sz w:val="1"/>
                <w:szCs w:val="1"/>
              </w:rPr>
            </w:pPr>
          </w:p>
        </w:tc>
      </w:tr>
      <w:tr w:rsidR="000728AD">
        <w:trPr>
          <w:trHeight w:val="223"/>
        </w:trPr>
        <w:tc>
          <w:tcPr>
            <w:tcW w:w="4780" w:type="dxa"/>
            <w:shd w:val="clear" w:color="auto" w:fill="CCEEFF"/>
            <w:vAlign w:val="bottom"/>
          </w:tcPr>
          <w:p w:rsidR="000728AD" w:rsidRDefault="000561BE">
            <w:pPr>
              <w:spacing w:line="223" w:lineRule="exact"/>
              <w:ind w:left="20"/>
              <w:rPr>
                <w:sz w:val="20"/>
                <w:szCs w:val="20"/>
              </w:rPr>
            </w:pPr>
            <w:r>
              <w:rPr>
                <w:rFonts w:ascii="Arial" w:eastAsia="Arial" w:hAnsi="Arial" w:cs="Arial"/>
                <w:sz w:val="20"/>
                <w:szCs w:val="20"/>
              </w:rPr>
              <w:t>Operating expenses:</w:t>
            </w:r>
          </w:p>
        </w:tc>
        <w:tc>
          <w:tcPr>
            <w:tcW w:w="320" w:type="dxa"/>
            <w:shd w:val="clear" w:color="auto" w:fill="CCEEFF"/>
            <w:vAlign w:val="bottom"/>
          </w:tcPr>
          <w:p w:rsidR="000728AD" w:rsidRDefault="000728AD">
            <w:pPr>
              <w:rPr>
                <w:sz w:val="19"/>
                <w:szCs w:val="19"/>
              </w:rPr>
            </w:pPr>
          </w:p>
        </w:tc>
        <w:tc>
          <w:tcPr>
            <w:tcW w:w="1180" w:type="dxa"/>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400" w:type="dxa"/>
            <w:shd w:val="clear" w:color="auto" w:fill="CCEEFF"/>
            <w:vAlign w:val="bottom"/>
          </w:tcPr>
          <w:p w:rsidR="000728AD" w:rsidRDefault="000728AD">
            <w:pPr>
              <w:rPr>
                <w:sz w:val="19"/>
                <w:szCs w:val="19"/>
              </w:rPr>
            </w:pPr>
          </w:p>
        </w:tc>
        <w:tc>
          <w:tcPr>
            <w:tcW w:w="1100" w:type="dxa"/>
            <w:shd w:val="clear" w:color="auto" w:fill="CCEEFF"/>
            <w:vAlign w:val="bottom"/>
          </w:tcPr>
          <w:p w:rsidR="000728AD" w:rsidRDefault="000728AD">
            <w:pPr>
              <w:rPr>
                <w:sz w:val="19"/>
                <w:szCs w:val="19"/>
              </w:rPr>
            </w:pPr>
          </w:p>
        </w:tc>
        <w:tc>
          <w:tcPr>
            <w:tcW w:w="120" w:type="dxa"/>
            <w:shd w:val="clear" w:color="auto" w:fill="CCEEFF"/>
            <w:vAlign w:val="bottom"/>
          </w:tcPr>
          <w:p w:rsidR="000728AD" w:rsidRDefault="000728AD">
            <w:pPr>
              <w:rPr>
                <w:sz w:val="19"/>
                <w:szCs w:val="19"/>
              </w:rPr>
            </w:pPr>
          </w:p>
        </w:tc>
        <w:tc>
          <w:tcPr>
            <w:tcW w:w="320" w:type="dxa"/>
            <w:shd w:val="clear" w:color="auto" w:fill="CCEEFF"/>
            <w:vAlign w:val="bottom"/>
          </w:tcPr>
          <w:p w:rsidR="000728AD" w:rsidRDefault="000728AD">
            <w:pPr>
              <w:rPr>
                <w:sz w:val="19"/>
                <w:szCs w:val="19"/>
              </w:rPr>
            </w:pPr>
          </w:p>
        </w:tc>
        <w:tc>
          <w:tcPr>
            <w:tcW w:w="1180" w:type="dxa"/>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420" w:type="dxa"/>
            <w:shd w:val="clear" w:color="auto" w:fill="CCEEFF"/>
            <w:vAlign w:val="bottom"/>
          </w:tcPr>
          <w:p w:rsidR="000728AD" w:rsidRDefault="000728AD">
            <w:pPr>
              <w:rPr>
                <w:sz w:val="19"/>
                <w:szCs w:val="19"/>
              </w:rPr>
            </w:pPr>
          </w:p>
        </w:tc>
        <w:tc>
          <w:tcPr>
            <w:tcW w:w="1100" w:type="dxa"/>
            <w:shd w:val="clear" w:color="auto" w:fill="CCEEFF"/>
            <w:vAlign w:val="bottom"/>
          </w:tcPr>
          <w:p w:rsidR="000728AD" w:rsidRDefault="000728AD">
            <w:pPr>
              <w:rPr>
                <w:sz w:val="19"/>
                <w:szCs w:val="19"/>
              </w:rPr>
            </w:pPr>
          </w:p>
        </w:tc>
        <w:tc>
          <w:tcPr>
            <w:tcW w:w="0" w:type="dxa"/>
            <w:vAlign w:val="bottom"/>
          </w:tcPr>
          <w:p w:rsidR="000728AD" w:rsidRDefault="000728AD">
            <w:pPr>
              <w:rPr>
                <w:sz w:val="1"/>
                <w:szCs w:val="1"/>
              </w:rPr>
            </w:pPr>
          </w:p>
        </w:tc>
      </w:tr>
      <w:tr w:rsidR="000728AD">
        <w:trPr>
          <w:trHeight w:val="243"/>
        </w:trPr>
        <w:tc>
          <w:tcPr>
            <w:tcW w:w="4780" w:type="dxa"/>
            <w:vAlign w:val="bottom"/>
          </w:tcPr>
          <w:p w:rsidR="000728AD" w:rsidRDefault="000561BE">
            <w:pPr>
              <w:ind w:left="220"/>
              <w:rPr>
                <w:sz w:val="20"/>
                <w:szCs w:val="20"/>
              </w:rPr>
            </w:pPr>
            <w:r>
              <w:rPr>
                <w:rFonts w:ascii="Arial" w:eastAsia="Arial" w:hAnsi="Arial" w:cs="Arial"/>
                <w:sz w:val="20"/>
                <w:szCs w:val="20"/>
              </w:rPr>
              <w:t>Research and development</w:t>
            </w:r>
          </w:p>
        </w:tc>
        <w:tc>
          <w:tcPr>
            <w:tcW w:w="320" w:type="dxa"/>
            <w:vAlign w:val="bottom"/>
          </w:tcPr>
          <w:p w:rsidR="000728AD" w:rsidRDefault="000561BE">
            <w:pPr>
              <w:ind w:right="101"/>
              <w:jc w:val="right"/>
              <w:rPr>
                <w:sz w:val="20"/>
                <w:szCs w:val="20"/>
              </w:rPr>
            </w:pPr>
            <w:r>
              <w:rPr>
                <w:rFonts w:ascii="Arial" w:eastAsia="Arial" w:hAnsi="Arial" w:cs="Arial"/>
                <w:w w:val="89"/>
                <w:sz w:val="20"/>
                <w:szCs w:val="20"/>
              </w:rPr>
              <w:t>$</w:t>
            </w:r>
          </w:p>
        </w:tc>
        <w:tc>
          <w:tcPr>
            <w:tcW w:w="1180" w:type="dxa"/>
            <w:vAlign w:val="bottom"/>
          </w:tcPr>
          <w:p w:rsidR="000728AD" w:rsidRDefault="000561BE">
            <w:pPr>
              <w:jc w:val="right"/>
              <w:rPr>
                <w:sz w:val="20"/>
                <w:szCs w:val="20"/>
              </w:rPr>
            </w:pPr>
            <w:r>
              <w:rPr>
                <w:rFonts w:ascii="Arial" w:eastAsia="Arial" w:hAnsi="Arial" w:cs="Arial"/>
                <w:sz w:val="20"/>
                <w:szCs w:val="20"/>
              </w:rPr>
              <w:t>10,298</w:t>
            </w:r>
          </w:p>
        </w:tc>
        <w:tc>
          <w:tcPr>
            <w:tcW w:w="100" w:type="dxa"/>
            <w:vAlign w:val="bottom"/>
          </w:tcPr>
          <w:p w:rsidR="000728AD" w:rsidRDefault="000728AD">
            <w:pPr>
              <w:rPr>
                <w:sz w:val="21"/>
                <w:szCs w:val="21"/>
              </w:rPr>
            </w:pPr>
          </w:p>
        </w:tc>
        <w:tc>
          <w:tcPr>
            <w:tcW w:w="400" w:type="dxa"/>
            <w:vAlign w:val="bottom"/>
          </w:tcPr>
          <w:p w:rsidR="000728AD" w:rsidRDefault="000561BE">
            <w:pPr>
              <w:ind w:right="181"/>
              <w:jc w:val="right"/>
              <w:rPr>
                <w:sz w:val="20"/>
                <w:szCs w:val="20"/>
              </w:rPr>
            </w:pPr>
            <w:r>
              <w:rPr>
                <w:rFonts w:ascii="Arial" w:eastAsia="Arial" w:hAnsi="Arial" w:cs="Arial"/>
                <w:w w:val="89"/>
                <w:sz w:val="20"/>
                <w:szCs w:val="20"/>
              </w:rPr>
              <w:t>$</w:t>
            </w:r>
          </w:p>
        </w:tc>
        <w:tc>
          <w:tcPr>
            <w:tcW w:w="1100" w:type="dxa"/>
            <w:vAlign w:val="bottom"/>
          </w:tcPr>
          <w:p w:rsidR="000728AD" w:rsidRDefault="000561BE">
            <w:pPr>
              <w:jc w:val="right"/>
              <w:rPr>
                <w:sz w:val="20"/>
                <w:szCs w:val="20"/>
              </w:rPr>
            </w:pPr>
            <w:r>
              <w:rPr>
                <w:rFonts w:ascii="Arial" w:eastAsia="Arial" w:hAnsi="Arial" w:cs="Arial"/>
                <w:sz w:val="20"/>
                <w:szCs w:val="20"/>
              </w:rPr>
              <w:t>8,565</w:t>
            </w:r>
          </w:p>
        </w:tc>
        <w:tc>
          <w:tcPr>
            <w:tcW w:w="120" w:type="dxa"/>
            <w:vAlign w:val="bottom"/>
          </w:tcPr>
          <w:p w:rsidR="000728AD" w:rsidRDefault="000728AD">
            <w:pPr>
              <w:rPr>
                <w:sz w:val="21"/>
                <w:szCs w:val="21"/>
              </w:rPr>
            </w:pPr>
          </w:p>
        </w:tc>
        <w:tc>
          <w:tcPr>
            <w:tcW w:w="320" w:type="dxa"/>
            <w:vAlign w:val="bottom"/>
          </w:tcPr>
          <w:p w:rsidR="000728AD" w:rsidRDefault="000561BE">
            <w:pPr>
              <w:ind w:right="101"/>
              <w:jc w:val="right"/>
              <w:rPr>
                <w:sz w:val="20"/>
                <w:szCs w:val="20"/>
              </w:rPr>
            </w:pPr>
            <w:r>
              <w:rPr>
                <w:rFonts w:ascii="Arial" w:eastAsia="Arial" w:hAnsi="Arial" w:cs="Arial"/>
                <w:w w:val="89"/>
                <w:sz w:val="20"/>
                <w:szCs w:val="20"/>
              </w:rPr>
              <w:t>$</w:t>
            </w:r>
          </w:p>
        </w:tc>
        <w:tc>
          <w:tcPr>
            <w:tcW w:w="1180" w:type="dxa"/>
            <w:vAlign w:val="bottom"/>
          </w:tcPr>
          <w:p w:rsidR="000728AD" w:rsidRDefault="000561BE">
            <w:pPr>
              <w:jc w:val="right"/>
              <w:rPr>
                <w:sz w:val="20"/>
                <w:szCs w:val="20"/>
              </w:rPr>
            </w:pPr>
            <w:r>
              <w:rPr>
                <w:rFonts w:ascii="Arial" w:eastAsia="Arial" w:hAnsi="Arial" w:cs="Arial"/>
                <w:sz w:val="20"/>
                <w:szCs w:val="20"/>
              </w:rPr>
              <w:t>20,538</w:t>
            </w:r>
          </w:p>
        </w:tc>
        <w:tc>
          <w:tcPr>
            <w:tcW w:w="100" w:type="dxa"/>
            <w:vAlign w:val="bottom"/>
          </w:tcPr>
          <w:p w:rsidR="000728AD" w:rsidRDefault="000728AD">
            <w:pPr>
              <w:rPr>
                <w:sz w:val="21"/>
                <w:szCs w:val="21"/>
              </w:rPr>
            </w:pPr>
          </w:p>
        </w:tc>
        <w:tc>
          <w:tcPr>
            <w:tcW w:w="420" w:type="dxa"/>
            <w:vAlign w:val="bottom"/>
          </w:tcPr>
          <w:p w:rsidR="000728AD" w:rsidRDefault="000561BE">
            <w:pPr>
              <w:ind w:right="201"/>
              <w:jc w:val="right"/>
              <w:rPr>
                <w:sz w:val="20"/>
                <w:szCs w:val="20"/>
              </w:rPr>
            </w:pPr>
            <w:r>
              <w:rPr>
                <w:rFonts w:ascii="Arial" w:eastAsia="Arial" w:hAnsi="Arial" w:cs="Arial"/>
                <w:w w:val="89"/>
                <w:sz w:val="20"/>
                <w:szCs w:val="20"/>
              </w:rPr>
              <w:t>$</w:t>
            </w:r>
          </w:p>
        </w:tc>
        <w:tc>
          <w:tcPr>
            <w:tcW w:w="1100" w:type="dxa"/>
            <w:vAlign w:val="bottom"/>
          </w:tcPr>
          <w:p w:rsidR="000728AD" w:rsidRDefault="000561BE">
            <w:pPr>
              <w:jc w:val="right"/>
              <w:rPr>
                <w:sz w:val="20"/>
                <w:szCs w:val="20"/>
              </w:rPr>
            </w:pPr>
            <w:r>
              <w:rPr>
                <w:rFonts w:ascii="Arial" w:eastAsia="Arial" w:hAnsi="Arial" w:cs="Arial"/>
                <w:sz w:val="20"/>
                <w:szCs w:val="20"/>
              </w:rPr>
              <w:t>18,900</w:t>
            </w:r>
          </w:p>
        </w:tc>
        <w:tc>
          <w:tcPr>
            <w:tcW w:w="0" w:type="dxa"/>
            <w:vAlign w:val="bottom"/>
          </w:tcPr>
          <w:p w:rsidR="000728AD" w:rsidRDefault="000728AD">
            <w:pPr>
              <w:rPr>
                <w:sz w:val="1"/>
                <w:szCs w:val="1"/>
              </w:rPr>
            </w:pPr>
          </w:p>
        </w:tc>
      </w:tr>
      <w:tr w:rsidR="000728AD">
        <w:trPr>
          <w:trHeight w:val="243"/>
        </w:trPr>
        <w:tc>
          <w:tcPr>
            <w:tcW w:w="4780" w:type="dxa"/>
            <w:shd w:val="clear" w:color="auto" w:fill="CCEEFF"/>
            <w:vAlign w:val="bottom"/>
          </w:tcPr>
          <w:p w:rsidR="000728AD" w:rsidRDefault="000561BE">
            <w:pPr>
              <w:ind w:left="220"/>
              <w:rPr>
                <w:sz w:val="20"/>
                <w:szCs w:val="20"/>
              </w:rPr>
            </w:pPr>
            <w:r>
              <w:rPr>
                <w:rFonts w:ascii="Arial" w:eastAsia="Arial" w:hAnsi="Arial" w:cs="Arial"/>
                <w:sz w:val="20"/>
                <w:szCs w:val="20"/>
              </w:rPr>
              <w:t>General and administrative</w:t>
            </w:r>
          </w:p>
        </w:tc>
        <w:tc>
          <w:tcPr>
            <w:tcW w:w="320" w:type="dxa"/>
            <w:tcBorders>
              <w:bottom w:val="single" w:sz="8" w:space="0" w:color="auto"/>
            </w:tcBorders>
            <w:shd w:val="clear" w:color="auto" w:fill="CCEEFF"/>
            <w:vAlign w:val="bottom"/>
          </w:tcPr>
          <w:p w:rsidR="000728AD" w:rsidRDefault="000728AD">
            <w:pPr>
              <w:rPr>
                <w:sz w:val="21"/>
                <w:szCs w:val="21"/>
              </w:rPr>
            </w:pPr>
          </w:p>
        </w:tc>
        <w:tc>
          <w:tcPr>
            <w:tcW w:w="118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4,946</w:t>
            </w:r>
          </w:p>
        </w:tc>
        <w:tc>
          <w:tcPr>
            <w:tcW w:w="100" w:type="dxa"/>
            <w:shd w:val="clear" w:color="auto" w:fill="CCEEFF"/>
            <w:vAlign w:val="bottom"/>
          </w:tcPr>
          <w:p w:rsidR="000728AD" w:rsidRDefault="000728AD">
            <w:pPr>
              <w:rPr>
                <w:sz w:val="21"/>
                <w:szCs w:val="21"/>
              </w:rPr>
            </w:pPr>
          </w:p>
        </w:tc>
        <w:tc>
          <w:tcPr>
            <w:tcW w:w="400" w:type="dxa"/>
            <w:tcBorders>
              <w:bottom w:val="single" w:sz="8" w:space="0" w:color="auto"/>
            </w:tcBorders>
            <w:shd w:val="clear" w:color="auto" w:fill="CCEEFF"/>
            <w:vAlign w:val="bottom"/>
          </w:tcPr>
          <w:p w:rsidR="000728AD" w:rsidRDefault="000728AD">
            <w:pPr>
              <w:rPr>
                <w:sz w:val="21"/>
                <w:szCs w:val="21"/>
              </w:rPr>
            </w:pPr>
          </w:p>
        </w:tc>
        <w:tc>
          <w:tcPr>
            <w:tcW w:w="110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4,619</w:t>
            </w:r>
          </w:p>
        </w:tc>
        <w:tc>
          <w:tcPr>
            <w:tcW w:w="120" w:type="dxa"/>
            <w:shd w:val="clear" w:color="auto" w:fill="CCEEFF"/>
            <w:vAlign w:val="bottom"/>
          </w:tcPr>
          <w:p w:rsidR="000728AD" w:rsidRDefault="000728AD">
            <w:pPr>
              <w:rPr>
                <w:sz w:val="21"/>
                <w:szCs w:val="21"/>
              </w:rPr>
            </w:pPr>
          </w:p>
        </w:tc>
        <w:tc>
          <w:tcPr>
            <w:tcW w:w="320" w:type="dxa"/>
            <w:tcBorders>
              <w:bottom w:val="single" w:sz="8" w:space="0" w:color="auto"/>
            </w:tcBorders>
            <w:shd w:val="clear" w:color="auto" w:fill="CCEEFF"/>
            <w:vAlign w:val="bottom"/>
          </w:tcPr>
          <w:p w:rsidR="000728AD" w:rsidRDefault="000728AD">
            <w:pPr>
              <w:rPr>
                <w:sz w:val="21"/>
                <w:szCs w:val="21"/>
              </w:rPr>
            </w:pPr>
          </w:p>
        </w:tc>
        <w:tc>
          <w:tcPr>
            <w:tcW w:w="118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9,202</w:t>
            </w:r>
          </w:p>
        </w:tc>
        <w:tc>
          <w:tcPr>
            <w:tcW w:w="100" w:type="dxa"/>
            <w:shd w:val="clear" w:color="auto" w:fill="CCEEFF"/>
            <w:vAlign w:val="bottom"/>
          </w:tcPr>
          <w:p w:rsidR="000728AD" w:rsidRDefault="000728AD">
            <w:pPr>
              <w:rPr>
                <w:sz w:val="21"/>
                <w:szCs w:val="21"/>
              </w:rPr>
            </w:pPr>
          </w:p>
        </w:tc>
        <w:tc>
          <w:tcPr>
            <w:tcW w:w="420" w:type="dxa"/>
            <w:tcBorders>
              <w:bottom w:val="single" w:sz="8" w:space="0" w:color="auto"/>
            </w:tcBorders>
            <w:shd w:val="clear" w:color="auto" w:fill="CCEEFF"/>
            <w:vAlign w:val="bottom"/>
          </w:tcPr>
          <w:p w:rsidR="000728AD" w:rsidRDefault="000728AD">
            <w:pPr>
              <w:rPr>
                <w:sz w:val="21"/>
                <w:szCs w:val="21"/>
              </w:rPr>
            </w:pPr>
          </w:p>
        </w:tc>
        <w:tc>
          <w:tcPr>
            <w:tcW w:w="110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8,744</w:t>
            </w:r>
          </w:p>
        </w:tc>
        <w:tc>
          <w:tcPr>
            <w:tcW w:w="0" w:type="dxa"/>
            <w:vAlign w:val="bottom"/>
          </w:tcPr>
          <w:p w:rsidR="000728AD" w:rsidRDefault="000728AD">
            <w:pPr>
              <w:rPr>
                <w:sz w:val="1"/>
                <w:szCs w:val="1"/>
              </w:rPr>
            </w:pPr>
          </w:p>
        </w:tc>
      </w:tr>
      <w:tr w:rsidR="000728AD">
        <w:trPr>
          <w:trHeight w:val="236"/>
        </w:trPr>
        <w:tc>
          <w:tcPr>
            <w:tcW w:w="4780" w:type="dxa"/>
            <w:tcBorders>
              <w:bottom w:val="single" w:sz="8" w:space="0" w:color="CCEEFF"/>
            </w:tcBorders>
            <w:vAlign w:val="bottom"/>
          </w:tcPr>
          <w:p w:rsidR="000728AD" w:rsidRDefault="000561BE">
            <w:pPr>
              <w:ind w:left="220"/>
              <w:rPr>
                <w:sz w:val="20"/>
                <w:szCs w:val="20"/>
              </w:rPr>
            </w:pPr>
            <w:r>
              <w:rPr>
                <w:rFonts w:ascii="Arial" w:eastAsia="Arial" w:hAnsi="Arial" w:cs="Arial"/>
                <w:sz w:val="20"/>
                <w:szCs w:val="20"/>
              </w:rPr>
              <w:t>Total operating expenses</w:t>
            </w:r>
          </w:p>
        </w:tc>
        <w:tc>
          <w:tcPr>
            <w:tcW w:w="320" w:type="dxa"/>
            <w:tcBorders>
              <w:bottom w:val="single" w:sz="8" w:space="0" w:color="auto"/>
            </w:tcBorders>
            <w:vAlign w:val="bottom"/>
          </w:tcPr>
          <w:p w:rsidR="000728AD" w:rsidRDefault="000728AD">
            <w:pPr>
              <w:rPr>
                <w:sz w:val="20"/>
                <w:szCs w:val="20"/>
              </w:rPr>
            </w:pPr>
          </w:p>
        </w:tc>
        <w:tc>
          <w:tcPr>
            <w:tcW w:w="118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15,244</w:t>
            </w:r>
          </w:p>
        </w:tc>
        <w:tc>
          <w:tcPr>
            <w:tcW w:w="100" w:type="dxa"/>
            <w:tcBorders>
              <w:bottom w:val="single" w:sz="8" w:space="0" w:color="CCEEFF"/>
            </w:tcBorders>
            <w:vAlign w:val="bottom"/>
          </w:tcPr>
          <w:p w:rsidR="000728AD" w:rsidRDefault="000728AD">
            <w:pPr>
              <w:rPr>
                <w:sz w:val="20"/>
                <w:szCs w:val="20"/>
              </w:rPr>
            </w:pPr>
          </w:p>
        </w:tc>
        <w:tc>
          <w:tcPr>
            <w:tcW w:w="400" w:type="dxa"/>
            <w:tcBorders>
              <w:bottom w:val="single" w:sz="8" w:space="0" w:color="auto"/>
            </w:tcBorders>
            <w:vAlign w:val="bottom"/>
          </w:tcPr>
          <w:p w:rsidR="000728AD" w:rsidRDefault="000728AD">
            <w:pPr>
              <w:rPr>
                <w:sz w:val="20"/>
                <w:szCs w:val="20"/>
              </w:rPr>
            </w:pPr>
          </w:p>
        </w:tc>
        <w:tc>
          <w:tcPr>
            <w:tcW w:w="110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13,184</w:t>
            </w:r>
          </w:p>
        </w:tc>
        <w:tc>
          <w:tcPr>
            <w:tcW w:w="120" w:type="dxa"/>
            <w:tcBorders>
              <w:bottom w:val="single" w:sz="8" w:space="0" w:color="CCEEFF"/>
            </w:tcBorders>
            <w:vAlign w:val="bottom"/>
          </w:tcPr>
          <w:p w:rsidR="000728AD" w:rsidRDefault="000728AD">
            <w:pPr>
              <w:rPr>
                <w:sz w:val="20"/>
                <w:szCs w:val="20"/>
              </w:rPr>
            </w:pPr>
          </w:p>
        </w:tc>
        <w:tc>
          <w:tcPr>
            <w:tcW w:w="320" w:type="dxa"/>
            <w:tcBorders>
              <w:bottom w:val="single" w:sz="8" w:space="0" w:color="auto"/>
            </w:tcBorders>
            <w:vAlign w:val="bottom"/>
          </w:tcPr>
          <w:p w:rsidR="000728AD" w:rsidRDefault="000728AD">
            <w:pPr>
              <w:rPr>
                <w:sz w:val="20"/>
                <w:szCs w:val="20"/>
              </w:rPr>
            </w:pPr>
          </w:p>
        </w:tc>
        <w:tc>
          <w:tcPr>
            <w:tcW w:w="118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29,740</w:t>
            </w:r>
          </w:p>
        </w:tc>
        <w:tc>
          <w:tcPr>
            <w:tcW w:w="100" w:type="dxa"/>
            <w:tcBorders>
              <w:bottom w:val="single" w:sz="8" w:space="0" w:color="CCEEFF"/>
            </w:tcBorders>
            <w:vAlign w:val="bottom"/>
          </w:tcPr>
          <w:p w:rsidR="000728AD" w:rsidRDefault="000728AD">
            <w:pPr>
              <w:rPr>
                <w:sz w:val="20"/>
                <w:szCs w:val="20"/>
              </w:rPr>
            </w:pPr>
          </w:p>
        </w:tc>
        <w:tc>
          <w:tcPr>
            <w:tcW w:w="420" w:type="dxa"/>
            <w:tcBorders>
              <w:bottom w:val="single" w:sz="8" w:space="0" w:color="auto"/>
            </w:tcBorders>
            <w:vAlign w:val="bottom"/>
          </w:tcPr>
          <w:p w:rsidR="000728AD" w:rsidRDefault="000728AD">
            <w:pPr>
              <w:rPr>
                <w:sz w:val="20"/>
                <w:szCs w:val="20"/>
              </w:rPr>
            </w:pPr>
          </w:p>
        </w:tc>
        <w:tc>
          <w:tcPr>
            <w:tcW w:w="110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27,644</w:t>
            </w:r>
          </w:p>
        </w:tc>
        <w:tc>
          <w:tcPr>
            <w:tcW w:w="0" w:type="dxa"/>
            <w:vAlign w:val="bottom"/>
          </w:tcPr>
          <w:p w:rsidR="000728AD" w:rsidRDefault="000728AD">
            <w:pPr>
              <w:rPr>
                <w:sz w:val="1"/>
                <w:szCs w:val="1"/>
              </w:rPr>
            </w:pPr>
          </w:p>
        </w:tc>
      </w:tr>
      <w:tr w:rsidR="000728AD">
        <w:trPr>
          <w:trHeight w:val="237"/>
        </w:trPr>
        <w:tc>
          <w:tcPr>
            <w:tcW w:w="4780" w:type="dxa"/>
            <w:shd w:val="clear" w:color="auto" w:fill="CCEEFF"/>
            <w:vAlign w:val="bottom"/>
          </w:tcPr>
          <w:p w:rsidR="000728AD" w:rsidRDefault="000561BE">
            <w:pPr>
              <w:ind w:left="20"/>
              <w:rPr>
                <w:sz w:val="20"/>
                <w:szCs w:val="20"/>
              </w:rPr>
            </w:pPr>
            <w:r>
              <w:rPr>
                <w:rFonts w:ascii="Arial" w:eastAsia="Arial" w:hAnsi="Arial" w:cs="Arial"/>
                <w:sz w:val="20"/>
                <w:szCs w:val="20"/>
              </w:rPr>
              <w:t>Loss from operations</w:t>
            </w:r>
          </w:p>
        </w:tc>
        <w:tc>
          <w:tcPr>
            <w:tcW w:w="320" w:type="dxa"/>
            <w:shd w:val="clear" w:color="auto" w:fill="CCEEFF"/>
            <w:vAlign w:val="bottom"/>
          </w:tcPr>
          <w:p w:rsidR="000728AD" w:rsidRDefault="000728AD">
            <w:pPr>
              <w:rPr>
                <w:sz w:val="20"/>
                <w:szCs w:val="20"/>
              </w:rPr>
            </w:pPr>
          </w:p>
        </w:tc>
        <w:tc>
          <w:tcPr>
            <w:tcW w:w="1180" w:type="dxa"/>
            <w:shd w:val="clear" w:color="auto" w:fill="CCEEFF"/>
            <w:vAlign w:val="bottom"/>
          </w:tcPr>
          <w:p w:rsidR="000728AD" w:rsidRDefault="000561BE">
            <w:pPr>
              <w:jc w:val="right"/>
              <w:rPr>
                <w:sz w:val="20"/>
                <w:szCs w:val="20"/>
              </w:rPr>
            </w:pPr>
            <w:r>
              <w:rPr>
                <w:rFonts w:ascii="Arial" w:eastAsia="Arial" w:hAnsi="Arial" w:cs="Arial"/>
                <w:sz w:val="20"/>
                <w:szCs w:val="20"/>
              </w:rPr>
              <w:t>(15,244)</w:t>
            </w:r>
          </w:p>
        </w:tc>
        <w:tc>
          <w:tcPr>
            <w:tcW w:w="100" w:type="dxa"/>
            <w:shd w:val="clear" w:color="auto" w:fill="CCEEFF"/>
            <w:vAlign w:val="bottom"/>
          </w:tcPr>
          <w:p w:rsidR="000728AD" w:rsidRDefault="000728AD">
            <w:pPr>
              <w:rPr>
                <w:sz w:val="20"/>
                <w:szCs w:val="20"/>
              </w:rPr>
            </w:pPr>
          </w:p>
        </w:tc>
        <w:tc>
          <w:tcPr>
            <w:tcW w:w="400" w:type="dxa"/>
            <w:shd w:val="clear" w:color="auto" w:fill="CCEEFF"/>
            <w:vAlign w:val="bottom"/>
          </w:tcPr>
          <w:p w:rsidR="000728AD" w:rsidRDefault="000728AD">
            <w:pPr>
              <w:rPr>
                <w:sz w:val="20"/>
                <w:szCs w:val="20"/>
              </w:rPr>
            </w:pPr>
          </w:p>
        </w:tc>
        <w:tc>
          <w:tcPr>
            <w:tcW w:w="1100" w:type="dxa"/>
            <w:shd w:val="clear" w:color="auto" w:fill="CCEEFF"/>
            <w:vAlign w:val="bottom"/>
          </w:tcPr>
          <w:p w:rsidR="000728AD" w:rsidRDefault="000561BE">
            <w:pPr>
              <w:jc w:val="right"/>
              <w:rPr>
                <w:sz w:val="20"/>
                <w:szCs w:val="20"/>
              </w:rPr>
            </w:pPr>
            <w:r>
              <w:rPr>
                <w:rFonts w:ascii="Arial" w:eastAsia="Arial" w:hAnsi="Arial" w:cs="Arial"/>
                <w:sz w:val="20"/>
                <w:szCs w:val="20"/>
              </w:rPr>
              <w:t>(13,184)</w:t>
            </w:r>
          </w:p>
        </w:tc>
        <w:tc>
          <w:tcPr>
            <w:tcW w:w="120" w:type="dxa"/>
            <w:shd w:val="clear" w:color="auto" w:fill="CCEEFF"/>
            <w:vAlign w:val="bottom"/>
          </w:tcPr>
          <w:p w:rsidR="000728AD" w:rsidRDefault="000728AD">
            <w:pPr>
              <w:rPr>
                <w:sz w:val="20"/>
                <w:szCs w:val="20"/>
              </w:rPr>
            </w:pPr>
          </w:p>
        </w:tc>
        <w:tc>
          <w:tcPr>
            <w:tcW w:w="320" w:type="dxa"/>
            <w:shd w:val="clear" w:color="auto" w:fill="CCEEFF"/>
            <w:vAlign w:val="bottom"/>
          </w:tcPr>
          <w:p w:rsidR="000728AD" w:rsidRDefault="000728AD">
            <w:pPr>
              <w:rPr>
                <w:sz w:val="20"/>
                <w:szCs w:val="20"/>
              </w:rPr>
            </w:pPr>
          </w:p>
        </w:tc>
        <w:tc>
          <w:tcPr>
            <w:tcW w:w="1180" w:type="dxa"/>
            <w:shd w:val="clear" w:color="auto" w:fill="CCEEFF"/>
            <w:vAlign w:val="bottom"/>
          </w:tcPr>
          <w:p w:rsidR="000728AD" w:rsidRDefault="000561BE">
            <w:pPr>
              <w:jc w:val="right"/>
              <w:rPr>
                <w:sz w:val="20"/>
                <w:szCs w:val="20"/>
              </w:rPr>
            </w:pPr>
            <w:r>
              <w:rPr>
                <w:rFonts w:ascii="Arial" w:eastAsia="Arial" w:hAnsi="Arial" w:cs="Arial"/>
                <w:sz w:val="20"/>
                <w:szCs w:val="20"/>
              </w:rPr>
              <w:t>(29,740)</w:t>
            </w:r>
          </w:p>
        </w:tc>
        <w:tc>
          <w:tcPr>
            <w:tcW w:w="100" w:type="dxa"/>
            <w:shd w:val="clear" w:color="auto" w:fill="CCEEFF"/>
            <w:vAlign w:val="bottom"/>
          </w:tcPr>
          <w:p w:rsidR="000728AD" w:rsidRDefault="000728AD">
            <w:pPr>
              <w:rPr>
                <w:sz w:val="20"/>
                <w:szCs w:val="20"/>
              </w:rPr>
            </w:pPr>
          </w:p>
        </w:tc>
        <w:tc>
          <w:tcPr>
            <w:tcW w:w="420" w:type="dxa"/>
            <w:shd w:val="clear" w:color="auto" w:fill="CCEEFF"/>
            <w:vAlign w:val="bottom"/>
          </w:tcPr>
          <w:p w:rsidR="000728AD" w:rsidRDefault="000728AD">
            <w:pPr>
              <w:rPr>
                <w:sz w:val="20"/>
                <w:szCs w:val="20"/>
              </w:rPr>
            </w:pPr>
          </w:p>
        </w:tc>
        <w:tc>
          <w:tcPr>
            <w:tcW w:w="1100" w:type="dxa"/>
            <w:shd w:val="clear" w:color="auto" w:fill="CCEEFF"/>
            <w:vAlign w:val="bottom"/>
          </w:tcPr>
          <w:p w:rsidR="000728AD" w:rsidRDefault="000561BE">
            <w:pPr>
              <w:jc w:val="right"/>
              <w:rPr>
                <w:sz w:val="20"/>
                <w:szCs w:val="20"/>
              </w:rPr>
            </w:pPr>
            <w:r>
              <w:rPr>
                <w:rFonts w:ascii="Arial" w:eastAsia="Arial" w:hAnsi="Arial" w:cs="Arial"/>
                <w:sz w:val="20"/>
                <w:szCs w:val="20"/>
              </w:rPr>
              <w:t>(27,644)</w:t>
            </w:r>
          </w:p>
        </w:tc>
        <w:tc>
          <w:tcPr>
            <w:tcW w:w="0" w:type="dxa"/>
            <w:vAlign w:val="bottom"/>
          </w:tcPr>
          <w:p w:rsidR="000728AD" w:rsidRDefault="000728AD">
            <w:pPr>
              <w:rPr>
                <w:sz w:val="1"/>
                <w:szCs w:val="1"/>
              </w:rPr>
            </w:pPr>
          </w:p>
        </w:tc>
      </w:tr>
      <w:tr w:rsidR="000728AD">
        <w:trPr>
          <w:trHeight w:val="243"/>
        </w:trPr>
        <w:tc>
          <w:tcPr>
            <w:tcW w:w="4780" w:type="dxa"/>
            <w:vAlign w:val="bottom"/>
          </w:tcPr>
          <w:p w:rsidR="000728AD" w:rsidRDefault="000561BE">
            <w:pPr>
              <w:ind w:left="20"/>
              <w:rPr>
                <w:sz w:val="20"/>
                <w:szCs w:val="20"/>
              </w:rPr>
            </w:pPr>
            <w:r>
              <w:rPr>
                <w:rFonts w:ascii="Arial" w:eastAsia="Arial" w:hAnsi="Arial" w:cs="Arial"/>
                <w:sz w:val="20"/>
                <w:szCs w:val="20"/>
              </w:rPr>
              <w:t>Other income (expense):</w:t>
            </w:r>
          </w:p>
        </w:tc>
        <w:tc>
          <w:tcPr>
            <w:tcW w:w="320" w:type="dxa"/>
            <w:vAlign w:val="bottom"/>
          </w:tcPr>
          <w:p w:rsidR="000728AD" w:rsidRDefault="000728AD">
            <w:pPr>
              <w:rPr>
                <w:sz w:val="21"/>
                <w:szCs w:val="21"/>
              </w:rPr>
            </w:pPr>
          </w:p>
        </w:tc>
        <w:tc>
          <w:tcPr>
            <w:tcW w:w="1180" w:type="dxa"/>
            <w:vAlign w:val="bottom"/>
          </w:tcPr>
          <w:p w:rsidR="000728AD" w:rsidRDefault="000728AD">
            <w:pPr>
              <w:rPr>
                <w:sz w:val="21"/>
                <w:szCs w:val="21"/>
              </w:rPr>
            </w:pPr>
          </w:p>
        </w:tc>
        <w:tc>
          <w:tcPr>
            <w:tcW w:w="100" w:type="dxa"/>
            <w:vAlign w:val="bottom"/>
          </w:tcPr>
          <w:p w:rsidR="000728AD" w:rsidRDefault="000728AD">
            <w:pPr>
              <w:rPr>
                <w:sz w:val="21"/>
                <w:szCs w:val="21"/>
              </w:rPr>
            </w:pPr>
          </w:p>
        </w:tc>
        <w:tc>
          <w:tcPr>
            <w:tcW w:w="400" w:type="dxa"/>
            <w:vAlign w:val="bottom"/>
          </w:tcPr>
          <w:p w:rsidR="000728AD" w:rsidRDefault="000728AD">
            <w:pPr>
              <w:rPr>
                <w:sz w:val="21"/>
                <w:szCs w:val="21"/>
              </w:rPr>
            </w:pPr>
          </w:p>
        </w:tc>
        <w:tc>
          <w:tcPr>
            <w:tcW w:w="1100" w:type="dxa"/>
            <w:vAlign w:val="bottom"/>
          </w:tcPr>
          <w:p w:rsidR="000728AD" w:rsidRDefault="000728AD">
            <w:pPr>
              <w:rPr>
                <w:sz w:val="21"/>
                <w:szCs w:val="21"/>
              </w:rPr>
            </w:pPr>
          </w:p>
        </w:tc>
        <w:tc>
          <w:tcPr>
            <w:tcW w:w="120" w:type="dxa"/>
            <w:vAlign w:val="bottom"/>
          </w:tcPr>
          <w:p w:rsidR="000728AD" w:rsidRDefault="000728AD">
            <w:pPr>
              <w:rPr>
                <w:sz w:val="21"/>
                <w:szCs w:val="21"/>
              </w:rPr>
            </w:pPr>
          </w:p>
        </w:tc>
        <w:tc>
          <w:tcPr>
            <w:tcW w:w="320" w:type="dxa"/>
            <w:vAlign w:val="bottom"/>
          </w:tcPr>
          <w:p w:rsidR="000728AD" w:rsidRDefault="000728AD">
            <w:pPr>
              <w:rPr>
                <w:sz w:val="21"/>
                <w:szCs w:val="21"/>
              </w:rPr>
            </w:pPr>
          </w:p>
        </w:tc>
        <w:tc>
          <w:tcPr>
            <w:tcW w:w="1180" w:type="dxa"/>
            <w:vAlign w:val="bottom"/>
          </w:tcPr>
          <w:p w:rsidR="000728AD" w:rsidRDefault="000728AD">
            <w:pPr>
              <w:rPr>
                <w:sz w:val="21"/>
                <w:szCs w:val="21"/>
              </w:rPr>
            </w:pPr>
          </w:p>
        </w:tc>
        <w:tc>
          <w:tcPr>
            <w:tcW w:w="100" w:type="dxa"/>
            <w:vAlign w:val="bottom"/>
          </w:tcPr>
          <w:p w:rsidR="000728AD" w:rsidRDefault="000728AD">
            <w:pPr>
              <w:rPr>
                <w:sz w:val="21"/>
                <w:szCs w:val="21"/>
              </w:rPr>
            </w:pPr>
          </w:p>
        </w:tc>
        <w:tc>
          <w:tcPr>
            <w:tcW w:w="420" w:type="dxa"/>
            <w:vAlign w:val="bottom"/>
          </w:tcPr>
          <w:p w:rsidR="000728AD" w:rsidRDefault="000728AD">
            <w:pPr>
              <w:rPr>
                <w:sz w:val="21"/>
                <w:szCs w:val="21"/>
              </w:rPr>
            </w:pPr>
          </w:p>
        </w:tc>
        <w:tc>
          <w:tcPr>
            <w:tcW w:w="1100" w:type="dxa"/>
            <w:vAlign w:val="bottom"/>
          </w:tcPr>
          <w:p w:rsidR="000728AD" w:rsidRDefault="000728AD">
            <w:pPr>
              <w:rPr>
                <w:sz w:val="21"/>
                <w:szCs w:val="21"/>
              </w:rPr>
            </w:pPr>
          </w:p>
        </w:tc>
        <w:tc>
          <w:tcPr>
            <w:tcW w:w="0" w:type="dxa"/>
            <w:vAlign w:val="bottom"/>
          </w:tcPr>
          <w:p w:rsidR="000728AD" w:rsidRDefault="000728AD">
            <w:pPr>
              <w:rPr>
                <w:sz w:val="1"/>
                <w:szCs w:val="1"/>
              </w:rPr>
            </w:pPr>
          </w:p>
        </w:tc>
      </w:tr>
      <w:tr w:rsidR="000728AD">
        <w:trPr>
          <w:trHeight w:val="243"/>
        </w:trPr>
        <w:tc>
          <w:tcPr>
            <w:tcW w:w="4780" w:type="dxa"/>
            <w:shd w:val="clear" w:color="auto" w:fill="CCEEFF"/>
            <w:vAlign w:val="bottom"/>
          </w:tcPr>
          <w:p w:rsidR="000728AD" w:rsidRDefault="000561BE">
            <w:pPr>
              <w:ind w:left="220"/>
              <w:rPr>
                <w:sz w:val="20"/>
                <w:szCs w:val="20"/>
              </w:rPr>
            </w:pPr>
            <w:r>
              <w:rPr>
                <w:rFonts w:ascii="Arial" w:eastAsia="Arial" w:hAnsi="Arial" w:cs="Arial"/>
                <w:sz w:val="20"/>
                <w:szCs w:val="20"/>
              </w:rPr>
              <w:t>Interest income</w:t>
            </w:r>
          </w:p>
        </w:tc>
        <w:tc>
          <w:tcPr>
            <w:tcW w:w="320" w:type="dxa"/>
            <w:shd w:val="clear" w:color="auto" w:fill="CCEEFF"/>
            <w:vAlign w:val="bottom"/>
          </w:tcPr>
          <w:p w:rsidR="000728AD" w:rsidRDefault="000728AD">
            <w:pPr>
              <w:rPr>
                <w:sz w:val="21"/>
                <w:szCs w:val="21"/>
              </w:rPr>
            </w:pPr>
          </w:p>
        </w:tc>
        <w:tc>
          <w:tcPr>
            <w:tcW w:w="1180" w:type="dxa"/>
            <w:shd w:val="clear" w:color="auto" w:fill="CCEEFF"/>
            <w:vAlign w:val="bottom"/>
          </w:tcPr>
          <w:p w:rsidR="000728AD" w:rsidRDefault="000561BE">
            <w:pPr>
              <w:jc w:val="right"/>
              <w:rPr>
                <w:sz w:val="20"/>
                <w:szCs w:val="20"/>
              </w:rPr>
            </w:pPr>
            <w:r>
              <w:rPr>
                <w:rFonts w:ascii="Arial" w:eastAsia="Arial" w:hAnsi="Arial" w:cs="Arial"/>
                <w:sz w:val="20"/>
                <w:szCs w:val="20"/>
              </w:rPr>
              <w:t>48</w:t>
            </w:r>
          </w:p>
        </w:tc>
        <w:tc>
          <w:tcPr>
            <w:tcW w:w="100" w:type="dxa"/>
            <w:shd w:val="clear" w:color="auto" w:fill="CCEEFF"/>
            <w:vAlign w:val="bottom"/>
          </w:tcPr>
          <w:p w:rsidR="000728AD" w:rsidRDefault="000728AD">
            <w:pPr>
              <w:rPr>
                <w:sz w:val="21"/>
                <w:szCs w:val="21"/>
              </w:rPr>
            </w:pPr>
          </w:p>
        </w:tc>
        <w:tc>
          <w:tcPr>
            <w:tcW w:w="400" w:type="dxa"/>
            <w:shd w:val="clear" w:color="auto" w:fill="CCEEFF"/>
            <w:vAlign w:val="bottom"/>
          </w:tcPr>
          <w:p w:rsidR="000728AD" w:rsidRDefault="000728AD">
            <w:pPr>
              <w:rPr>
                <w:sz w:val="21"/>
                <w:szCs w:val="21"/>
              </w:rPr>
            </w:pPr>
          </w:p>
        </w:tc>
        <w:tc>
          <w:tcPr>
            <w:tcW w:w="1100" w:type="dxa"/>
            <w:shd w:val="clear" w:color="auto" w:fill="CCEEFF"/>
            <w:vAlign w:val="bottom"/>
          </w:tcPr>
          <w:p w:rsidR="000728AD" w:rsidRDefault="000561BE">
            <w:pPr>
              <w:jc w:val="right"/>
              <w:rPr>
                <w:sz w:val="20"/>
                <w:szCs w:val="20"/>
              </w:rPr>
            </w:pPr>
            <w:r>
              <w:rPr>
                <w:rFonts w:ascii="Arial" w:eastAsia="Arial" w:hAnsi="Arial" w:cs="Arial"/>
                <w:sz w:val="20"/>
                <w:szCs w:val="20"/>
              </w:rPr>
              <w:t>18</w:t>
            </w:r>
          </w:p>
        </w:tc>
        <w:tc>
          <w:tcPr>
            <w:tcW w:w="120" w:type="dxa"/>
            <w:shd w:val="clear" w:color="auto" w:fill="CCEEFF"/>
            <w:vAlign w:val="bottom"/>
          </w:tcPr>
          <w:p w:rsidR="000728AD" w:rsidRDefault="000728AD">
            <w:pPr>
              <w:rPr>
                <w:sz w:val="21"/>
                <w:szCs w:val="21"/>
              </w:rPr>
            </w:pPr>
          </w:p>
        </w:tc>
        <w:tc>
          <w:tcPr>
            <w:tcW w:w="320" w:type="dxa"/>
            <w:shd w:val="clear" w:color="auto" w:fill="CCEEFF"/>
            <w:vAlign w:val="bottom"/>
          </w:tcPr>
          <w:p w:rsidR="000728AD" w:rsidRDefault="000728AD">
            <w:pPr>
              <w:rPr>
                <w:sz w:val="21"/>
                <w:szCs w:val="21"/>
              </w:rPr>
            </w:pPr>
          </w:p>
        </w:tc>
        <w:tc>
          <w:tcPr>
            <w:tcW w:w="1180" w:type="dxa"/>
            <w:shd w:val="clear" w:color="auto" w:fill="CCEEFF"/>
            <w:vAlign w:val="bottom"/>
          </w:tcPr>
          <w:p w:rsidR="000728AD" w:rsidRDefault="000561BE">
            <w:pPr>
              <w:jc w:val="right"/>
              <w:rPr>
                <w:sz w:val="20"/>
                <w:szCs w:val="20"/>
              </w:rPr>
            </w:pPr>
            <w:r>
              <w:rPr>
                <w:rFonts w:ascii="Arial" w:eastAsia="Arial" w:hAnsi="Arial" w:cs="Arial"/>
                <w:sz w:val="20"/>
                <w:szCs w:val="20"/>
              </w:rPr>
              <w:t>83</w:t>
            </w:r>
          </w:p>
        </w:tc>
        <w:tc>
          <w:tcPr>
            <w:tcW w:w="100" w:type="dxa"/>
            <w:shd w:val="clear" w:color="auto" w:fill="CCEEFF"/>
            <w:vAlign w:val="bottom"/>
          </w:tcPr>
          <w:p w:rsidR="000728AD" w:rsidRDefault="000728AD">
            <w:pPr>
              <w:rPr>
                <w:sz w:val="21"/>
                <w:szCs w:val="21"/>
              </w:rPr>
            </w:pPr>
          </w:p>
        </w:tc>
        <w:tc>
          <w:tcPr>
            <w:tcW w:w="420" w:type="dxa"/>
            <w:shd w:val="clear" w:color="auto" w:fill="CCEEFF"/>
            <w:vAlign w:val="bottom"/>
          </w:tcPr>
          <w:p w:rsidR="000728AD" w:rsidRDefault="000728AD">
            <w:pPr>
              <w:rPr>
                <w:sz w:val="21"/>
                <w:szCs w:val="21"/>
              </w:rPr>
            </w:pPr>
          </w:p>
        </w:tc>
        <w:tc>
          <w:tcPr>
            <w:tcW w:w="1100" w:type="dxa"/>
            <w:shd w:val="clear" w:color="auto" w:fill="CCEEFF"/>
            <w:vAlign w:val="bottom"/>
          </w:tcPr>
          <w:p w:rsidR="000728AD" w:rsidRDefault="000561BE">
            <w:pPr>
              <w:jc w:val="right"/>
              <w:rPr>
                <w:sz w:val="20"/>
                <w:szCs w:val="20"/>
              </w:rPr>
            </w:pPr>
            <w:r>
              <w:rPr>
                <w:rFonts w:ascii="Arial" w:eastAsia="Arial" w:hAnsi="Arial" w:cs="Arial"/>
                <w:sz w:val="20"/>
                <w:szCs w:val="20"/>
              </w:rPr>
              <w:t>275</w:t>
            </w:r>
          </w:p>
        </w:tc>
        <w:tc>
          <w:tcPr>
            <w:tcW w:w="0" w:type="dxa"/>
            <w:vAlign w:val="bottom"/>
          </w:tcPr>
          <w:p w:rsidR="000728AD" w:rsidRDefault="000728AD">
            <w:pPr>
              <w:rPr>
                <w:sz w:val="1"/>
                <w:szCs w:val="1"/>
              </w:rPr>
            </w:pPr>
          </w:p>
        </w:tc>
      </w:tr>
      <w:tr w:rsidR="000728AD">
        <w:trPr>
          <w:trHeight w:val="243"/>
        </w:trPr>
        <w:tc>
          <w:tcPr>
            <w:tcW w:w="4780" w:type="dxa"/>
            <w:vAlign w:val="bottom"/>
          </w:tcPr>
          <w:p w:rsidR="000728AD" w:rsidRDefault="000561BE">
            <w:pPr>
              <w:ind w:left="220"/>
              <w:rPr>
                <w:sz w:val="20"/>
                <w:szCs w:val="20"/>
              </w:rPr>
            </w:pPr>
            <w:r>
              <w:rPr>
                <w:rFonts w:ascii="Arial" w:eastAsia="Arial" w:hAnsi="Arial" w:cs="Arial"/>
                <w:sz w:val="20"/>
                <w:szCs w:val="20"/>
              </w:rPr>
              <w:t>Interest expense</w:t>
            </w:r>
          </w:p>
        </w:tc>
        <w:tc>
          <w:tcPr>
            <w:tcW w:w="320" w:type="dxa"/>
            <w:vAlign w:val="bottom"/>
          </w:tcPr>
          <w:p w:rsidR="000728AD" w:rsidRDefault="000728AD">
            <w:pPr>
              <w:rPr>
                <w:sz w:val="21"/>
                <w:szCs w:val="21"/>
              </w:rPr>
            </w:pPr>
          </w:p>
        </w:tc>
        <w:tc>
          <w:tcPr>
            <w:tcW w:w="1180" w:type="dxa"/>
            <w:vAlign w:val="bottom"/>
          </w:tcPr>
          <w:p w:rsidR="000728AD" w:rsidRDefault="000561BE">
            <w:pPr>
              <w:jc w:val="right"/>
              <w:rPr>
                <w:sz w:val="20"/>
                <w:szCs w:val="20"/>
              </w:rPr>
            </w:pPr>
            <w:r>
              <w:rPr>
                <w:rFonts w:ascii="Arial" w:eastAsia="Arial" w:hAnsi="Arial" w:cs="Arial"/>
                <w:sz w:val="20"/>
                <w:szCs w:val="20"/>
              </w:rPr>
              <w:t>(734)</w:t>
            </w:r>
          </w:p>
        </w:tc>
        <w:tc>
          <w:tcPr>
            <w:tcW w:w="100" w:type="dxa"/>
            <w:vAlign w:val="bottom"/>
          </w:tcPr>
          <w:p w:rsidR="000728AD" w:rsidRDefault="000728AD">
            <w:pPr>
              <w:rPr>
                <w:sz w:val="21"/>
                <w:szCs w:val="21"/>
              </w:rPr>
            </w:pPr>
          </w:p>
        </w:tc>
        <w:tc>
          <w:tcPr>
            <w:tcW w:w="400" w:type="dxa"/>
            <w:vAlign w:val="bottom"/>
          </w:tcPr>
          <w:p w:rsidR="000728AD" w:rsidRDefault="000728AD">
            <w:pPr>
              <w:rPr>
                <w:sz w:val="21"/>
                <w:szCs w:val="21"/>
              </w:rPr>
            </w:pPr>
          </w:p>
        </w:tc>
        <w:tc>
          <w:tcPr>
            <w:tcW w:w="1100" w:type="dxa"/>
            <w:vAlign w:val="bottom"/>
          </w:tcPr>
          <w:p w:rsidR="000728AD" w:rsidRDefault="000561BE">
            <w:pPr>
              <w:jc w:val="right"/>
              <w:rPr>
                <w:sz w:val="20"/>
                <w:szCs w:val="20"/>
              </w:rPr>
            </w:pPr>
            <w:r>
              <w:rPr>
                <w:rFonts w:ascii="Arial" w:eastAsia="Arial" w:hAnsi="Arial" w:cs="Arial"/>
                <w:sz w:val="20"/>
                <w:szCs w:val="20"/>
              </w:rPr>
              <w:t>(728)</w:t>
            </w:r>
          </w:p>
        </w:tc>
        <w:tc>
          <w:tcPr>
            <w:tcW w:w="120" w:type="dxa"/>
            <w:vAlign w:val="bottom"/>
          </w:tcPr>
          <w:p w:rsidR="000728AD" w:rsidRDefault="000728AD">
            <w:pPr>
              <w:rPr>
                <w:sz w:val="21"/>
                <w:szCs w:val="21"/>
              </w:rPr>
            </w:pPr>
          </w:p>
        </w:tc>
        <w:tc>
          <w:tcPr>
            <w:tcW w:w="320" w:type="dxa"/>
            <w:vAlign w:val="bottom"/>
          </w:tcPr>
          <w:p w:rsidR="000728AD" w:rsidRDefault="000728AD">
            <w:pPr>
              <w:rPr>
                <w:sz w:val="21"/>
                <w:szCs w:val="21"/>
              </w:rPr>
            </w:pPr>
          </w:p>
        </w:tc>
        <w:tc>
          <w:tcPr>
            <w:tcW w:w="1180" w:type="dxa"/>
            <w:vAlign w:val="bottom"/>
          </w:tcPr>
          <w:p w:rsidR="000728AD" w:rsidRDefault="000561BE">
            <w:pPr>
              <w:jc w:val="right"/>
              <w:rPr>
                <w:sz w:val="20"/>
                <w:szCs w:val="20"/>
              </w:rPr>
            </w:pPr>
            <w:r>
              <w:rPr>
                <w:rFonts w:ascii="Arial" w:eastAsia="Arial" w:hAnsi="Arial" w:cs="Arial"/>
                <w:sz w:val="20"/>
                <w:szCs w:val="20"/>
              </w:rPr>
              <w:t>(1,462)</w:t>
            </w:r>
          </w:p>
        </w:tc>
        <w:tc>
          <w:tcPr>
            <w:tcW w:w="100" w:type="dxa"/>
            <w:vAlign w:val="bottom"/>
          </w:tcPr>
          <w:p w:rsidR="000728AD" w:rsidRDefault="000728AD">
            <w:pPr>
              <w:rPr>
                <w:sz w:val="21"/>
                <w:szCs w:val="21"/>
              </w:rPr>
            </w:pPr>
          </w:p>
        </w:tc>
        <w:tc>
          <w:tcPr>
            <w:tcW w:w="420" w:type="dxa"/>
            <w:vAlign w:val="bottom"/>
          </w:tcPr>
          <w:p w:rsidR="000728AD" w:rsidRDefault="000728AD">
            <w:pPr>
              <w:rPr>
                <w:sz w:val="21"/>
                <w:szCs w:val="21"/>
              </w:rPr>
            </w:pPr>
          </w:p>
        </w:tc>
        <w:tc>
          <w:tcPr>
            <w:tcW w:w="1100" w:type="dxa"/>
            <w:vAlign w:val="bottom"/>
          </w:tcPr>
          <w:p w:rsidR="000728AD" w:rsidRDefault="000561BE">
            <w:pPr>
              <w:jc w:val="right"/>
              <w:rPr>
                <w:sz w:val="20"/>
                <w:szCs w:val="20"/>
              </w:rPr>
            </w:pPr>
            <w:r>
              <w:rPr>
                <w:rFonts w:ascii="Arial" w:eastAsia="Arial" w:hAnsi="Arial" w:cs="Arial"/>
                <w:sz w:val="20"/>
                <w:szCs w:val="20"/>
              </w:rPr>
              <w:t>(1,530)</w:t>
            </w:r>
          </w:p>
        </w:tc>
        <w:tc>
          <w:tcPr>
            <w:tcW w:w="0" w:type="dxa"/>
            <w:vAlign w:val="bottom"/>
          </w:tcPr>
          <w:p w:rsidR="000728AD" w:rsidRDefault="000728AD">
            <w:pPr>
              <w:rPr>
                <w:sz w:val="1"/>
                <w:szCs w:val="1"/>
              </w:rPr>
            </w:pPr>
          </w:p>
        </w:tc>
      </w:tr>
      <w:tr w:rsidR="000728AD">
        <w:trPr>
          <w:trHeight w:val="243"/>
        </w:trPr>
        <w:tc>
          <w:tcPr>
            <w:tcW w:w="4780" w:type="dxa"/>
            <w:shd w:val="clear" w:color="auto" w:fill="CCEEFF"/>
            <w:vAlign w:val="bottom"/>
          </w:tcPr>
          <w:p w:rsidR="000728AD" w:rsidRDefault="000561BE">
            <w:pPr>
              <w:ind w:left="220"/>
              <w:rPr>
                <w:sz w:val="20"/>
                <w:szCs w:val="20"/>
              </w:rPr>
            </w:pPr>
            <w:r>
              <w:rPr>
                <w:rFonts w:ascii="Arial" w:eastAsia="Arial" w:hAnsi="Arial" w:cs="Arial"/>
                <w:sz w:val="20"/>
                <w:szCs w:val="20"/>
              </w:rPr>
              <w:t>Other income (expense), net</w:t>
            </w:r>
          </w:p>
        </w:tc>
        <w:tc>
          <w:tcPr>
            <w:tcW w:w="320" w:type="dxa"/>
            <w:tcBorders>
              <w:bottom w:val="single" w:sz="8" w:space="0" w:color="auto"/>
            </w:tcBorders>
            <w:shd w:val="clear" w:color="auto" w:fill="CCEEFF"/>
            <w:vAlign w:val="bottom"/>
          </w:tcPr>
          <w:p w:rsidR="000728AD" w:rsidRDefault="000728AD">
            <w:pPr>
              <w:rPr>
                <w:sz w:val="21"/>
                <w:szCs w:val="21"/>
              </w:rPr>
            </w:pPr>
          </w:p>
        </w:tc>
        <w:tc>
          <w:tcPr>
            <w:tcW w:w="118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(5)</w:t>
            </w:r>
          </w:p>
        </w:tc>
        <w:tc>
          <w:tcPr>
            <w:tcW w:w="100" w:type="dxa"/>
            <w:shd w:val="clear" w:color="auto" w:fill="CCEEFF"/>
            <w:vAlign w:val="bottom"/>
          </w:tcPr>
          <w:p w:rsidR="000728AD" w:rsidRDefault="000728AD">
            <w:pPr>
              <w:rPr>
                <w:sz w:val="21"/>
                <w:szCs w:val="21"/>
              </w:rPr>
            </w:pPr>
          </w:p>
        </w:tc>
        <w:tc>
          <w:tcPr>
            <w:tcW w:w="400" w:type="dxa"/>
            <w:tcBorders>
              <w:bottom w:val="single" w:sz="8" w:space="0" w:color="auto"/>
            </w:tcBorders>
            <w:shd w:val="clear" w:color="auto" w:fill="CCEEFF"/>
            <w:vAlign w:val="bottom"/>
          </w:tcPr>
          <w:p w:rsidR="000728AD" w:rsidRDefault="000728AD">
            <w:pPr>
              <w:rPr>
                <w:sz w:val="21"/>
                <w:szCs w:val="21"/>
              </w:rPr>
            </w:pPr>
          </w:p>
        </w:tc>
        <w:tc>
          <w:tcPr>
            <w:tcW w:w="110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2</w:t>
            </w:r>
          </w:p>
        </w:tc>
        <w:tc>
          <w:tcPr>
            <w:tcW w:w="120" w:type="dxa"/>
            <w:shd w:val="clear" w:color="auto" w:fill="CCEEFF"/>
            <w:vAlign w:val="bottom"/>
          </w:tcPr>
          <w:p w:rsidR="000728AD" w:rsidRDefault="000728AD">
            <w:pPr>
              <w:rPr>
                <w:sz w:val="21"/>
                <w:szCs w:val="21"/>
              </w:rPr>
            </w:pPr>
          </w:p>
        </w:tc>
        <w:tc>
          <w:tcPr>
            <w:tcW w:w="320" w:type="dxa"/>
            <w:tcBorders>
              <w:bottom w:val="single" w:sz="8" w:space="0" w:color="auto"/>
            </w:tcBorders>
            <w:shd w:val="clear" w:color="auto" w:fill="CCEEFF"/>
            <w:vAlign w:val="bottom"/>
          </w:tcPr>
          <w:p w:rsidR="000728AD" w:rsidRDefault="000728AD">
            <w:pPr>
              <w:rPr>
                <w:sz w:val="21"/>
                <w:szCs w:val="21"/>
              </w:rPr>
            </w:pPr>
          </w:p>
        </w:tc>
        <w:tc>
          <w:tcPr>
            <w:tcW w:w="118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(5)</w:t>
            </w:r>
          </w:p>
        </w:tc>
        <w:tc>
          <w:tcPr>
            <w:tcW w:w="100" w:type="dxa"/>
            <w:shd w:val="clear" w:color="auto" w:fill="CCEEFF"/>
            <w:vAlign w:val="bottom"/>
          </w:tcPr>
          <w:p w:rsidR="000728AD" w:rsidRDefault="000728AD">
            <w:pPr>
              <w:rPr>
                <w:sz w:val="21"/>
                <w:szCs w:val="21"/>
              </w:rPr>
            </w:pPr>
          </w:p>
        </w:tc>
        <w:tc>
          <w:tcPr>
            <w:tcW w:w="420" w:type="dxa"/>
            <w:tcBorders>
              <w:bottom w:val="single" w:sz="8" w:space="0" w:color="auto"/>
            </w:tcBorders>
            <w:shd w:val="clear" w:color="auto" w:fill="CCEEFF"/>
            <w:vAlign w:val="bottom"/>
          </w:tcPr>
          <w:p w:rsidR="000728AD" w:rsidRDefault="000728AD">
            <w:pPr>
              <w:rPr>
                <w:sz w:val="21"/>
                <w:szCs w:val="21"/>
              </w:rPr>
            </w:pPr>
          </w:p>
        </w:tc>
        <w:tc>
          <w:tcPr>
            <w:tcW w:w="110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(2)</w:t>
            </w:r>
          </w:p>
        </w:tc>
        <w:tc>
          <w:tcPr>
            <w:tcW w:w="0" w:type="dxa"/>
            <w:vAlign w:val="bottom"/>
          </w:tcPr>
          <w:p w:rsidR="000728AD" w:rsidRDefault="000728AD">
            <w:pPr>
              <w:rPr>
                <w:sz w:val="1"/>
                <w:szCs w:val="1"/>
              </w:rPr>
            </w:pPr>
          </w:p>
        </w:tc>
      </w:tr>
      <w:tr w:rsidR="000728AD">
        <w:trPr>
          <w:trHeight w:val="237"/>
        </w:trPr>
        <w:tc>
          <w:tcPr>
            <w:tcW w:w="4780" w:type="dxa"/>
            <w:tcBorders>
              <w:bottom w:val="single" w:sz="8" w:space="0" w:color="CCEEFF"/>
            </w:tcBorders>
            <w:vAlign w:val="bottom"/>
          </w:tcPr>
          <w:p w:rsidR="000728AD" w:rsidRDefault="000561BE">
            <w:pPr>
              <w:ind w:left="20"/>
              <w:rPr>
                <w:sz w:val="20"/>
                <w:szCs w:val="20"/>
              </w:rPr>
            </w:pPr>
            <w:r>
              <w:rPr>
                <w:rFonts w:ascii="Arial" w:eastAsia="Arial" w:hAnsi="Arial" w:cs="Arial"/>
                <w:sz w:val="20"/>
                <w:szCs w:val="20"/>
              </w:rPr>
              <w:t>Total other income (expense), net</w:t>
            </w:r>
          </w:p>
        </w:tc>
        <w:tc>
          <w:tcPr>
            <w:tcW w:w="320" w:type="dxa"/>
            <w:tcBorders>
              <w:bottom w:val="single" w:sz="8" w:space="0" w:color="auto"/>
            </w:tcBorders>
            <w:vAlign w:val="bottom"/>
          </w:tcPr>
          <w:p w:rsidR="000728AD" w:rsidRDefault="000728AD">
            <w:pPr>
              <w:rPr>
                <w:sz w:val="20"/>
                <w:szCs w:val="20"/>
              </w:rPr>
            </w:pPr>
          </w:p>
        </w:tc>
        <w:tc>
          <w:tcPr>
            <w:tcW w:w="118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(691)</w:t>
            </w:r>
          </w:p>
        </w:tc>
        <w:tc>
          <w:tcPr>
            <w:tcW w:w="100" w:type="dxa"/>
            <w:tcBorders>
              <w:bottom w:val="single" w:sz="8" w:space="0" w:color="CCEEFF"/>
            </w:tcBorders>
            <w:vAlign w:val="bottom"/>
          </w:tcPr>
          <w:p w:rsidR="000728AD" w:rsidRDefault="000728AD">
            <w:pPr>
              <w:rPr>
                <w:sz w:val="20"/>
                <w:szCs w:val="20"/>
              </w:rPr>
            </w:pPr>
          </w:p>
        </w:tc>
        <w:tc>
          <w:tcPr>
            <w:tcW w:w="400" w:type="dxa"/>
            <w:tcBorders>
              <w:bottom w:val="single" w:sz="8" w:space="0" w:color="auto"/>
            </w:tcBorders>
            <w:vAlign w:val="bottom"/>
          </w:tcPr>
          <w:p w:rsidR="000728AD" w:rsidRDefault="000728AD">
            <w:pPr>
              <w:rPr>
                <w:sz w:val="20"/>
                <w:szCs w:val="20"/>
              </w:rPr>
            </w:pPr>
          </w:p>
        </w:tc>
        <w:tc>
          <w:tcPr>
            <w:tcW w:w="110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(708)</w:t>
            </w:r>
          </w:p>
        </w:tc>
        <w:tc>
          <w:tcPr>
            <w:tcW w:w="120" w:type="dxa"/>
            <w:tcBorders>
              <w:bottom w:val="single" w:sz="8" w:space="0" w:color="CCEEFF"/>
            </w:tcBorders>
            <w:vAlign w:val="bottom"/>
          </w:tcPr>
          <w:p w:rsidR="000728AD" w:rsidRDefault="000728AD">
            <w:pPr>
              <w:rPr>
                <w:sz w:val="20"/>
                <w:szCs w:val="20"/>
              </w:rPr>
            </w:pPr>
          </w:p>
        </w:tc>
        <w:tc>
          <w:tcPr>
            <w:tcW w:w="320" w:type="dxa"/>
            <w:tcBorders>
              <w:bottom w:val="single" w:sz="8" w:space="0" w:color="auto"/>
            </w:tcBorders>
            <w:vAlign w:val="bottom"/>
          </w:tcPr>
          <w:p w:rsidR="000728AD" w:rsidRDefault="000728AD">
            <w:pPr>
              <w:rPr>
                <w:sz w:val="20"/>
                <w:szCs w:val="20"/>
              </w:rPr>
            </w:pPr>
          </w:p>
        </w:tc>
        <w:tc>
          <w:tcPr>
            <w:tcW w:w="118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(1,384)</w:t>
            </w:r>
          </w:p>
        </w:tc>
        <w:tc>
          <w:tcPr>
            <w:tcW w:w="100" w:type="dxa"/>
            <w:tcBorders>
              <w:bottom w:val="single" w:sz="8" w:space="0" w:color="CCEEFF"/>
            </w:tcBorders>
            <w:vAlign w:val="bottom"/>
          </w:tcPr>
          <w:p w:rsidR="000728AD" w:rsidRDefault="000728AD">
            <w:pPr>
              <w:rPr>
                <w:sz w:val="20"/>
                <w:szCs w:val="20"/>
              </w:rPr>
            </w:pPr>
          </w:p>
        </w:tc>
        <w:tc>
          <w:tcPr>
            <w:tcW w:w="420" w:type="dxa"/>
            <w:tcBorders>
              <w:bottom w:val="single" w:sz="8" w:space="0" w:color="auto"/>
            </w:tcBorders>
            <w:vAlign w:val="bottom"/>
          </w:tcPr>
          <w:p w:rsidR="000728AD" w:rsidRDefault="000728AD">
            <w:pPr>
              <w:rPr>
                <w:sz w:val="20"/>
                <w:szCs w:val="20"/>
              </w:rPr>
            </w:pPr>
          </w:p>
        </w:tc>
        <w:tc>
          <w:tcPr>
            <w:tcW w:w="110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(1,257)</w:t>
            </w:r>
          </w:p>
        </w:tc>
        <w:tc>
          <w:tcPr>
            <w:tcW w:w="0" w:type="dxa"/>
            <w:vAlign w:val="bottom"/>
          </w:tcPr>
          <w:p w:rsidR="000728AD" w:rsidRDefault="000728AD">
            <w:pPr>
              <w:rPr>
                <w:sz w:val="1"/>
                <w:szCs w:val="1"/>
              </w:rPr>
            </w:pPr>
          </w:p>
        </w:tc>
      </w:tr>
      <w:tr w:rsidR="000728AD">
        <w:trPr>
          <w:trHeight w:val="262"/>
        </w:trPr>
        <w:tc>
          <w:tcPr>
            <w:tcW w:w="4780" w:type="dxa"/>
            <w:tcBorders>
              <w:bottom w:val="single" w:sz="8" w:space="0" w:color="CCEEFF"/>
            </w:tcBorders>
            <w:shd w:val="clear" w:color="auto" w:fill="CCEEFF"/>
            <w:vAlign w:val="bottom"/>
          </w:tcPr>
          <w:p w:rsidR="000728AD" w:rsidRDefault="000561BE">
            <w:pPr>
              <w:ind w:left="20"/>
              <w:rPr>
                <w:sz w:val="20"/>
                <w:szCs w:val="20"/>
              </w:rPr>
            </w:pPr>
            <w:r>
              <w:rPr>
                <w:rFonts w:ascii="Arial" w:eastAsia="Arial" w:hAnsi="Arial" w:cs="Arial"/>
                <w:sz w:val="20"/>
                <w:szCs w:val="20"/>
              </w:rPr>
              <w:t>Net loss</w:t>
            </w:r>
          </w:p>
        </w:tc>
        <w:tc>
          <w:tcPr>
            <w:tcW w:w="320" w:type="dxa"/>
            <w:tcBorders>
              <w:bottom w:val="single" w:sz="8" w:space="0" w:color="auto"/>
            </w:tcBorders>
            <w:shd w:val="clear" w:color="auto" w:fill="CCEEFF"/>
            <w:vAlign w:val="bottom"/>
          </w:tcPr>
          <w:p w:rsidR="000728AD" w:rsidRDefault="000561BE">
            <w:pPr>
              <w:ind w:right="101"/>
              <w:jc w:val="right"/>
              <w:rPr>
                <w:sz w:val="20"/>
                <w:szCs w:val="20"/>
              </w:rPr>
            </w:pPr>
            <w:r>
              <w:rPr>
                <w:rFonts w:ascii="Arial" w:eastAsia="Arial" w:hAnsi="Arial" w:cs="Arial"/>
                <w:w w:val="89"/>
                <w:sz w:val="20"/>
                <w:szCs w:val="20"/>
              </w:rPr>
              <w:t>$</w:t>
            </w:r>
          </w:p>
        </w:tc>
        <w:tc>
          <w:tcPr>
            <w:tcW w:w="118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(15,935)</w:t>
            </w:r>
          </w:p>
        </w:tc>
        <w:tc>
          <w:tcPr>
            <w:tcW w:w="100" w:type="dxa"/>
            <w:tcBorders>
              <w:bottom w:val="single" w:sz="8" w:space="0" w:color="CCEEFF"/>
            </w:tcBorders>
            <w:shd w:val="clear" w:color="auto" w:fill="CCEEFF"/>
            <w:vAlign w:val="bottom"/>
          </w:tcPr>
          <w:p w:rsidR="000728AD" w:rsidRDefault="000728AD"/>
        </w:tc>
        <w:tc>
          <w:tcPr>
            <w:tcW w:w="400" w:type="dxa"/>
            <w:tcBorders>
              <w:bottom w:val="single" w:sz="8" w:space="0" w:color="auto"/>
            </w:tcBorders>
            <w:shd w:val="clear" w:color="auto" w:fill="CCEEFF"/>
            <w:vAlign w:val="bottom"/>
          </w:tcPr>
          <w:p w:rsidR="000728AD" w:rsidRDefault="000561BE">
            <w:pPr>
              <w:ind w:right="181"/>
              <w:jc w:val="right"/>
              <w:rPr>
                <w:sz w:val="20"/>
                <w:szCs w:val="20"/>
              </w:rPr>
            </w:pPr>
            <w:r>
              <w:rPr>
                <w:rFonts w:ascii="Arial" w:eastAsia="Arial" w:hAnsi="Arial" w:cs="Arial"/>
                <w:w w:val="89"/>
                <w:sz w:val="20"/>
                <w:szCs w:val="20"/>
              </w:rPr>
              <w:t>$</w:t>
            </w:r>
          </w:p>
        </w:tc>
        <w:tc>
          <w:tcPr>
            <w:tcW w:w="110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(13,892)</w:t>
            </w:r>
          </w:p>
        </w:tc>
        <w:tc>
          <w:tcPr>
            <w:tcW w:w="120" w:type="dxa"/>
            <w:tcBorders>
              <w:bottom w:val="single" w:sz="8" w:space="0" w:color="CCEEFF"/>
            </w:tcBorders>
            <w:shd w:val="clear" w:color="auto" w:fill="CCEEFF"/>
            <w:vAlign w:val="bottom"/>
          </w:tcPr>
          <w:p w:rsidR="000728AD" w:rsidRDefault="000728AD"/>
        </w:tc>
        <w:tc>
          <w:tcPr>
            <w:tcW w:w="320" w:type="dxa"/>
            <w:tcBorders>
              <w:bottom w:val="single" w:sz="8" w:space="0" w:color="auto"/>
            </w:tcBorders>
            <w:shd w:val="clear" w:color="auto" w:fill="CCEEFF"/>
            <w:vAlign w:val="bottom"/>
          </w:tcPr>
          <w:p w:rsidR="000728AD" w:rsidRDefault="000561BE">
            <w:pPr>
              <w:ind w:right="101"/>
              <w:jc w:val="right"/>
              <w:rPr>
                <w:sz w:val="20"/>
                <w:szCs w:val="20"/>
              </w:rPr>
            </w:pPr>
            <w:r>
              <w:rPr>
                <w:rFonts w:ascii="Arial" w:eastAsia="Arial" w:hAnsi="Arial" w:cs="Arial"/>
                <w:w w:val="89"/>
                <w:sz w:val="20"/>
                <w:szCs w:val="20"/>
              </w:rPr>
              <w:t>$</w:t>
            </w:r>
          </w:p>
        </w:tc>
        <w:tc>
          <w:tcPr>
            <w:tcW w:w="118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(31,124)</w:t>
            </w:r>
          </w:p>
        </w:tc>
        <w:tc>
          <w:tcPr>
            <w:tcW w:w="100" w:type="dxa"/>
            <w:tcBorders>
              <w:bottom w:val="single" w:sz="8" w:space="0" w:color="CCEEFF"/>
            </w:tcBorders>
            <w:shd w:val="clear" w:color="auto" w:fill="CCEEFF"/>
            <w:vAlign w:val="bottom"/>
          </w:tcPr>
          <w:p w:rsidR="000728AD" w:rsidRDefault="000728AD"/>
        </w:tc>
        <w:tc>
          <w:tcPr>
            <w:tcW w:w="420" w:type="dxa"/>
            <w:tcBorders>
              <w:bottom w:val="single" w:sz="8" w:space="0" w:color="auto"/>
            </w:tcBorders>
            <w:shd w:val="clear" w:color="auto" w:fill="CCEEFF"/>
            <w:vAlign w:val="bottom"/>
          </w:tcPr>
          <w:p w:rsidR="000728AD" w:rsidRDefault="000561BE">
            <w:pPr>
              <w:ind w:right="201"/>
              <w:jc w:val="right"/>
              <w:rPr>
                <w:sz w:val="20"/>
                <w:szCs w:val="20"/>
              </w:rPr>
            </w:pPr>
            <w:r>
              <w:rPr>
                <w:rFonts w:ascii="Arial" w:eastAsia="Arial" w:hAnsi="Arial" w:cs="Arial"/>
                <w:w w:val="89"/>
                <w:sz w:val="20"/>
                <w:szCs w:val="20"/>
              </w:rPr>
              <w:t>$</w:t>
            </w:r>
          </w:p>
        </w:tc>
        <w:tc>
          <w:tcPr>
            <w:tcW w:w="110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(28,901)</w:t>
            </w:r>
          </w:p>
        </w:tc>
        <w:tc>
          <w:tcPr>
            <w:tcW w:w="0" w:type="dxa"/>
            <w:vAlign w:val="bottom"/>
          </w:tcPr>
          <w:p w:rsidR="000728AD" w:rsidRDefault="000728AD">
            <w:pPr>
              <w:rPr>
                <w:sz w:val="1"/>
                <w:szCs w:val="1"/>
              </w:rPr>
            </w:pPr>
          </w:p>
        </w:tc>
      </w:tr>
      <w:tr w:rsidR="000728AD">
        <w:trPr>
          <w:trHeight w:val="20"/>
        </w:trPr>
        <w:tc>
          <w:tcPr>
            <w:tcW w:w="4780" w:type="dxa"/>
            <w:vMerge w:val="restart"/>
            <w:tcBorders>
              <w:top w:val="single" w:sz="8" w:space="0" w:color="CCEEFF"/>
              <w:bottom w:val="single" w:sz="8" w:space="0" w:color="CCEEFF"/>
            </w:tcBorders>
            <w:vAlign w:val="bottom"/>
          </w:tcPr>
          <w:p w:rsidR="000728AD" w:rsidRDefault="000561BE">
            <w:pPr>
              <w:ind w:left="20"/>
              <w:rPr>
                <w:sz w:val="20"/>
                <w:szCs w:val="20"/>
              </w:rPr>
            </w:pPr>
            <w:r>
              <w:rPr>
                <w:rFonts w:ascii="Arial" w:eastAsia="Arial" w:hAnsi="Arial" w:cs="Arial"/>
                <w:sz w:val="20"/>
                <w:szCs w:val="20"/>
              </w:rPr>
              <w:t>Net loss per share, basic and diluted</w:t>
            </w:r>
          </w:p>
        </w:tc>
        <w:tc>
          <w:tcPr>
            <w:tcW w:w="32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18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00" w:type="dxa"/>
            <w:tcBorders>
              <w:top w:val="single" w:sz="8" w:space="0" w:color="CCEEFF"/>
            </w:tcBorders>
            <w:vAlign w:val="bottom"/>
          </w:tcPr>
          <w:p w:rsidR="000728AD" w:rsidRDefault="000728AD">
            <w:pPr>
              <w:spacing w:line="20" w:lineRule="exact"/>
              <w:rPr>
                <w:sz w:val="1"/>
                <w:szCs w:val="1"/>
              </w:rPr>
            </w:pPr>
          </w:p>
        </w:tc>
        <w:tc>
          <w:tcPr>
            <w:tcW w:w="40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10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20" w:type="dxa"/>
            <w:tcBorders>
              <w:top w:val="single" w:sz="8" w:space="0" w:color="CCEEFF"/>
            </w:tcBorders>
            <w:vAlign w:val="bottom"/>
          </w:tcPr>
          <w:p w:rsidR="000728AD" w:rsidRDefault="000728AD">
            <w:pPr>
              <w:spacing w:line="20" w:lineRule="exact"/>
              <w:rPr>
                <w:sz w:val="1"/>
                <w:szCs w:val="1"/>
              </w:rPr>
            </w:pPr>
          </w:p>
        </w:tc>
        <w:tc>
          <w:tcPr>
            <w:tcW w:w="32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18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00" w:type="dxa"/>
            <w:tcBorders>
              <w:top w:val="single" w:sz="8" w:space="0" w:color="CCEEFF"/>
            </w:tcBorders>
            <w:vAlign w:val="bottom"/>
          </w:tcPr>
          <w:p w:rsidR="000728AD" w:rsidRDefault="000728AD">
            <w:pPr>
              <w:spacing w:line="20" w:lineRule="exact"/>
              <w:rPr>
                <w:sz w:val="1"/>
                <w:szCs w:val="1"/>
              </w:rPr>
            </w:pPr>
          </w:p>
        </w:tc>
        <w:tc>
          <w:tcPr>
            <w:tcW w:w="42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10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0" w:type="dxa"/>
            <w:vAlign w:val="bottom"/>
          </w:tcPr>
          <w:p w:rsidR="000728AD" w:rsidRDefault="000728AD">
            <w:pPr>
              <w:spacing w:line="20" w:lineRule="exact"/>
              <w:rPr>
                <w:sz w:val="1"/>
                <w:szCs w:val="1"/>
              </w:rPr>
            </w:pPr>
          </w:p>
        </w:tc>
      </w:tr>
      <w:tr w:rsidR="000728AD">
        <w:trPr>
          <w:trHeight w:val="217"/>
        </w:trPr>
        <w:tc>
          <w:tcPr>
            <w:tcW w:w="4780" w:type="dxa"/>
            <w:vMerge/>
            <w:vAlign w:val="bottom"/>
          </w:tcPr>
          <w:p w:rsidR="000728AD" w:rsidRDefault="000728AD">
            <w:pPr>
              <w:rPr>
                <w:sz w:val="18"/>
                <w:szCs w:val="18"/>
              </w:rPr>
            </w:pPr>
          </w:p>
        </w:tc>
        <w:tc>
          <w:tcPr>
            <w:tcW w:w="320" w:type="dxa"/>
            <w:tcBorders>
              <w:bottom w:val="single" w:sz="8" w:space="0" w:color="auto"/>
            </w:tcBorders>
            <w:vAlign w:val="bottom"/>
          </w:tcPr>
          <w:p w:rsidR="000728AD" w:rsidRDefault="000561BE">
            <w:pPr>
              <w:spacing w:line="217" w:lineRule="exact"/>
              <w:ind w:right="101"/>
              <w:jc w:val="right"/>
              <w:rPr>
                <w:sz w:val="20"/>
                <w:szCs w:val="20"/>
              </w:rPr>
            </w:pPr>
            <w:r>
              <w:rPr>
                <w:rFonts w:ascii="Arial" w:eastAsia="Arial" w:hAnsi="Arial" w:cs="Arial"/>
                <w:w w:val="89"/>
                <w:sz w:val="20"/>
                <w:szCs w:val="20"/>
              </w:rPr>
              <w:t>$</w:t>
            </w:r>
          </w:p>
        </w:tc>
        <w:tc>
          <w:tcPr>
            <w:tcW w:w="1180" w:type="dxa"/>
            <w:tcBorders>
              <w:bottom w:val="single" w:sz="8" w:space="0" w:color="auto"/>
            </w:tcBorders>
            <w:vAlign w:val="bottom"/>
          </w:tcPr>
          <w:p w:rsidR="000728AD" w:rsidRDefault="000561BE">
            <w:pPr>
              <w:spacing w:line="217" w:lineRule="exact"/>
              <w:jc w:val="right"/>
              <w:rPr>
                <w:sz w:val="20"/>
                <w:szCs w:val="20"/>
              </w:rPr>
            </w:pPr>
            <w:r>
              <w:rPr>
                <w:rFonts w:ascii="Arial" w:eastAsia="Arial" w:hAnsi="Arial" w:cs="Arial"/>
                <w:sz w:val="20"/>
                <w:szCs w:val="20"/>
              </w:rPr>
              <w:t>(0.42)</w:t>
            </w:r>
          </w:p>
        </w:tc>
        <w:tc>
          <w:tcPr>
            <w:tcW w:w="100" w:type="dxa"/>
            <w:vAlign w:val="bottom"/>
          </w:tcPr>
          <w:p w:rsidR="000728AD" w:rsidRDefault="000728AD">
            <w:pPr>
              <w:rPr>
                <w:sz w:val="18"/>
                <w:szCs w:val="18"/>
              </w:rPr>
            </w:pPr>
          </w:p>
        </w:tc>
        <w:tc>
          <w:tcPr>
            <w:tcW w:w="400" w:type="dxa"/>
            <w:tcBorders>
              <w:bottom w:val="single" w:sz="8" w:space="0" w:color="auto"/>
            </w:tcBorders>
            <w:vAlign w:val="bottom"/>
          </w:tcPr>
          <w:p w:rsidR="000728AD" w:rsidRDefault="000561BE">
            <w:pPr>
              <w:spacing w:line="217" w:lineRule="exact"/>
              <w:ind w:right="181"/>
              <w:jc w:val="right"/>
              <w:rPr>
                <w:sz w:val="20"/>
                <w:szCs w:val="20"/>
              </w:rPr>
            </w:pPr>
            <w:r>
              <w:rPr>
                <w:rFonts w:ascii="Arial" w:eastAsia="Arial" w:hAnsi="Arial" w:cs="Arial"/>
                <w:w w:val="89"/>
                <w:sz w:val="20"/>
                <w:szCs w:val="20"/>
              </w:rPr>
              <w:t>$</w:t>
            </w:r>
          </w:p>
        </w:tc>
        <w:tc>
          <w:tcPr>
            <w:tcW w:w="1100" w:type="dxa"/>
            <w:tcBorders>
              <w:bottom w:val="single" w:sz="8" w:space="0" w:color="auto"/>
            </w:tcBorders>
            <w:vAlign w:val="bottom"/>
          </w:tcPr>
          <w:p w:rsidR="000728AD" w:rsidRDefault="000561BE">
            <w:pPr>
              <w:spacing w:line="217" w:lineRule="exact"/>
              <w:jc w:val="right"/>
              <w:rPr>
                <w:sz w:val="20"/>
                <w:szCs w:val="20"/>
              </w:rPr>
            </w:pPr>
            <w:r>
              <w:rPr>
                <w:rFonts w:ascii="Arial" w:eastAsia="Arial" w:hAnsi="Arial" w:cs="Arial"/>
                <w:sz w:val="20"/>
                <w:szCs w:val="20"/>
              </w:rPr>
              <w:t>(0.48)</w:t>
            </w:r>
          </w:p>
        </w:tc>
        <w:tc>
          <w:tcPr>
            <w:tcW w:w="120" w:type="dxa"/>
            <w:vAlign w:val="bottom"/>
          </w:tcPr>
          <w:p w:rsidR="000728AD" w:rsidRDefault="000728AD">
            <w:pPr>
              <w:rPr>
                <w:sz w:val="18"/>
                <w:szCs w:val="18"/>
              </w:rPr>
            </w:pPr>
          </w:p>
        </w:tc>
        <w:tc>
          <w:tcPr>
            <w:tcW w:w="320" w:type="dxa"/>
            <w:tcBorders>
              <w:bottom w:val="single" w:sz="8" w:space="0" w:color="auto"/>
            </w:tcBorders>
            <w:vAlign w:val="bottom"/>
          </w:tcPr>
          <w:p w:rsidR="000728AD" w:rsidRDefault="000561BE">
            <w:pPr>
              <w:spacing w:line="217" w:lineRule="exact"/>
              <w:ind w:right="101"/>
              <w:jc w:val="right"/>
              <w:rPr>
                <w:sz w:val="20"/>
                <w:szCs w:val="20"/>
              </w:rPr>
            </w:pPr>
            <w:r>
              <w:rPr>
                <w:rFonts w:ascii="Arial" w:eastAsia="Arial" w:hAnsi="Arial" w:cs="Arial"/>
                <w:w w:val="89"/>
                <w:sz w:val="20"/>
                <w:szCs w:val="20"/>
              </w:rPr>
              <w:t>$</w:t>
            </w:r>
          </w:p>
        </w:tc>
        <w:tc>
          <w:tcPr>
            <w:tcW w:w="1180" w:type="dxa"/>
            <w:tcBorders>
              <w:bottom w:val="single" w:sz="8" w:space="0" w:color="auto"/>
            </w:tcBorders>
            <w:vAlign w:val="bottom"/>
          </w:tcPr>
          <w:p w:rsidR="000728AD" w:rsidRDefault="000561BE">
            <w:pPr>
              <w:spacing w:line="217" w:lineRule="exact"/>
              <w:jc w:val="right"/>
              <w:rPr>
                <w:sz w:val="20"/>
                <w:szCs w:val="20"/>
              </w:rPr>
            </w:pPr>
            <w:r>
              <w:rPr>
                <w:rFonts w:ascii="Arial" w:eastAsia="Arial" w:hAnsi="Arial" w:cs="Arial"/>
                <w:sz w:val="20"/>
                <w:szCs w:val="20"/>
              </w:rPr>
              <w:t>(0.83)</w:t>
            </w:r>
          </w:p>
        </w:tc>
        <w:tc>
          <w:tcPr>
            <w:tcW w:w="100" w:type="dxa"/>
            <w:vAlign w:val="bottom"/>
          </w:tcPr>
          <w:p w:rsidR="000728AD" w:rsidRDefault="000728AD">
            <w:pPr>
              <w:rPr>
                <w:sz w:val="18"/>
                <w:szCs w:val="18"/>
              </w:rPr>
            </w:pPr>
          </w:p>
        </w:tc>
        <w:tc>
          <w:tcPr>
            <w:tcW w:w="420" w:type="dxa"/>
            <w:tcBorders>
              <w:bottom w:val="single" w:sz="8" w:space="0" w:color="auto"/>
            </w:tcBorders>
            <w:vAlign w:val="bottom"/>
          </w:tcPr>
          <w:p w:rsidR="000728AD" w:rsidRDefault="000561BE">
            <w:pPr>
              <w:spacing w:line="217" w:lineRule="exact"/>
              <w:ind w:right="201"/>
              <w:jc w:val="right"/>
              <w:rPr>
                <w:sz w:val="20"/>
                <w:szCs w:val="20"/>
              </w:rPr>
            </w:pPr>
            <w:r>
              <w:rPr>
                <w:rFonts w:ascii="Arial" w:eastAsia="Arial" w:hAnsi="Arial" w:cs="Arial"/>
                <w:w w:val="89"/>
                <w:sz w:val="20"/>
                <w:szCs w:val="20"/>
              </w:rPr>
              <w:t>$</w:t>
            </w:r>
          </w:p>
        </w:tc>
        <w:tc>
          <w:tcPr>
            <w:tcW w:w="1100" w:type="dxa"/>
            <w:tcBorders>
              <w:bottom w:val="single" w:sz="8" w:space="0" w:color="auto"/>
            </w:tcBorders>
            <w:vAlign w:val="bottom"/>
          </w:tcPr>
          <w:p w:rsidR="000728AD" w:rsidRDefault="000561BE">
            <w:pPr>
              <w:spacing w:line="217" w:lineRule="exact"/>
              <w:jc w:val="right"/>
              <w:rPr>
                <w:sz w:val="20"/>
                <w:szCs w:val="20"/>
              </w:rPr>
            </w:pPr>
            <w:r>
              <w:rPr>
                <w:rFonts w:ascii="Arial" w:eastAsia="Arial" w:hAnsi="Arial" w:cs="Arial"/>
                <w:sz w:val="20"/>
                <w:szCs w:val="20"/>
              </w:rPr>
              <w:t>(1.10)</w:t>
            </w:r>
          </w:p>
        </w:tc>
        <w:tc>
          <w:tcPr>
            <w:tcW w:w="0" w:type="dxa"/>
            <w:vAlign w:val="bottom"/>
          </w:tcPr>
          <w:p w:rsidR="000728AD" w:rsidRDefault="000728AD">
            <w:pPr>
              <w:rPr>
                <w:sz w:val="1"/>
                <w:szCs w:val="1"/>
              </w:rPr>
            </w:pPr>
          </w:p>
        </w:tc>
      </w:tr>
      <w:tr w:rsidR="000728AD">
        <w:trPr>
          <w:trHeight w:val="20"/>
        </w:trPr>
        <w:tc>
          <w:tcPr>
            <w:tcW w:w="4780" w:type="dxa"/>
            <w:tcBorders>
              <w:bottom w:val="single" w:sz="8" w:space="0" w:color="CCEEFF"/>
            </w:tcBorders>
            <w:vAlign w:val="bottom"/>
          </w:tcPr>
          <w:p w:rsidR="000728AD" w:rsidRDefault="000728AD">
            <w:pPr>
              <w:spacing w:line="20" w:lineRule="exact"/>
              <w:rPr>
                <w:sz w:val="1"/>
                <w:szCs w:val="1"/>
              </w:rPr>
            </w:pPr>
          </w:p>
        </w:tc>
        <w:tc>
          <w:tcPr>
            <w:tcW w:w="320" w:type="dxa"/>
            <w:tcBorders>
              <w:bottom w:val="single" w:sz="8" w:space="0" w:color="auto"/>
            </w:tcBorders>
            <w:vAlign w:val="bottom"/>
          </w:tcPr>
          <w:p w:rsidR="000728AD" w:rsidRDefault="000728AD">
            <w:pPr>
              <w:spacing w:line="20" w:lineRule="exact"/>
              <w:rPr>
                <w:sz w:val="1"/>
                <w:szCs w:val="1"/>
              </w:rPr>
            </w:pPr>
          </w:p>
        </w:tc>
        <w:tc>
          <w:tcPr>
            <w:tcW w:w="1180" w:type="dxa"/>
            <w:tcBorders>
              <w:bottom w:val="single" w:sz="8" w:space="0" w:color="auto"/>
            </w:tcBorders>
            <w:vAlign w:val="bottom"/>
          </w:tcPr>
          <w:p w:rsidR="000728AD" w:rsidRDefault="000728AD">
            <w:pPr>
              <w:spacing w:line="20" w:lineRule="exact"/>
              <w:rPr>
                <w:sz w:val="1"/>
                <w:szCs w:val="1"/>
              </w:rPr>
            </w:pPr>
          </w:p>
        </w:tc>
        <w:tc>
          <w:tcPr>
            <w:tcW w:w="100" w:type="dxa"/>
            <w:tcBorders>
              <w:bottom w:val="single" w:sz="8" w:space="0" w:color="CCEEFF"/>
            </w:tcBorders>
            <w:vAlign w:val="bottom"/>
          </w:tcPr>
          <w:p w:rsidR="000728AD" w:rsidRDefault="000728AD">
            <w:pPr>
              <w:spacing w:line="20" w:lineRule="exact"/>
              <w:rPr>
                <w:sz w:val="1"/>
                <w:szCs w:val="1"/>
              </w:rPr>
            </w:pPr>
          </w:p>
        </w:tc>
        <w:tc>
          <w:tcPr>
            <w:tcW w:w="400" w:type="dxa"/>
            <w:tcBorders>
              <w:bottom w:val="single" w:sz="8" w:space="0" w:color="auto"/>
            </w:tcBorders>
            <w:vAlign w:val="bottom"/>
          </w:tcPr>
          <w:p w:rsidR="000728AD" w:rsidRDefault="000728AD">
            <w:pPr>
              <w:spacing w:line="20" w:lineRule="exact"/>
              <w:rPr>
                <w:sz w:val="1"/>
                <w:szCs w:val="1"/>
              </w:rPr>
            </w:pPr>
          </w:p>
        </w:tc>
        <w:tc>
          <w:tcPr>
            <w:tcW w:w="1100" w:type="dxa"/>
            <w:tcBorders>
              <w:bottom w:val="single" w:sz="8" w:space="0" w:color="auto"/>
            </w:tcBorders>
            <w:vAlign w:val="bottom"/>
          </w:tcPr>
          <w:p w:rsidR="000728AD" w:rsidRDefault="000728AD">
            <w:pPr>
              <w:spacing w:line="20" w:lineRule="exact"/>
              <w:rPr>
                <w:sz w:val="1"/>
                <w:szCs w:val="1"/>
              </w:rPr>
            </w:pPr>
          </w:p>
        </w:tc>
        <w:tc>
          <w:tcPr>
            <w:tcW w:w="120" w:type="dxa"/>
            <w:tcBorders>
              <w:bottom w:val="single" w:sz="8" w:space="0" w:color="CCEEFF"/>
            </w:tcBorders>
            <w:vAlign w:val="bottom"/>
          </w:tcPr>
          <w:p w:rsidR="000728AD" w:rsidRDefault="000728AD">
            <w:pPr>
              <w:spacing w:line="20" w:lineRule="exact"/>
              <w:rPr>
                <w:sz w:val="1"/>
                <w:szCs w:val="1"/>
              </w:rPr>
            </w:pPr>
          </w:p>
        </w:tc>
        <w:tc>
          <w:tcPr>
            <w:tcW w:w="320" w:type="dxa"/>
            <w:tcBorders>
              <w:bottom w:val="single" w:sz="8" w:space="0" w:color="auto"/>
            </w:tcBorders>
            <w:vAlign w:val="bottom"/>
          </w:tcPr>
          <w:p w:rsidR="000728AD" w:rsidRDefault="000728AD">
            <w:pPr>
              <w:spacing w:line="20" w:lineRule="exact"/>
              <w:rPr>
                <w:sz w:val="1"/>
                <w:szCs w:val="1"/>
              </w:rPr>
            </w:pPr>
          </w:p>
        </w:tc>
        <w:tc>
          <w:tcPr>
            <w:tcW w:w="1180" w:type="dxa"/>
            <w:tcBorders>
              <w:bottom w:val="single" w:sz="8" w:space="0" w:color="auto"/>
            </w:tcBorders>
            <w:vAlign w:val="bottom"/>
          </w:tcPr>
          <w:p w:rsidR="000728AD" w:rsidRDefault="000728AD">
            <w:pPr>
              <w:spacing w:line="20" w:lineRule="exact"/>
              <w:rPr>
                <w:sz w:val="1"/>
                <w:szCs w:val="1"/>
              </w:rPr>
            </w:pPr>
          </w:p>
        </w:tc>
        <w:tc>
          <w:tcPr>
            <w:tcW w:w="100" w:type="dxa"/>
            <w:tcBorders>
              <w:bottom w:val="single" w:sz="8" w:space="0" w:color="CCEEFF"/>
            </w:tcBorders>
            <w:vAlign w:val="bottom"/>
          </w:tcPr>
          <w:p w:rsidR="000728AD" w:rsidRDefault="000728AD">
            <w:pPr>
              <w:spacing w:line="20" w:lineRule="exact"/>
              <w:rPr>
                <w:sz w:val="1"/>
                <w:szCs w:val="1"/>
              </w:rPr>
            </w:pPr>
          </w:p>
        </w:tc>
        <w:tc>
          <w:tcPr>
            <w:tcW w:w="420" w:type="dxa"/>
            <w:tcBorders>
              <w:bottom w:val="single" w:sz="8" w:space="0" w:color="auto"/>
            </w:tcBorders>
            <w:vAlign w:val="bottom"/>
          </w:tcPr>
          <w:p w:rsidR="000728AD" w:rsidRDefault="000728AD">
            <w:pPr>
              <w:spacing w:line="20" w:lineRule="exact"/>
              <w:rPr>
                <w:sz w:val="1"/>
                <w:szCs w:val="1"/>
              </w:rPr>
            </w:pPr>
          </w:p>
        </w:tc>
        <w:tc>
          <w:tcPr>
            <w:tcW w:w="1100" w:type="dxa"/>
            <w:tcBorders>
              <w:bottom w:val="single" w:sz="8" w:space="0" w:color="auto"/>
            </w:tcBorders>
            <w:vAlign w:val="bottom"/>
          </w:tcPr>
          <w:p w:rsidR="000728AD" w:rsidRDefault="000728AD">
            <w:pPr>
              <w:spacing w:line="20" w:lineRule="exact"/>
              <w:rPr>
                <w:sz w:val="1"/>
                <w:szCs w:val="1"/>
              </w:rPr>
            </w:pPr>
          </w:p>
        </w:tc>
        <w:tc>
          <w:tcPr>
            <w:tcW w:w="0" w:type="dxa"/>
            <w:vAlign w:val="bottom"/>
          </w:tcPr>
          <w:p w:rsidR="000728AD" w:rsidRDefault="000728AD">
            <w:pPr>
              <w:spacing w:line="20" w:lineRule="exact"/>
              <w:rPr>
                <w:sz w:val="1"/>
                <w:szCs w:val="1"/>
              </w:rPr>
            </w:pPr>
          </w:p>
        </w:tc>
      </w:tr>
      <w:tr w:rsidR="000728AD">
        <w:trPr>
          <w:trHeight w:val="156"/>
        </w:trPr>
        <w:tc>
          <w:tcPr>
            <w:tcW w:w="4780" w:type="dxa"/>
            <w:shd w:val="clear" w:color="auto" w:fill="CCEEFF"/>
            <w:vAlign w:val="bottom"/>
          </w:tcPr>
          <w:p w:rsidR="000728AD" w:rsidRDefault="000561BE">
            <w:pPr>
              <w:spacing w:line="156" w:lineRule="exact"/>
              <w:ind w:left="20"/>
              <w:rPr>
                <w:sz w:val="20"/>
                <w:szCs w:val="20"/>
              </w:rPr>
            </w:pPr>
            <w:r>
              <w:rPr>
                <w:rFonts w:ascii="Arial" w:eastAsia="Arial" w:hAnsi="Arial" w:cs="Arial"/>
                <w:sz w:val="18"/>
                <w:szCs w:val="18"/>
              </w:rPr>
              <w:t xml:space="preserve">Weighted </w:t>
            </w:r>
            <w:r>
              <w:rPr>
                <w:rFonts w:ascii="Arial" w:eastAsia="Arial" w:hAnsi="Arial" w:cs="Arial"/>
                <w:sz w:val="18"/>
                <w:szCs w:val="18"/>
              </w:rPr>
              <w:t>average common shares outstanding, basic and</w:t>
            </w:r>
          </w:p>
        </w:tc>
        <w:tc>
          <w:tcPr>
            <w:tcW w:w="320" w:type="dxa"/>
            <w:shd w:val="clear" w:color="auto" w:fill="CCEEFF"/>
            <w:vAlign w:val="bottom"/>
          </w:tcPr>
          <w:p w:rsidR="000728AD" w:rsidRDefault="000728AD">
            <w:pPr>
              <w:rPr>
                <w:sz w:val="13"/>
                <w:szCs w:val="13"/>
              </w:rPr>
            </w:pPr>
          </w:p>
        </w:tc>
        <w:tc>
          <w:tcPr>
            <w:tcW w:w="1180" w:type="dxa"/>
            <w:vMerge w:val="restart"/>
            <w:shd w:val="clear" w:color="auto" w:fill="CCEEFF"/>
            <w:vAlign w:val="bottom"/>
          </w:tcPr>
          <w:p w:rsidR="000728AD" w:rsidRDefault="000561BE">
            <w:pPr>
              <w:jc w:val="right"/>
              <w:rPr>
                <w:sz w:val="20"/>
                <w:szCs w:val="20"/>
              </w:rPr>
            </w:pPr>
            <w:r>
              <w:rPr>
                <w:rFonts w:ascii="Arial" w:eastAsia="Arial" w:hAnsi="Arial" w:cs="Arial"/>
                <w:sz w:val="20"/>
                <w:szCs w:val="20"/>
              </w:rPr>
              <w:t>37,732,196</w:t>
            </w:r>
          </w:p>
        </w:tc>
        <w:tc>
          <w:tcPr>
            <w:tcW w:w="100" w:type="dxa"/>
            <w:shd w:val="clear" w:color="auto" w:fill="CCEEFF"/>
            <w:vAlign w:val="bottom"/>
          </w:tcPr>
          <w:p w:rsidR="000728AD" w:rsidRDefault="000728AD">
            <w:pPr>
              <w:rPr>
                <w:sz w:val="13"/>
                <w:szCs w:val="13"/>
              </w:rPr>
            </w:pPr>
          </w:p>
        </w:tc>
        <w:tc>
          <w:tcPr>
            <w:tcW w:w="400" w:type="dxa"/>
            <w:shd w:val="clear" w:color="auto" w:fill="CCEEFF"/>
            <w:vAlign w:val="bottom"/>
          </w:tcPr>
          <w:p w:rsidR="000728AD" w:rsidRDefault="000728AD">
            <w:pPr>
              <w:rPr>
                <w:sz w:val="13"/>
                <w:szCs w:val="13"/>
              </w:rPr>
            </w:pPr>
          </w:p>
        </w:tc>
        <w:tc>
          <w:tcPr>
            <w:tcW w:w="1100" w:type="dxa"/>
            <w:vMerge w:val="restart"/>
            <w:shd w:val="clear" w:color="auto" w:fill="CCEEFF"/>
            <w:vAlign w:val="bottom"/>
          </w:tcPr>
          <w:p w:rsidR="000728AD" w:rsidRDefault="000561BE">
            <w:pPr>
              <w:jc w:val="right"/>
              <w:rPr>
                <w:sz w:val="20"/>
                <w:szCs w:val="20"/>
              </w:rPr>
            </w:pPr>
            <w:r>
              <w:rPr>
                <w:rFonts w:ascii="Arial" w:eastAsia="Arial" w:hAnsi="Arial" w:cs="Arial"/>
                <w:w w:val="99"/>
                <w:sz w:val="20"/>
                <w:szCs w:val="20"/>
              </w:rPr>
              <w:t>29,202,367</w:t>
            </w:r>
          </w:p>
        </w:tc>
        <w:tc>
          <w:tcPr>
            <w:tcW w:w="120" w:type="dxa"/>
            <w:shd w:val="clear" w:color="auto" w:fill="CCEEFF"/>
            <w:vAlign w:val="bottom"/>
          </w:tcPr>
          <w:p w:rsidR="000728AD" w:rsidRDefault="000728AD">
            <w:pPr>
              <w:rPr>
                <w:sz w:val="13"/>
                <w:szCs w:val="13"/>
              </w:rPr>
            </w:pPr>
          </w:p>
        </w:tc>
        <w:tc>
          <w:tcPr>
            <w:tcW w:w="320" w:type="dxa"/>
            <w:shd w:val="clear" w:color="auto" w:fill="CCEEFF"/>
            <w:vAlign w:val="bottom"/>
          </w:tcPr>
          <w:p w:rsidR="000728AD" w:rsidRDefault="000728AD">
            <w:pPr>
              <w:rPr>
                <w:sz w:val="13"/>
                <w:szCs w:val="13"/>
              </w:rPr>
            </w:pPr>
          </w:p>
        </w:tc>
        <w:tc>
          <w:tcPr>
            <w:tcW w:w="1180" w:type="dxa"/>
            <w:vMerge w:val="restart"/>
            <w:shd w:val="clear" w:color="auto" w:fill="CCEEFF"/>
            <w:vAlign w:val="bottom"/>
          </w:tcPr>
          <w:p w:rsidR="000728AD" w:rsidRDefault="000561BE">
            <w:pPr>
              <w:jc w:val="right"/>
              <w:rPr>
                <w:sz w:val="20"/>
                <w:szCs w:val="20"/>
              </w:rPr>
            </w:pPr>
            <w:r>
              <w:rPr>
                <w:rFonts w:ascii="Arial" w:eastAsia="Arial" w:hAnsi="Arial" w:cs="Arial"/>
                <w:sz w:val="20"/>
                <w:szCs w:val="20"/>
              </w:rPr>
              <w:t>37,692,398</w:t>
            </w:r>
          </w:p>
        </w:tc>
        <w:tc>
          <w:tcPr>
            <w:tcW w:w="100" w:type="dxa"/>
            <w:shd w:val="clear" w:color="auto" w:fill="CCEEFF"/>
            <w:vAlign w:val="bottom"/>
          </w:tcPr>
          <w:p w:rsidR="000728AD" w:rsidRDefault="000728AD">
            <w:pPr>
              <w:rPr>
                <w:sz w:val="13"/>
                <w:szCs w:val="13"/>
              </w:rPr>
            </w:pPr>
          </w:p>
        </w:tc>
        <w:tc>
          <w:tcPr>
            <w:tcW w:w="420" w:type="dxa"/>
            <w:shd w:val="clear" w:color="auto" w:fill="CCEEFF"/>
            <w:vAlign w:val="bottom"/>
          </w:tcPr>
          <w:p w:rsidR="000728AD" w:rsidRDefault="000728AD">
            <w:pPr>
              <w:rPr>
                <w:sz w:val="13"/>
                <w:szCs w:val="13"/>
              </w:rPr>
            </w:pPr>
          </w:p>
        </w:tc>
        <w:tc>
          <w:tcPr>
            <w:tcW w:w="1100" w:type="dxa"/>
            <w:vMerge w:val="restart"/>
            <w:shd w:val="clear" w:color="auto" w:fill="CCEEFF"/>
            <w:vAlign w:val="bottom"/>
          </w:tcPr>
          <w:p w:rsidR="000728AD" w:rsidRDefault="000561BE">
            <w:pPr>
              <w:jc w:val="right"/>
              <w:rPr>
                <w:sz w:val="20"/>
                <w:szCs w:val="20"/>
              </w:rPr>
            </w:pPr>
            <w:r>
              <w:rPr>
                <w:rFonts w:ascii="Arial" w:eastAsia="Arial" w:hAnsi="Arial" w:cs="Arial"/>
                <w:w w:val="99"/>
                <w:sz w:val="20"/>
                <w:szCs w:val="20"/>
              </w:rPr>
              <w:t>26,195,591</w:t>
            </w:r>
          </w:p>
        </w:tc>
        <w:tc>
          <w:tcPr>
            <w:tcW w:w="0" w:type="dxa"/>
            <w:vAlign w:val="bottom"/>
          </w:tcPr>
          <w:p w:rsidR="000728AD" w:rsidRDefault="000728AD">
            <w:pPr>
              <w:rPr>
                <w:sz w:val="1"/>
                <w:szCs w:val="1"/>
              </w:rPr>
            </w:pPr>
          </w:p>
        </w:tc>
      </w:tr>
      <w:tr w:rsidR="000728AD">
        <w:trPr>
          <w:trHeight w:val="236"/>
        </w:trPr>
        <w:tc>
          <w:tcPr>
            <w:tcW w:w="4780" w:type="dxa"/>
            <w:tcBorders>
              <w:bottom w:val="single" w:sz="8" w:space="0" w:color="CCEEFF"/>
            </w:tcBorders>
            <w:shd w:val="clear" w:color="auto" w:fill="CCEEFF"/>
            <w:vAlign w:val="bottom"/>
          </w:tcPr>
          <w:p w:rsidR="000728AD" w:rsidRDefault="000561BE">
            <w:pPr>
              <w:spacing w:line="216" w:lineRule="exact"/>
              <w:ind w:left="20"/>
              <w:rPr>
                <w:sz w:val="20"/>
                <w:szCs w:val="20"/>
              </w:rPr>
            </w:pPr>
            <w:r>
              <w:rPr>
                <w:rFonts w:ascii="Arial" w:eastAsia="Arial" w:hAnsi="Arial" w:cs="Arial"/>
                <w:sz w:val="20"/>
                <w:szCs w:val="20"/>
              </w:rPr>
              <w:t>diluted</w:t>
            </w:r>
          </w:p>
        </w:tc>
        <w:tc>
          <w:tcPr>
            <w:tcW w:w="320" w:type="dxa"/>
            <w:tcBorders>
              <w:bottom w:val="single" w:sz="8" w:space="0" w:color="auto"/>
            </w:tcBorders>
            <w:shd w:val="clear" w:color="auto" w:fill="CCEEFF"/>
            <w:vAlign w:val="bottom"/>
          </w:tcPr>
          <w:p w:rsidR="000728AD" w:rsidRDefault="000728AD">
            <w:pPr>
              <w:rPr>
                <w:sz w:val="20"/>
                <w:szCs w:val="20"/>
              </w:rPr>
            </w:pPr>
          </w:p>
        </w:tc>
        <w:tc>
          <w:tcPr>
            <w:tcW w:w="1180" w:type="dxa"/>
            <w:vMerge/>
            <w:tcBorders>
              <w:bottom w:val="single" w:sz="8" w:space="0" w:color="auto"/>
            </w:tcBorders>
            <w:shd w:val="clear" w:color="auto" w:fill="CCEEFF"/>
            <w:vAlign w:val="bottom"/>
          </w:tcPr>
          <w:p w:rsidR="000728AD" w:rsidRDefault="000728AD">
            <w:pPr>
              <w:rPr>
                <w:sz w:val="20"/>
                <w:szCs w:val="20"/>
              </w:rPr>
            </w:pPr>
          </w:p>
        </w:tc>
        <w:tc>
          <w:tcPr>
            <w:tcW w:w="100" w:type="dxa"/>
            <w:tcBorders>
              <w:bottom w:val="single" w:sz="8" w:space="0" w:color="CCEEFF"/>
            </w:tcBorders>
            <w:shd w:val="clear" w:color="auto" w:fill="CCEEFF"/>
            <w:vAlign w:val="bottom"/>
          </w:tcPr>
          <w:p w:rsidR="000728AD" w:rsidRDefault="000728AD">
            <w:pPr>
              <w:rPr>
                <w:sz w:val="20"/>
                <w:szCs w:val="20"/>
              </w:rPr>
            </w:pPr>
          </w:p>
        </w:tc>
        <w:tc>
          <w:tcPr>
            <w:tcW w:w="400" w:type="dxa"/>
            <w:tcBorders>
              <w:bottom w:val="single" w:sz="8" w:space="0" w:color="auto"/>
            </w:tcBorders>
            <w:shd w:val="clear" w:color="auto" w:fill="CCEEFF"/>
            <w:vAlign w:val="bottom"/>
          </w:tcPr>
          <w:p w:rsidR="000728AD" w:rsidRDefault="000728AD">
            <w:pPr>
              <w:rPr>
                <w:sz w:val="20"/>
                <w:szCs w:val="20"/>
              </w:rPr>
            </w:pPr>
          </w:p>
        </w:tc>
        <w:tc>
          <w:tcPr>
            <w:tcW w:w="1100" w:type="dxa"/>
            <w:vMerge/>
            <w:tcBorders>
              <w:bottom w:val="single" w:sz="8" w:space="0" w:color="auto"/>
            </w:tcBorders>
            <w:shd w:val="clear" w:color="auto" w:fill="CCEEFF"/>
            <w:vAlign w:val="bottom"/>
          </w:tcPr>
          <w:p w:rsidR="000728AD" w:rsidRDefault="000728AD">
            <w:pPr>
              <w:rPr>
                <w:sz w:val="20"/>
                <w:szCs w:val="20"/>
              </w:rPr>
            </w:pPr>
          </w:p>
        </w:tc>
        <w:tc>
          <w:tcPr>
            <w:tcW w:w="120" w:type="dxa"/>
            <w:tcBorders>
              <w:bottom w:val="single" w:sz="8" w:space="0" w:color="CCEEFF"/>
            </w:tcBorders>
            <w:shd w:val="clear" w:color="auto" w:fill="CCEEFF"/>
            <w:vAlign w:val="bottom"/>
          </w:tcPr>
          <w:p w:rsidR="000728AD" w:rsidRDefault="000728AD">
            <w:pPr>
              <w:rPr>
                <w:sz w:val="20"/>
                <w:szCs w:val="20"/>
              </w:rPr>
            </w:pPr>
          </w:p>
        </w:tc>
        <w:tc>
          <w:tcPr>
            <w:tcW w:w="320" w:type="dxa"/>
            <w:tcBorders>
              <w:bottom w:val="single" w:sz="8" w:space="0" w:color="auto"/>
            </w:tcBorders>
            <w:shd w:val="clear" w:color="auto" w:fill="CCEEFF"/>
            <w:vAlign w:val="bottom"/>
          </w:tcPr>
          <w:p w:rsidR="000728AD" w:rsidRDefault="000728AD">
            <w:pPr>
              <w:rPr>
                <w:sz w:val="20"/>
                <w:szCs w:val="20"/>
              </w:rPr>
            </w:pPr>
          </w:p>
        </w:tc>
        <w:tc>
          <w:tcPr>
            <w:tcW w:w="1180" w:type="dxa"/>
            <w:vMerge/>
            <w:tcBorders>
              <w:bottom w:val="single" w:sz="8" w:space="0" w:color="auto"/>
            </w:tcBorders>
            <w:shd w:val="clear" w:color="auto" w:fill="CCEEFF"/>
            <w:vAlign w:val="bottom"/>
          </w:tcPr>
          <w:p w:rsidR="000728AD" w:rsidRDefault="000728AD">
            <w:pPr>
              <w:rPr>
                <w:sz w:val="20"/>
                <w:szCs w:val="20"/>
              </w:rPr>
            </w:pPr>
          </w:p>
        </w:tc>
        <w:tc>
          <w:tcPr>
            <w:tcW w:w="100" w:type="dxa"/>
            <w:tcBorders>
              <w:bottom w:val="single" w:sz="8" w:space="0" w:color="CCEEFF"/>
            </w:tcBorders>
            <w:shd w:val="clear" w:color="auto" w:fill="CCEEFF"/>
            <w:vAlign w:val="bottom"/>
          </w:tcPr>
          <w:p w:rsidR="000728AD" w:rsidRDefault="000728AD">
            <w:pPr>
              <w:rPr>
                <w:sz w:val="20"/>
                <w:szCs w:val="20"/>
              </w:rPr>
            </w:pPr>
          </w:p>
        </w:tc>
        <w:tc>
          <w:tcPr>
            <w:tcW w:w="420" w:type="dxa"/>
            <w:tcBorders>
              <w:bottom w:val="single" w:sz="8" w:space="0" w:color="auto"/>
            </w:tcBorders>
            <w:shd w:val="clear" w:color="auto" w:fill="CCEEFF"/>
            <w:vAlign w:val="bottom"/>
          </w:tcPr>
          <w:p w:rsidR="000728AD" w:rsidRDefault="000728AD">
            <w:pPr>
              <w:rPr>
                <w:sz w:val="20"/>
                <w:szCs w:val="20"/>
              </w:rPr>
            </w:pPr>
          </w:p>
        </w:tc>
        <w:tc>
          <w:tcPr>
            <w:tcW w:w="1100" w:type="dxa"/>
            <w:vMerge/>
            <w:tcBorders>
              <w:bottom w:val="single" w:sz="8" w:space="0" w:color="auto"/>
            </w:tcBorders>
            <w:shd w:val="clear" w:color="auto" w:fill="CCEEFF"/>
            <w:vAlign w:val="bottom"/>
          </w:tcPr>
          <w:p w:rsidR="000728AD" w:rsidRDefault="000728AD">
            <w:pPr>
              <w:rPr>
                <w:sz w:val="20"/>
                <w:szCs w:val="20"/>
              </w:rPr>
            </w:pPr>
          </w:p>
        </w:tc>
        <w:tc>
          <w:tcPr>
            <w:tcW w:w="0" w:type="dxa"/>
            <w:vAlign w:val="bottom"/>
          </w:tcPr>
          <w:p w:rsidR="000728AD" w:rsidRDefault="000728AD">
            <w:pPr>
              <w:rPr>
                <w:sz w:val="1"/>
                <w:szCs w:val="1"/>
              </w:rPr>
            </w:pPr>
          </w:p>
        </w:tc>
      </w:tr>
      <w:tr w:rsidR="000728AD">
        <w:trPr>
          <w:trHeight w:val="20"/>
        </w:trPr>
        <w:tc>
          <w:tcPr>
            <w:tcW w:w="4780" w:type="dxa"/>
            <w:vMerge w:val="restart"/>
            <w:tcBorders>
              <w:top w:val="single" w:sz="8" w:space="0" w:color="CCEEFF"/>
              <w:bottom w:val="single" w:sz="8" w:space="0" w:color="CCEEFF"/>
            </w:tcBorders>
            <w:vAlign w:val="bottom"/>
          </w:tcPr>
          <w:p w:rsidR="000728AD" w:rsidRDefault="000561BE">
            <w:pPr>
              <w:ind w:left="20"/>
              <w:rPr>
                <w:sz w:val="20"/>
                <w:szCs w:val="20"/>
              </w:rPr>
            </w:pPr>
            <w:r>
              <w:rPr>
                <w:rFonts w:ascii="Arial" w:eastAsia="Arial" w:hAnsi="Arial" w:cs="Arial"/>
                <w:sz w:val="20"/>
                <w:szCs w:val="20"/>
              </w:rPr>
              <w:t>Comprehensive loss:</w:t>
            </w:r>
          </w:p>
        </w:tc>
        <w:tc>
          <w:tcPr>
            <w:tcW w:w="32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18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00" w:type="dxa"/>
            <w:tcBorders>
              <w:top w:val="single" w:sz="8" w:space="0" w:color="CCEEFF"/>
            </w:tcBorders>
            <w:vAlign w:val="bottom"/>
          </w:tcPr>
          <w:p w:rsidR="000728AD" w:rsidRDefault="000728AD">
            <w:pPr>
              <w:spacing w:line="20" w:lineRule="exact"/>
              <w:rPr>
                <w:sz w:val="1"/>
                <w:szCs w:val="1"/>
              </w:rPr>
            </w:pPr>
          </w:p>
        </w:tc>
        <w:tc>
          <w:tcPr>
            <w:tcW w:w="40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10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20" w:type="dxa"/>
            <w:tcBorders>
              <w:top w:val="single" w:sz="8" w:space="0" w:color="CCEEFF"/>
            </w:tcBorders>
            <w:vAlign w:val="bottom"/>
          </w:tcPr>
          <w:p w:rsidR="000728AD" w:rsidRDefault="000728AD">
            <w:pPr>
              <w:spacing w:line="20" w:lineRule="exact"/>
              <w:rPr>
                <w:sz w:val="1"/>
                <w:szCs w:val="1"/>
              </w:rPr>
            </w:pPr>
          </w:p>
        </w:tc>
        <w:tc>
          <w:tcPr>
            <w:tcW w:w="32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18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00" w:type="dxa"/>
            <w:tcBorders>
              <w:top w:val="single" w:sz="8" w:space="0" w:color="CCEEFF"/>
            </w:tcBorders>
            <w:vAlign w:val="bottom"/>
          </w:tcPr>
          <w:p w:rsidR="000728AD" w:rsidRDefault="000728AD">
            <w:pPr>
              <w:spacing w:line="20" w:lineRule="exact"/>
              <w:rPr>
                <w:sz w:val="1"/>
                <w:szCs w:val="1"/>
              </w:rPr>
            </w:pPr>
          </w:p>
        </w:tc>
        <w:tc>
          <w:tcPr>
            <w:tcW w:w="42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10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0" w:type="dxa"/>
            <w:vAlign w:val="bottom"/>
          </w:tcPr>
          <w:p w:rsidR="000728AD" w:rsidRDefault="000728AD">
            <w:pPr>
              <w:spacing w:line="20" w:lineRule="exact"/>
              <w:rPr>
                <w:sz w:val="1"/>
                <w:szCs w:val="1"/>
              </w:rPr>
            </w:pPr>
          </w:p>
        </w:tc>
      </w:tr>
      <w:tr w:rsidR="000728AD">
        <w:trPr>
          <w:trHeight w:val="190"/>
        </w:trPr>
        <w:tc>
          <w:tcPr>
            <w:tcW w:w="4780" w:type="dxa"/>
            <w:vMerge/>
            <w:vAlign w:val="bottom"/>
          </w:tcPr>
          <w:p w:rsidR="000728AD" w:rsidRDefault="000728AD">
            <w:pPr>
              <w:rPr>
                <w:sz w:val="16"/>
                <w:szCs w:val="16"/>
              </w:rPr>
            </w:pPr>
          </w:p>
        </w:tc>
        <w:tc>
          <w:tcPr>
            <w:tcW w:w="320" w:type="dxa"/>
            <w:vAlign w:val="bottom"/>
          </w:tcPr>
          <w:p w:rsidR="000728AD" w:rsidRDefault="000728AD">
            <w:pPr>
              <w:rPr>
                <w:sz w:val="16"/>
                <w:szCs w:val="16"/>
              </w:rPr>
            </w:pPr>
          </w:p>
        </w:tc>
        <w:tc>
          <w:tcPr>
            <w:tcW w:w="1180" w:type="dxa"/>
            <w:vAlign w:val="bottom"/>
          </w:tcPr>
          <w:p w:rsidR="000728AD" w:rsidRDefault="000728AD">
            <w:pPr>
              <w:rPr>
                <w:sz w:val="16"/>
                <w:szCs w:val="16"/>
              </w:rPr>
            </w:pPr>
          </w:p>
        </w:tc>
        <w:tc>
          <w:tcPr>
            <w:tcW w:w="100" w:type="dxa"/>
            <w:vAlign w:val="bottom"/>
          </w:tcPr>
          <w:p w:rsidR="000728AD" w:rsidRDefault="000728AD">
            <w:pPr>
              <w:rPr>
                <w:sz w:val="16"/>
                <w:szCs w:val="16"/>
              </w:rPr>
            </w:pPr>
          </w:p>
        </w:tc>
        <w:tc>
          <w:tcPr>
            <w:tcW w:w="400" w:type="dxa"/>
            <w:vAlign w:val="bottom"/>
          </w:tcPr>
          <w:p w:rsidR="000728AD" w:rsidRDefault="000728AD">
            <w:pPr>
              <w:rPr>
                <w:sz w:val="16"/>
                <w:szCs w:val="16"/>
              </w:rPr>
            </w:pPr>
          </w:p>
        </w:tc>
        <w:tc>
          <w:tcPr>
            <w:tcW w:w="1100" w:type="dxa"/>
            <w:vAlign w:val="bottom"/>
          </w:tcPr>
          <w:p w:rsidR="000728AD" w:rsidRDefault="000728AD">
            <w:pPr>
              <w:rPr>
                <w:sz w:val="16"/>
                <w:szCs w:val="16"/>
              </w:rPr>
            </w:pPr>
          </w:p>
        </w:tc>
        <w:tc>
          <w:tcPr>
            <w:tcW w:w="120" w:type="dxa"/>
            <w:vAlign w:val="bottom"/>
          </w:tcPr>
          <w:p w:rsidR="000728AD" w:rsidRDefault="000728AD">
            <w:pPr>
              <w:rPr>
                <w:sz w:val="16"/>
                <w:szCs w:val="16"/>
              </w:rPr>
            </w:pPr>
          </w:p>
        </w:tc>
        <w:tc>
          <w:tcPr>
            <w:tcW w:w="320" w:type="dxa"/>
            <w:vAlign w:val="bottom"/>
          </w:tcPr>
          <w:p w:rsidR="000728AD" w:rsidRDefault="000728AD">
            <w:pPr>
              <w:rPr>
                <w:sz w:val="16"/>
                <w:szCs w:val="16"/>
              </w:rPr>
            </w:pPr>
          </w:p>
        </w:tc>
        <w:tc>
          <w:tcPr>
            <w:tcW w:w="1180" w:type="dxa"/>
            <w:vAlign w:val="bottom"/>
          </w:tcPr>
          <w:p w:rsidR="000728AD" w:rsidRDefault="000728AD">
            <w:pPr>
              <w:rPr>
                <w:sz w:val="16"/>
                <w:szCs w:val="16"/>
              </w:rPr>
            </w:pPr>
          </w:p>
        </w:tc>
        <w:tc>
          <w:tcPr>
            <w:tcW w:w="100" w:type="dxa"/>
            <w:vAlign w:val="bottom"/>
          </w:tcPr>
          <w:p w:rsidR="000728AD" w:rsidRDefault="000728AD">
            <w:pPr>
              <w:rPr>
                <w:sz w:val="16"/>
                <w:szCs w:val="16"/>
              </w:rPr>
            </w:pPr>
          </w:p>
        </w:tc>
        <w:tc>
          <w:tcPr>
            <w:tcW w:w="420" w:type="dxa"/>
            <w:vAlign w:val="bottom"/>
          </w:tcPr>
          <w:p w:rsidR="000728AD" w:rsidRDefault="000728AD">
            <w:pPr>
              <w:rPr>
                <w:sz w:val="16"/>
                <w:szCs w:val="16"/>
              </w:rPr>
            </w:pPr>
          </w:p>
        </w:tc>
        <w:tc>
          <w:tcPr>
            <w:tcW w:w="1100" w:type="dxa"/>
            <w:vAlign w:val="bottom"/>
          </w:tcPr>
          <w:p w:rsidR="000728AD" w:rsidRDefault="000728AD">
            <w:pPr>
              <w:rPr>
                <w:sz w:val="16"/>
                <w:szCs w:val="16"/>
              </w:rPr>
            </w:pPr>
          </w:p>
        </w:tc>
        <w:tc>
          <w:tcPr>
            <w:tcW w:w="0" w:type="dxa"/>
            <w:vAlign w:val="bottom"/>
          </w:tcPr>
          <w:p w:rsidR="000728AD" w:rsidRDefault="000728AD">
            <w:pPr>
              <w:rPr>
                <w:sz w:val="1"/>
                <w:szCs w:val="1"/>
              </w:rPr>
            </w:pPr>
          </w:p>
        </w:tc>
      </w:tr>
      <w:tr w:rsidR="000728AD">
        <w:trPr>
          <w:trHeight w:val="243"/>
        </w:trPr>
        <w:tc>
          <w:tcPr>
            <w:tcW w:w="4780" w:type="dxa"/>
            <w:shd w:val="clear" w:color="auto" w:fill="CCEEFF"/>
            <w:vAlign w:val="bottom"/>
          </w:tcPr>
          <w:p w:rsidR="000728AD" w:rsidRDefault="000561BE">
            <w:pPr>
              <w:ind w:left="20"/>
              <w:rPr>
                <w:sz w:val="20"/>
                <w:szCs w:val="20"/>
              </w:rPr>
            </w:pPr>
            <w:r>
              <w:rPr>
                <w:rFonts w:ascii="Arial" w:eastAsia="Arial" w:hAnsi="Arial" w:cs="Arial"/>
                <w:sz w:val="20"/>
                <w:szCs w:val="20"/>
              </w:rPr>
              <w:t>Net loss</w:t>
            </w:r>
          </w:p>
        </w:tc>
        <w:tc>
          <w:tcPr>
            <w:tcW w:w="320" w:type="dxa"/>
            <w:shd w:val="clear" w:color="auto" w:fill="CCEEFF"/>
            <w:vAlign w:val="bottom"/>
          </w:tcPr>
          <w:p w:rsidR="000728AD" w:rsidRDefault="000561BE">
            <w:pPr>
              <w:ind w:right="101"/>
              <w:jc w:val="right"/>
              <w:rPr>
                <w:sz w:val="20"/>
                <w:szCs w:val="20"/>
              </w:rPr>
            </w:pPr>
            <w:r>
              <w:rPr>
                <w:rFonts w:ascii="Arial" w:eastAsia="Arial" w:hAnsi="Arial" w:cs="Arial"/>
                <w:w w:val="89"/>
                <w:sz w:val="20"/>
                <w:szCs w:val="20"/>
              </w:rPr>
              <w:t>$</w:t>
            </w:r>
          </w:p>
        </w:tc>
        <w:tc>
          <w:tcPr>
            <w:tcW w:w="1180" w:type="dxa"/>
            <w:shd w:val="clear" w:color="auto" w:fill="CCEEFF"/>
            <w:vAlign w:val="bottom"/>
          </w:tcPr>
          <w:p w:rsidR="000728AD" w:rsidRDefault="000561BE">
            <w:pPr>
              <w:jc w:val="right"/>
              <w:rPr>
                <w:sz w:val="20"/>
                <w:szCs w:val="20"/>
              </w:rPr>
            </w:pPr>
            <w:r>
              <w:rPr>
                <w:rFonts w:ascii="Arial" w:eastAsia="Arial" w:hAnsi="Arial" w:cs="Arial"/>
                <w:sz w:val="20"/>
                <w:szCs w:val="20"/>
              </w:rPr>
              <w:t>(15,935)</w:t>
            </w:r>
          </w:p>
        </w:tc>
        <w:tc>
          <w:tcPr>
            <w:tcW w:w="100" w:type="dxa"/>
            <w:shd w:val="clear" w:color="auto" w:fill="CCEEFF"/>
            <w:vAlign w:val="bottom"/>
          </w:tcPr>
          <w:p w:rsidR="000728AD" w:rsidRDefault="000728AD">
            <w:pPr>
              <w:rPr>
                <w:sz w:val="21"/>
                <w:szCs w:val="21"/>
              </w:rPr>
            </w:pPr>
          </w:p>
        </w:tc>
        <w:tc>
          <w:tcPr>
            <w:tcW w:w="400" w:type="dxa"/>
            <w:shd w:val="clear" w:color="auto" w:fill="CCEEFF"/>
            <w:vAlign w:val="bottom"/>
          </w:tcPr>
          <w:p w:rsidR="000728AD" w:rsidRDefault="000561BE">
            <w:pPr>
              <w:ind w:right="181"/>
              <w:jc w:val="right"/>
              <w:rPr>
                <w:sz w:val="20"/>
                <w:szCs w:val="20"/>
              </w:rPr>
            </w:pPr>
            <w:r>
              <w:rPr>
                <w:rFonts w:ascii="Arial" w:eastAsia="Arial" w:hAnsi="Arial" w:cs="Arial"/>
                <w:w w:val="89"/>
                <w:sz w:val="20"/>
                <w:szCs w:val="20"/>
              </w:rPr>
              <w:t>$</w:t>
            </w:r>
          </w:p>
        </w:tc>
        <w:tc>
          <w:tcPr>
            <w:tcW w:w="1100" w:type="dxa"/>
            <w:shd w:val="clear" w:color="auto" w:fill="CCEEFF"/>
            <w:vAlign w:val="bottom"/>
          </w:tcPr>
          <w:p w:rsidR="000728AD" w:rsidRDefault="000561BE">
            <w:pPr>
              <w:jc w:val="right"/>
              <w:rPr>
                <w:sz w:val="20"/>
                <w:szCs w:val="20"/>
              </w:rPr>
            </w:pPr>
            <w:r>
              <w:rPr>
                <w:rFonts w:ascii="Arial" w:eastAsia="Arial" w:hAnsi="Arial" w:cs="Arial"/>
                <w:sz w:val="20"/>
                <w:szCs w:val="20"/>
              </w:rPr>
              <w:t>(13,892)</w:t>
            </w:r>
          </w:p>
        </w:tc>
        <w:tc>
          <w:tcPr>
            <w:tcW w:w="120" w:type="dxa"/>
            <w:shd w:val="clear" w:color="auto" w:fill="CCEEFF"/>
            <w:vAlign w:val="bottom"/>
          </w:tcPr>
          <w:p w:rsidR="000728AD" w:rsidRDefault="000728AD">
            <w:pPr>
              <w:rPr>
                <w:sz w:val="21"/>
                <w:szCs w:val="21"/>
              </w:rPr>
            </w:pPr>
          </w:p>
        </w:tc>
        <w:tc>
          <w:tcPr>
            <w:tcW w:w="320" w:type="dxa"/>
            <w:shd w:val="clear" w:color="auto" w:fill="CCEEFF"/>
            <w:vAlign w:val="bottom"/>
          </w:tcPr>
          <w:p w:rsidR="000728AD" w:rsidRDefault="000561BE">
            <w:pPr>
              <w:ind w:right="101"/>
              <w:jc w:val="right"/>
              <w:rPr>
                <w:sz w:val="20"/>
                <w:szCs w:val="20"/>
              </w:rPr>
            </w:pPr>
            <w:r>
              <w:rPr>
                <w:rFonts w:ascii="Arial" w:eastAsia="Arial" w:hAnsi="Arial" w:cs="Arial"/>
                <w:w w:val="89"/>
                <w:sz w:val="20"/>
                <w:szCs w:val="20"/>
              </w:rPr>
              <w:t>$</w:t>
            </w:r>
          </w:p>
        </w:tc>
        <w:tc>
          <w:tcPr>
            <w:tcW w:w="1180" w:type="dxa"/>
            <w:shd w:val="clear" w:color="auto" w:fill="CCEEFF"/>
            <w:vAlign w:val="bottom"/>
          </w:tcPr>
          <w:p w:rsidR="000728AD" w:rsidRDefault="000561BE">
            <w:pPr>
              <w:jc w:val="right"/>
              <w:rPr>
                <w:sz w:val="20"/>
                <w:szCs w:val="20"/>
              </w:rPr>
            </w:pPr>
            <w:r>
              <w:rPr>
                <w:rFonts w:ascii="Arial" w:eastAsia="Arial" w:hAnsi="Arial" w:cs="Arial"/>
                <w:sz w:val="20"/>
                <w:szCs w:val="20"/>
              </w:rPr>
              <w:t>(31,124)</w:t>
            </w:r>
          </w:p>
        </w:tc>
        <w:tc>
          <w:tcPr>
            <w:tcW w:w="100" w:type="dxa"/>
            <w:shd w:val="clear" w:color="auto" w:fill="CCEEFF"/>
            <w:vAlign w:val="bottom"/>
          </w:tcPr>
          <w:p w:rsidR="000728AD" w:rsidRDefault="000728AD">
            <w:pPr>
              <w:rPr>
                <w:sz w:val="21"/>
                <w:szCs w:val="21"/>
              </w:rPr>
            </w:pPr>
          </w:p>
        </w:tc>
        <w:tc>
          <w:tcPr>
            <w:tcW w:w="420" w:type="dxa"/>
            <w:shd w:val="clear" w:color="auto" w:fill="CCEEFF"/>
            <w:vAlign w:val="bottom"/>
          </w:tcPr>
          <w:p w:rsidR="000728AD" w:rsidRDefault="000561BE">
            <w:pPr>
              <w:ind w:right="201"/>
              <w:jc w:val="right"/>
              <w:rPr>
                <w:sz w:val="20"/>
                <w:szCs w:val="20"/>
              </w:rPr>
            </w:pPr>
            <w:r>
              <w:rPr>
                <w:rFonts w:ascii="Arial" w:eastAsia="Arial" w:hAnsi="Arial" w:cs="Arial"/>
                <w:w w:val="89"/>
                <w:sz w:val="20"/>
                <w:szCs w:val="20"/>
              </w:rPr>
              <w:t>$</w:t>
            </w:r>
          </w:p>
        </w:tc>
        <w:tc>
          <w:tcPr>
            <w:tcW w:w="1100" w:type="dxa"/>
            <w:shd w:val="clear" w:color="auto" w:fill="CCEEFF"/>
            <w:vAlign w:val="bottom"/>
          </w:tcPr>
          <w:p w:rsidR="000728AD" w:rsidRDefault="000561BE">
            <w:pPr>
              <w:jc w:val="right"/>
              <w:rPr>
                <w:sz w:val="20"/>
                <w:szCs w:val="20"/>
              </w:rPr>
            </w:pPr>
            <w:r>
              <w:rPr>
                <w:rFonts w:ascii="Arial" w:eastAsia="Arial" w:hAnsi="Arial" w:cs="Arial"/>
                <w:sz w:val="20"/>
                <w:szCs w:val="20"/>
              </w:rPr>
              <w:t>(28,901)</w:t>
            </w:r>
          </w:p>
        </w:tc>
        <w:tc>
          <w:tcPr>
            <w:tcW w:w="0" w:type="dxa"/>
            <w:vAlign w:val="bottom"/>
          </w:tcPr>
          <w:p w:rsidR="000728AD" w:rsidRDefault="000728AD">
            <w:pPr>
              <w:rPr>
                <w:sz w:val="1"/>
                <w:szCs w:val="1"/>
              </w:rPr>
            </w:pPr>
          </w:p>
        </w:tc>
      </w:tr>
      <w:tr w:rsidR="000728AD">
        <w:trPr>
          <w:trHeight w:val="243"/>
        </w:trPr>
        <w:tc>
          <w:tcPr>
            <w:tcW w:w="4780" w:type="dxa"/>
            <w:vAlign w:val="bottom"/>
          </w:tcPr>
          <w:p w:rsidR="000728AD" w:rsidRDefault="000561BE">
            <w:pPr>
              <w:ind w:left="20"/>
              <w:rPr>
                <w:sz w:val="20"/>
                <w:szCs w:val="20"/>
              </w:rPr>
            </w:pPr>
            <w:r>
              <w:rPr>
                <w:rFonts w:ascii="Arial" w:eastAsia="Arial" w:hAnsi="Arial" w:cs="Arial"/>
                <w:sz w:val="20"/>
                <w:szCs w:val="20"/>
              </w:rPr>
              <w:t xml:space="preserve">Other comprehensive income </w:t>
            </w:r>
            <w:r>
              <w:rPr>
                <w:rFonts w:ascii="Arial" w:eastAsia="Arial" w:hAnsi="Arial" w:cs="Arial"/>
                <w:sz w:val="20"/>
                <w:szCs w:val="20"/>
              </w:rPr>
              <w:t>(loss):</w:t>
            </w:r>
          </w:p>
        </w:tc>
        <w:tc>
          <w:tcPr>
            <w:tcW w:w="320" w:type="dxa"/>
            <w:vAlign w:val="bottom"/>
          </w:tcPr>
          <w:p w:rsidR="000728AD" w:rsidRDefault="000728AD">
            <w:pPr>
              <w:rPr>
                <w:sz w:val="21"/>
                <w:szCs w:val="21"/>
              </w:rPr>
            </w:pPr>
          </w:p>
        </w:tc>
        <w:tc>
          <w:tcPr>
            <w:tcW w:w="1180" w:type="dxa"/>
            <w:vAlign w:val="bottom"/>
          </w:tcPr>
          <w:p w:rsidR="000728AD" w:rsidRDefault="000728AD">
            <w:pPr>
              <w:rPr>
                <w:sz w:val="21"/>
                <w:szCs w:val="21"/>
              </w:rPr>
            </w:pPr>
          </w:p>
        </w:tc>
        <w:tc>
          <w:tcPr>
            <w:tcW w:w="100" w:type="dxa"/>
            <w:vAlign w:val="bottom"/>
          </w:tcPr>
          <w:p w:rsidR="000728AD" w:rsidRDefault="000728AD">
            <w:pPr>
              <w:rPr>
                <w:sz w:val="21"/>
                <w:szCs w:val="21"/>
              </w:rPr>
            </w:pPr>
          </w:p>
        </w:tc>
        <w:tc>
          <w:tcPr>
            <w:tcW w:w="400" w:type="dxa"/>
            <w:vAlign w:val="bottom"/>
          </w:tcPr>
          <w:p w:rsidR="000728AD" w:rsidRDefault="000728AD">
            <w:pPr>
              <w:rPr>
                <w:sz w:val="21"/>
                <w:szCs w:val="21"/>
              </w:rPr>
            </w:pPr>
          </w:p>
        </w:tc>
        <w:tc>
          <w:tcPr>
            <w:tcW w:w="1100" w:type="dxa"/>
            <w:vAlign w:val="bottom"/>
          </w:tcPr>
          <w:p w:rsidR="000728AD" w:rsidRDefault="000728AD">
            <w:pPr>
              <w:rPr>
                <w:sz w:val="21"/>
                <w:szCs w:val="21"/>
              </w:rPr>
            </w:pPr>
          </w:p>
        </w:tc>
        <w:tc>
          <w:tcPr>
            <w:tcW w:w="120" w:type="dxa"/>
            <w:vAlign w:val="bottom"/>
          </w:tcPr>
          <w:p w:rsidR="000728AD" w:rsidRDefault="000728AD">
            <w:pPr>
              <w:rPr>
                <w:sz w:val="21"/>
                <w:szCs w:val="21"/>
              </w:rPr>
            </w:pPr>
          </w:p>
        </w:tc>
        <w:tc>
          <w:tcPr>
            <w:tcW w:w="320" w:type="dxa"/>
            <w:vAlign w:val="bottom"/>
          </w:tcPr>
          <w:p w:rsidR="000728AD" w:rsidRDefault="000728AD">
            <w:pPr>
              <w:rPr>
                <w:sz w:val="21"/>
                <w:szCs w:val="21"/>
              </w:rPr>
            </w:pPr>
          </w:p>
        </w:tc>
        <w:tc>
          <w:tcPr>
            <w:tcW w:w="1180" w:type="dxa"/>
            <w:vAlign w:val="bottom"/>
          </w:tcPr>
          <w:p w:rsidR="000728AD" w:rsidRDefault="000728AD">
            <w:pPr>
              <w:rPr>
                <w:sz w:val="21"/>
                <w:szCs w:val="21"/>
              </w:rPr>
            </w:pPr>
          </w:p>
        </w:tc>
        <w:tc>
          <w:tcPr>
            <w:tcW w:w="100" w:type="dxa"/>
            <w:vAlign w:val="bottom"/>
          </w:tcPr>
          <w:p w:rsidR="000728AD" w:rsidRDefault="000728AD">
            <w:pPr>
              <w:rPr>
                <w:sz w:val="21"/>
                <w:szCs w:val="21"/>
              </w:rPr>
            </w:pPr>
          </w:p>
        </w:tc>
        <w:tc>
          <w:tcPr>
            <w:tcW w:w="420" w:type="dxa"/>
            <w:vAlign w:val="bottom"/>
          </w:tcPr>
          <w:p w:rsidR="000728AD" w:rsidRDefault="000728AD">
            <w:pPr>
              <w:rPr>
                <w:sz w:val="21"/>
                <w:szCs w:val="21"/>
              </w:rPr>
            </w:pPr>
          </w:p>
        </w:tc>
        <w:tc>
          <w:tcPr>
            <w:tcW w:w="1100" w:type="dxa"/>
            <w:vAlign w:val="bottom"/>
          </w:tcPr>
          <w:p w:rsidR="000728AD" w:rsidRDefault="000728AD">
            <w:pPr>
              <w:rPr>
                <w:sz w:val="21"/>
                <w:szCs w:val="21"/>
              </w:rPr>
            </w:pPr>
          </w:p>
        </w:tc>
        <w:tc>
          <w:tcPr>
            <w:tcW w:w="0" w:type="dxa"/>
            <w:vAlign w:val="bottom"/>
          </w:tcPr>
          <w:p w:rsidR="000728AD" w:rsidRDefault="000728AD">
            <w:pPr>
              <w:rPr>
                <w:sz w:val="1"/>
                <w:szCs w:val="1"/>
              </w:rPr>
            </w:pPr>
          </w:p>
        </w:tc>
      </w:tr>
      <w:tr w:rsidR="000728AD">
        <w:trPr>
          <w:trHeight w:val="243"/>
        </w:trPr>
        <w:tc>
          <w:tcPr>
            <w:tcW w:w="4780" w:type="dxa"/>
            <w:shd w:val="clear" w:color="auto" w:fill="CCEEFF"/>
            <w:vAlign w:val="bottom"/>
          </w:tcPr>
          <w:p w:rsidR="000728AD" w:rsidRDefault="000561BE">
            <w:pPr>
              <w:ind w:left="120"/>
              <w:rPr>
                <w:sz w:val="20"/>
                <w:szCs w:val="20"/>
              </w:rPr>
            </w:pPr>
            <w:r>
              <w:rPr>
                <w:rFonts w:ascii="Arial" w:eastAsia="Arial" w:hAnsi="Arial" w:cs="Arial"/>
                <w:sz w:val="20"/>
                <w:szCs w:val="20"/>
              </w:rPr>
              <w:t>Unrealized gains on marketable securities</w:t>
            </w:r>
          </w:p>
        </w:tc>
        <w:tc>
          <w:tcPr>
            <w:tcW w:w="320" w:type="dxa"/>
            <w:shd w:val="clear" w:color="auto" w:fill="CCEEFF"/>
            <w:vAlign w:val="bottom"/>
          </w:tcPr>
          <w:p w:rsidR="000728AD" w:rsidRDefault="000728AD">
            <w:pPr>
              <w:rPr>
                <w:sz w:val="21"/>
                <w:szCs w:val="21"/>
              </w:rPr>
            </w:pPr>
          </w:p>
        </w:tc>
        <w:tc>
          <w:tcPr>
            <w:tcW w:w="1180" w:type="dxa"/>
            <w:shd w:val="clear" w:color="auto" w:fill="CCEEFF"/>
            <w:vAlign w:val="bottom"/>
          </w:tcPr>
          <w:p w:rsidR="000728AD" w:rsidRDefault="000561BE">
            <w:pPr>
              <w:jc w:val="right"/>
              <w:rPr>
                <w:sz w:val="20"/>
                <w:szCs w:val="20"/>
              </w:rPr>
            </w:pPr>
            <w:r>
              <w:rPr>
                <w:rFonts w:ascii="Arial" w:eastAsia="Arial" w:hAnsi="Arial" w:cs="Arial"/>
                <w:sz w:val="20"/>
                <w:szCs w:val="20"/>
              </w:rPr>
              <w:t>18</w:t>
            </w:r>
          </w:p>
        </w:tc>
        <w:tc>
          <w:tcPr>
            <w:tcW w:w="100" w:type="dxa"/>
            <w:shd w:val="clear" w:color="auto" w:fill="CCEEFF"/>
            <w:vAlign w:val="bottom"/>
          </w:tcPr>
          <w:p w:rsidR="000728AD" w:rsidRDefault="000728AD">
            <w:pPr>
              <w:rPr>
                <w:sz w:val="21"/>
                <w:szCs w:val="21"/>
              </w:rPr>
            </w:pPr>
          </w:p>
        </w:tc>
        <w:tc>
          <w:tcPr>
            <w:tcW w:w="400" w:type="dxa"/>
            <w:shd w:val="clear" w:color="auto" w:fill="CCEEFF"/>
            <w:vAlign w:val="bottom"/>
          </w:tcPr>
          <w:p w:rsidR="000728AD" w:rsidRDefault="000728AD">
            <w:pPr>
              <w:rPr>
                <w:sz w:val="21"/>
                <w:szCs w:val="21"/>
              </w:rPr>
            </w:pPr>
          </w:p>
        </w:tc>
        <w:tc>
          <w:tcPr>
            <w:tcW w:w="1220" w:type="dxa"/>
            <w:gridSpan w:val="2"/>
            <w:shd w:val="clear" w:color="auto" w:fill="CCEEFF"/>
            <w:vAlign w:val="bottom"/>
          </w:tcPr>
          <w:p w:rsidR="000728AD" w:rsidRDefault="000561BE">
            <w:pPr>
              <w:ind w:right="200"/>
              <w:jc w:val="right"/>
              <w:rPr>
                <w:sz w:val="20"/>
                <w:szCs w:val="20"/>
              </w:rPr>
            </w:pPr>
            <w:r>
              <w:rPr>
                <w:rFonts w:ascii="Arial" w:eastAsia="Arial" w:hAnsi="Arial" w:cs="Arial"/>
                <w:sz w:val="20"/>
                <w:szCs w:val="20"/>
              </w:rPr>
              <w:t>—</w:t>
            </w:r>
          </w:p>
        </w:tc>
        <w:tc>
          <w:tcPr>
            <w:tcW w:w="320" w:type="dxa"/>
            <w:shd w:val="clear" w:color="auto" w:fill="CCEEFF"/>
            <w:vAlign w:val="bottom"/>
          </w:tcPr>
          <w:p w:rsidR="000728AD" w:rsidRDefault="000728AD">
            <w:pPr>
              <w:rPr>
                <w:sz w:val="21"/>
                <w:szCs w:val="21"/>
              </w:rPr>
            </w:pPr>
          </w:p>
        </w:tc>
        <w:tc>
          <w:tcPr>
            <w:tcW w:w="1180" w:type="dxa"/>
            <w:shd w:val="clear" w:color="auto" w:fill="CCEEFF"/>
            <w:vAlign w:val="bottom"/>
          </w:tcPr>
          <w:p w:rsidR="000728AD" w:rsidRDefault="000561BE">
            <w:pPr>
              <w:jc w:val="right"/>
              <w:rPr>
                <w:sz w:val="20"/>
                <w:szCs w:val="20"/>
              </w:rPr>
            </w:pPr>
            <w:r>
              <w:rPr>
                <w:rFonts w:ascii="Arial" w:eastAsia="Arial" w:hAnsi="Arial" w:cs="Arial"/>
                <w:sz w:val="20"/>
                <w:szCs w:val="20"/>
              </w:rPr>
              <w:t>25</w:t>
            </w:r>
          </w:p>
        </w:tc>
        <w:tc>
          <w:tcPr>
            <w:tcW w:w="100" w:type="dxa"/>
            <w:shd w:val="clear" w:color="auto" w:fill="CCEEFF"/>
            <w:vAlign w:val="bottom"/>
          </w:tcPr>
          <w:p w:rsidR="000728AD" w:rsidRDefault="000728AD">
            <w:pPr>
              <w:rPr>
                <w:sz w:val="21"/>
                <w:szCs w:val="21"/>
              </w:rPr>
            </w:pPr>
          </w:p>
        </w:tc>
        <w:tc>
          <w:tcPr>
            <w:tcW w:w="420" w:type="dxa"/>
            <w:shd w:val="clear" w:color="auto" w:fill="CCEEFF"/>
            <w:vAlign w:val="bottom"/>
          </w:tcPr>
          <w:p w:rsidR="000728AD" w:rsidRDefault="000728AD">
            <w:pPr>
              <w:rPr>
                <w:sz w:val="21"/>
                <w:szCs w:val="21"/>
              </w:rPr>
            </w:pPr>
          </w:p>
        </w:tc>
        <w:tc>
          <w:tcPr>
            <w:tcW w:w="1100" w:type="dxa"/>
            <w:shd w:val="clear" w:color="auto" w:fill="CCEEFF"/>
            <w:vAlign w:val="bottom"/>
          </w:tcPr>
          <w:p w:rsidR="000728AD" w:rsidRDefault="000561BE">
            <w:pPr>
              <w:jc w:val="right"/>
              <w:rPr>
                <w:sz w:val="20"/>
                <w:szCs w:val="20"/>
              </w:rPr>
            </w:pPr>
            <w:r>
              <w:rPr>
                <w:rFonts w:ascii="Arial" w:eastAsia="Arial" w:hAnsi="Arial" w:cs="Arial"/>
                <w:sz w:val="20"/>
                <w:szCs w:val="20"/>
              </w:rPr>
              <w:t>—</w:t>
            </w:r>
          </w:p>
        </w:tc>
        <w:tc>
          <w:tcPr>
            <w:tcW w:w="0" w:type="dxa"/>
            <w:vAlign w:val="bottom"/>
          </w:tcPr>
          <w:p w:rsidR="000728AD" w:rsidRDefault="000728AD">
            <w:pPr>
              <w:rPr>
                <w:sz w:val="1"/>
                <w:szCs w:val="1"/>
              </w:rPr>
            </w:pPr>
          </w:p>
        </w:tc>
      </w:tr>
      <w:tr w:rsidR="000728AD">
        <w:trPr>
          <w:trHeight w:val="236"/>
        </w:trPr>
        <w:tc>
          <w:tcPr>
            <w:tcW w:w="4780" w:type="dxa"/>
            <w:vAlign w:val="bottom"/>
          </w:tcPr>
          <w:p w:rsidR="000728AD" w:rsidRDefault="000561BE">
            <w:pPr>
              <w:ind w:left="20"/>
              <w:rPr>
                <w:sz w:val="20"/>
                <w:szCs w:val="20"/>
              </w:rPr>
            </w:pPr>
            <w:r>
              <w:rPr>
                <w:rFonts w:ascii="Arial" w:eastAsia="Arial" w:hAnsi="Arial" w:cs="Arial"/>
                <w:sz w:val="20"/>
                <w:szCs w:val="20"/>
              </w:rPr>
              <w:t>Comprehensive loss</w:t>
            </w:r>
          </w:p>
        </w:tc>
        <w:tc>
          <w:tcPr>
            <w:tcW w:w="320" w:type="dxa"/>
            <w:tcBorders>
              <w:top w:val="single" w:sz="8" w:space="0" w:color="auto"/>
              <w:bottom w:val="single" w:sz="8" w:space="0" w:color="auto"/>
            </w:tcBorders>
            <w:vAlign w:val="bottom"/>
          </w:tcPr>
          <w:p w:rsidR="000728AD" w:rsidRDefault="000561BE">
            <w:pPr>
              <w:ind w:right="101"/>
              <w:jc w:val="right"/>
              <w:rPr>
                <w:sz w:val="20"/>
                <w:szCs w:val="20"/>
              </w:rPr>
            </w:pPr>
            <w:r>
              <w:rPr>
                <w:rFonts w:ascii="Arial" w:eastAsia="Arial" w:hAnsi="Arial" w:cs="Arial"/>
                <w:w w:val="89"/>
                <w:sz w:val="20"/>
                <w:szCs w:val="20"/>
              </w:rPr>
              <w:t>$</w:t>
            </w:r>
          </w:p>
        </w:tc>
        <w:tc>
          <w:tcPr>
            <w:tcW w:w="1180" w:type="dxa"/>
            <w:tcBorders>
              <w:top w:val="single" w:sz="8" w:space="0" w:color="auto"/>
              <w:bottom w:val="single" w:sz="8" w:space="0" w:color="auto"/>
            </w:tcBorders>
            <w:vAlign w:val="bottom"/>
          </w:tcPr>
          <w:p w:rsidR="000728AD" w:rsidRDefault="000561BE">
            <w:pPr>
              <w:jc w:val="right"/>
              <w:rPr>
                <w:sz w:val="20"/>
                <w:szCs w:val="20"/>
              </w:rPr>
            </w:pPr>
            <w:r>
              <w:rPr>
                <w:rFonts w:ascii="Arial" w:eastAsia="Arial" w:hAnsi="Arial" w:cs="Arial"/>
                <w:sz w:val="20"/>
                <w:szCs w:val="20"/>
              </w:rPr>
              <w:t>(15,917)</w:t>
            </w:r>
          </w:p>
        </w:tc>
        <w:tc>
          <w:tcPr>
            <w:tcW w:w="100" w:type="dxa"/>
            <w:vAlign w:val="bottom"/>
          </w:tcPr>
          <w:p w:rsidR="000728AD" w:rsidRDefault="000728AD">
            <w:pPr>
              <w:rPr>
                <w:sz w:val="20"/>
                <w:szCs w:val="20"/>
              </w:rPr>
            </w:pPr>
          </w:p>
        </w:tc>
        <w:tc>
          <w:tcPr>
            <w:tcW w:w="400" w:type="dxa"/>
            <w:tcBorders>
              <w:top w:val="single" w:sz="8" w:space="0" w:color="auto"/>
              <w:bottom w:val="single" w:sz="8" w:space="0" w:color="auto"/>
            </w:tcBorders>
            <w:vAlign w:val="bottom"/>
          </w:tcPr>
          <w:p w:rsidR="000728AD" w:rsidRDefault="000561BE">
            <w:pPr>
              <w:ind w:right="181"/>
              <w:jc w:val="right"/>
              <w:rPr>
                <w:sz w:val="20"/>
                <w:szCs w:val="20"/>
              </w:rPr>
            </w:pPr>
            <w:r>
              <w:rPr>
                <w:rFonts w:ascii="Arial" w:eastAsia="Arial" w:hAnsi="Arial" w:cs="Arial"/>
                <w:w w:val="89"/>
                <w:sz w:val="20"/>
                <w:szCs w:val="20"/>
              </w:rPr>
              <w:t>$</w:t>
            </w:r>
          </w:p>
        </w:tc>
        <w:tc>
          <w:tcPr>
            <w:tcW w:w="1100" w:type="dxa"/>
            <w:tcBorders>
              <w:top w:val="single" w:sz="8" w:space="0" w:color="auto"/>
              <w:bottom w:val="single" w:sz="8" w:space="0" w:color="auto"/>
            </w:tcBorders>
            <w:vAlign w:val="bottom"/>
          </w:tcPr>
          <w:p w:rsidR="000728AD" w:rsidRDefault="000561BE">
            <w:pPr>
              <w:jc w:val="right"/>
              <w:rPr>
                <w:sz w:val="20"/>
                <w:szCs w:val="20"/>
              </w:rPr>
            </w:pPr>
            <w:r>
              <w:rPr>
                <w:rFonts w:ascii="Arial" w:eastAsia="Arial" w:hAnsi="Arial" w:cs="Arial"/>
                <w:sz w:val="20"/>
                <w:szCs w:val="20"/>
              </w:rPr>
              <w:t>(13,892)</w:t>
            </w:r>
          </w:p>
        </w:tc>
        <w:tc>
          <w:tcPr>
            <w:tcW w:w="120" w:type="dxa"/>
            <w:vAlign w:val="bottom"/>
          </w:tcPr>
          <w:p w:rsidR="000728AD" w:rsidRDefault="000728AD">
            <w:pPr>
              <w:rPr>
                <w:sz w:val="20"/>
                <w:szCs w:val="20"/>
              </w:rPr>
            </w:pPr>
          </w:p>
        </w:tc>
        <w:tc>
          <w:tcPr>
            <w:tcW w:w="320" w:type="dxa"/>
            <w:tcBorders>
              <w:top w:val="single" w:sz="8" w:space="0" w:color="auto"/>
              <w:bottom w:val="single" w:sz="8" w:space="0" w:color="auto"/>
            </w:tcBorders>
            <w:vAlign w:val="bottom"/>
          </w:tcPr>
          <w:p w:rsidR="000728AD" w:rsidRDefault="000561BE">
            <w:pPr>
              <w:ind w:right="101"/>
              <w:jc w:val="right"/>
              <w:rPr>
                <w:sz w:val="20"/>
                <w:szCs w:val="20"/>
              </w:rPr>
            </w:pPr>
            <w:r>
              <w:rPr>
                <w:rFonts w:ascii="Arial" w:eastAsia="Arial" w:hAnsi="Arial" w:cs="Arial"/>
                <w:w w:val="89"/>
                <w:sz w:val="20"/>
                <w:szCs w:val="20"/>
              </w:rPr>
              <w:t>$</w:t>
            </w:r>
          </w:p>
        </w:tc>
        <w:tc>
          <w:tcPr>
            <w:tcW w:w="1180" w:type="dxa"/>
            <w:tcBorders>
              <w:top w:val="single" w:sz="8" w:space="0" w:color="auto"/>
              <w:bottom w:val="single" w:sz="8" w:space="0" w:color="auto"/>
            </w:tcBorders>
            <w:vAlign w:val="bottom"/>
          </w:tcPr>
          <w:p w:rsidR="000728AD" w:rsidRDefault="000561BE">
            <w:pPr>
              <w:jc w:val="right"/>
              <w:rPr>
                <w:sz w:val="20"/>
                <w:szCs w:val="20"/>
              </w:rPr>
            </w:pPr>
            <w:r>
              <w:rPr>
                <w:rFonts w:ascii="Arial" w:eastAsia="Arial" w:hAnsi="Arial" w:cs="Arial"/>
                <w:sz w:val="20"/>
                <w:szCs w:val="20"/>
              </w:rPr>
              <w:t>(31,099)</w:t>
            </w:r>
          </w:p>
        </w:tc>
        <w:tc>
          <w:tcPr>
            <w:tcW w:w="100" w:type="dxa"/>
            <w:vAlign w:val="bottom"/>
          </w:tcPr>
          <w:p w:rsidR="000728AD" w:rsidRDefault="000728AD">
            <w:pPr>
              <w:rPr>
                <w:sz w:val="20"/>
                <w:szCs w:val="20"/>
              </w:rPr>
            </w:pPr>
          </w:p>
        </w:tc>
        <w:tc>
          <w:tcPr>
            <w:tcW w:w="420" w:type="dxa"/>
            <w:tcBorders>
              <w:top w:val="single" w:sz="8" w:space="0" w:color="auto"/>
              <w:bottom w:val="single" w:sz="8" w:space="0" w:color="auto"/>
            </w:tcBorders>
            <w:vAlign w:val="bottom"/>
          </w:tcPr>
          <w:p w:rsidR="000728AD" w:rsidRDefault="000561BE">
            <w:pPr>
              <w:ind w:right="201"/>
              <w:jc w:val="right"/>
              <w:rPr>
                <w:sz w:val="20"/>
                <w:szCs w:val="20"/>
              </w:rPr>
            </w:pPr>
            <w:r>
              <w:rPr>
                <w:rFonts w:ascii="Arial" w:eastAsia="Arial" w:hAnsi="Arial" w:cs="Arial"/>
                <w:w w:val="89"/>
                <w:sz w:val="20"/>
                <w:szCs w:val="20"/>
              </w:rPr>
              <w:t>$</w:t>
            </w:r>
          </w:p>
        </w:tc>
        <w:tc>
          <w:tcPr>
            <w:tcW w:w="1100" w:type="dxa"/>
            <w:tcBorders>
              <w:top w:val="single" w:sz="8" w:space="0" w:color="auto"/>
              <w:bottom w:val="single" w:sz="8" w:space="0" w:color="auto"/>
            </w:tcBorders>
            <w:vAlign w:val="bottom"/>
          </w:tcPr>
          <w:p w:rsidR="000728AD" w:rsidRDefault="000561BE">
            <w:pPr>
              <w:jc w:val="right"/>
              <w:rPr>
                <w:sz w:val="20"/>
                <w:szCs w:val="20"/>
              </w:rPr>
            </w:pPr>
            <w:r>
              <w:rPr>
                <w:rFonts w:ascii="Arial" w:eastAsia="Arial" w:hAnsi="Arial" w:cs="Arial"/>
                <w:sz w:val="20"/>
                <w:szCs w:val="20"/>
              </w:rPr>
              <w:t>(28,901)</w:t>
            </w:r>
          </w:p>
        </w:tc>
        <w:tc>
          <w:tcPr>
            <w:tcW w:w="0" w:type="dxa"/>
            <w:vAlign w:val="bottom"/>
          </w:tcPr>
          <w:p w:rsidR="000728AD" w:rsidRDefault="000728AD">
            <w:pPr>
              <w:rPr>
                <w:sz w:val="1"/>
                <w:szCs w:val="1"/>
              </w:rPr>
            </w:pPr>
          </w:p>
        </w:tc>
      </w:tr>
      <w:tr w:rsidR="000728AD">
        <w:trPr>
          <w:trHeight w:val="21"/>
        </w:trPr>
        <w:tc>
          <w:tcPr>
            <w:tcW w:w="4780" w:type="dxa"/>
            <w:vAlign w:val="bottom"/>
          </w:tcPr>
          <w:p w:rsidR="000728AD" w:rsidRDefault="000728AD">
            <w:pPr>
              <w:spacing w:line="20" w:lineRule="exact"/>
              <w:rPr>
                <w:sz w:val="1"/>
                <w:szCs w:val="1"/>
              </w:rPr>
            </w:pPr>
          </w:p>
        </w:tc>
        <w:tc>
          <w:tcPr>
            <w:tcW w:w="320" w:type="dxa"/>
            <w:tcBorders>
              <w:bottom w:val="single" w:sz="8" w:space="0" w:color="auto"/>
            </w:tcBorders>
            <w:vAlign w:val="bottom"/>
          </w:tcPr>
          <w:p w:rsidR="000728AD" w:rsidRDefault="000728AD">
            <w:pPr>
              <w:spacing w:line="20" w:lineRule="exact"/>
              <w:rPr>
                <w:sz w:val="1"/>
                <w:szCs w:val="1"/>
              </w:rPr>
            </w:pPr>
          </w:p>
        </w:tc>
        <w:tc>
          <w:tcPr>
            <w:tcW w:w="1180" w:type="dxa"/>
            <w:tcBorders>
              <w:bottom w:val="single" w:sz="8" w:space="0" w:color="auto"/>
            </w:tcBorders>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400" w:type="dxa"/>
            <w:tcBorders>
              <w:bottom w:val="single" w:sz="8" w:space="0" w:color="auto"/>
            </w:tcBorders>
            <w:vAlign w:val="bottom"/>
          </w:tcPr>
          <w:p w:rsidR="000728AD" w:rsidRDefault="000728AD">
            <w:pPr>
              <w:spacing w:line="20" w:lineRule="exact"/>
              <w:rPr>
                <w:sz w:val="1"/>
                <w:szCs w:val="1"/>
              </w:rPr>
            </w:pPr>
          </w:p>
        </w:tc>
        <w:tc>
          <w:tcPr>
            <w:tcW w:w="1100" w:type="dxa"/>
            <w:tcBorders>
              <w:bottom w:val="single" w:sz="8" w:space="0" w:color="auto"/>
            </w:tcBorders>
            <w:vAlign w:val="bottom"/>
          </w:tcPr>
          <w:p w:rsidR="000728AD" w:rsidRDefault="000728AD">
            <w:pPr>
              <w:spacing w:line="20" w:lineRule="exact"/>
              <w:rPr>
                <w:sz w:val="1"/>
                <w:szCs w:val="1"/>
              </w:rPr>
            </w:pPr>
          </w:p>
        </w:tc>
        <w:tc>
          <w:tcPr>
            <w:tcW w:w="120" w:type="dxa"/>
            <w:vAlign w:val="bottom"/>
          </w:tcPr>
          <w:p w:rsidR="000728AD" w:rsidRDefault="000728AD">
            <w:pPr>
              <w:spacing w:line="20" w:lineRule="exact"/>
              <w:rPr>
                <w:sz w:val="1"/>
                <w:szCs w:val="1"/>
              </w:rPr>
            </w:pPr>
          </w:p>
        </w:tc>
        <w:tc>
          <w:tcPr>
            <w:tcW w:w="320" w:type="dxa"/>
            <w:tcBorders>
              <w:bottom w:val="single" w:sz="8" w:space="0" w:color="auto"/>
            </w:tcBorders>
            <w:vAlign w:val="bottom"/>
          </w:tcPr>
          <w:p w:rsidR="000728AD" w:rsidRDefault="000728AD">
            <w:pPr>
              <w:spacing w:line="20" w:lineRule="exact"/>
              <w:rPr>
                <w:sz w:val="1"/>
                <w:szCs w:val="1"/>
              </w:rPr>
            </w:pPr>
          </w:p>
        </w:tc>
        <w:tc>
          <w:tcPr>
            <w:tcW w:w="1180" w:type="dxa"/>
            <w:tcBorders>
              <w:bottom w:val="single" w:sz="8" w:space="0" w:color="auto"/>
            </w:tcBorders>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420" w:type="dxa"/>
            <w:tcBorders>
              <w:bottom w:val="single" w:sz="8" w:space="0" w:color="auto"/>
            </w:tcBorders>
            <w:vAlign w:val="bottom"/>
          </w:tcPr>
          <w:p w:rsidR="000728AD" w:rsidRDefault="000728AD">
            <w:pPr>
              <w:spacing w:line="20" w:lineRule="exact"/>
              <w:rPr>
                <w:sz w:val="1"/>
                <w:szCs w:val="1"/>
              </w:rPr>
            </w:pPr>
          </w:p>
        </w:tc>
        <w:tc>
          <w:tcPr>
            <w:tcW w:w="1100" w:type="dxa"/>
            <w:tcBorders>
              <w:bottom w:val="single" w:sz="8" w:space="0" w:color="auto"/>
            </w:tcBorders>
            <w:vAlign w:val="bottom"/>
          </w:tcPr>
          <w:p w:rsidR="000728AD" w:rsidRDefault="000728AD">
            <w:pPr>
              <w:spacing w:line="20" w:lineRule="exact"/>
              <w:rPr>
                <w:sz w:val="1"/>
                <w:szCs w:val="1"/>
              </w:rPr>
            </w:pPr>
          </w:p>
        </w:tc>
        <w:tc>
          <w:tcPr>
            <w:tcW w:w="0" w:type="dxa"/>
            <w:vAlign w:val="bottom"/>
          </w:tcPr>
          <w:p w:rsidR="000728AD" w:rsidRDefault="000728AD">
            <w:pPr>
              <w:rPr>
                <w:sz w:val="1"/>
                <w:szCs w:val="1"/>
              </w:rPr>
            </w:pPr>
          </w:p>
        </w:tc>
      </w:tr>
    </w:tbl>
    <w:p w:rsidR="000728AD" w:rsidRDefault="000728AD">
      <w:pPr>
        <w:spacing w:line="294" w:lineRule="exact"/>
        <w:rPr>
          <w:sz w:val="20"/>
          <w:szCs w:val="20"/>
        </w:rPr>
      </w:pPr>
    </w:p>
    <w:p w:rsidR="000728AD" w:rsidRDefault="000561BE">
      <w:pPr>
        <w:ind w:right="-59"/>
        <w:jc w:val="center"/>
        <w:rPr>
          <w:sz w:val="20"/>
          <w:szCs w:val="20"/>
        </w:rPr>
      </w:pPr>
      <w:r>
        <w:rPr>
          <w:rFonts w:ascii="Arial" w:eastAsia="Arial" w:hAnsi="Arial" w:cs="Arial"/>
          <w:sz w:val="20"/>
          <w:szCs w:val="20"/>
        </w:rPr>
        <w:t xml:space="preserve">The accompanying notes are an integral part of these unaudited condensed </w:t>
      </w:r>
      <w:r>
        <w:rPr>
          <w:rFonts w:ascii="Arial" w:eastAsia="Arial" w:hAnsi="Arial" w:cs="Arial"/>
          <w:sz w:val="20"/>
          <w:szCs w:val="20"/>
        </w:rPr>
        <w:t>consolidated financial statements.</w:t>
      </w:r>
    </w:p>
    <w:p w:rsidR="000728AD" w:rsidRDefault="000728AD">
      <w:pPr>
        <w:spacing w:line="200" w:lineRule="exact"/>
        <w:rPr>
          <w:sz w:val="20"/>
          <w:szCs w:val="20"/>
        </w:rPr>
      </w:pPr>
    </w:p>
    <w:p w:rsidR="000728AD" w:rsidRDefault="000728AD">
      <w:pPr>
        <w:spacing w:line="396" w:lineRule="exact"/>
        <w:rPr>
          <w:sz w:val="20"/>
          <w:szCs w:val="20"/>
        </w:rPr>
      </w:pPr>
    </w:p>
    <w:p w:rsidR="000728AD" w:rsidRDefault="000561BE">
      <w:pPr>
        <w:ind w:right="-59"/>
        <w:jc w:val="center"/>
        <w:rPr>
          <w:sz w:val="20"/>
          <w:szCs w:val="20"/>
        </w:rPr>
      </w:pPr>
      <w:r>
        <w:rPr>
          <w:rFonts w:ascii="Arial" w:eastAsia="Arial" w:hAnsi="Arial" w:cs="Arial"/>
          <w:sz w:val="18"/>
          <w:szCs w:val="18"/>
        </w:rPr>
        <w:t>6</w:t>
      </w:r>
    </w:p>
    <w:p w:rsidR="000728AD" w:rsidRDefault="000561BE">
      <w:pPr>
        <w:spacing w:line="20" w:lineRule="exact"/>
        <w:rPr>
          <w:sz w:val="20"/>
          <w:szCs w:val="20"/>
        </w:rPr>
      </w:pPr>
      <w:r>
        <w:rPr>
          <w:noProof/>
          <w:sz w:val="20"/>
          <w:szCs w:val="20"/>
        </w:rPr>
        <w:drawing>
          <wp:anchor distT="0" distB="0" distL="114300" distR="114300" simplePos="0" relativeHeight="251608064"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99" w:bottom="1440" w:left="320" w:header="0" w:footer="0" w:gutter="0"/>
          <w:cols w:space="720" w:equalWidth="0">
            <w:col w:w="11180"/>
          </w:cols>
        </w:sectPr>
      </w:pPr>
    </w:p>
    <w:bookmarkStart w:id="7" w:name="page7"/>
    <w:bookmarkEnd w:id="7"/>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395" w:lineRule="exact"/>
        <w:rPr>
          <w:sz w:val="20"/>
          <w:szCs w:val="20"/>
        </w:rPr>
      </w:pPr>
    </w:p>
    <w:p w:rsidR="000728AD" w:rsidRDefault="000561BE">
      <w:pPr>
        <w:jc w:val="center"/>
        <w:rPr>
          <w:sz w:val="20"/>
          <w:szCs w:val="20"/>
        </w:rPr>
      </w:pPr>
      <w:r>
        <w:rPr>
          <w:rFonts w:ascii="Arial" w:eastAsia="Arial" w:hAnsi="Arial" w:cs="Arial"/>
          <w:b/>
          <w:bCs/>
          <w:sz w:val="20"/>
          <w:szCs w:val="20"/>
        </w:rPr>
        <w:t>AXCELLA HEALTH INC.</w:t>
      </w:r>
    </w:p>
    <w:p w:rsidR="000728AD" w:rsidRDefault="000728AD">
      <w:pPr>
        <w:spacing w:line="21" w:lineRule="exact"/>
        <w:rPr>
          <w:sz w:val="20"/>
          <w:szCs w:val="20"/>
        </w:rPr>
      </w:pPr>
    </w:p>
    <w:p w:rsidR="000728AD" w:rsidRDefault="000561BE">
      <w:pPr>
        <w:jc w:val="center"/>
        <w:rPr>
          <w:sz w:val="20"/>
          <w:szCs w:val="20"/>
        </w:rPr>
      </w:pPr>
      <w:r>
        <w:rPr>
          <w:rFonts w:ascii="Arial" w:eastAsia="Arial" w:hAnsi="Arial" w:cs="Arial"/>
          <w:b/>
          <w:bCs/>
          <w:sz w:val="20"/>
          <w:szCs w:val="20"/>
        </w:rPr>
        <w:t>Condensed Consolidated Statements of Cash Flows (Unaudited)</w:t>
      </w:r>
    </w:p>
    <w:p w:rsidR="000728AD" w:rsidRDefault="000561BE">
      <w:pPr>
        <w:jc w:val="center"/>
        <w:rPr>
          <w:sz w:val="20"/>
          <w:szCs w:val="20"/>
        </w:rPr>
      </w:pPr>
      <w:r>
        <w:rPr>
          <w:rFonts w:ascii="Arial" w:eastAsia="Arial" w:hAnsi="Arial" w:cs="Arial"/>
          <w:b/>
          <w:bCs/>
          <w:sz w:val="20"/>
          <w:szCs w:val="20"/>
        </w:rPr>
        <w:t>(in thousands)</w:t>
      </w:r>
    </w:p>
    <w:p w:rsidR="000728AD" w:rsidRDefault="000728AD">
      <w:pPr>
        <w:spacing w:line="11" w:lineRule="exact"/>
        <w:rPr>
          <w:sz w:val="20"/>
          <w:szCs w:val="20"/>
        </w:rPr>
      </w:pPr>
    </w:p>
    <w:p w:rsidR="000728AD" w:rsidRDefault="000561BE">
      <w:pPr>
        <w:ind w:left="8060"/>
        <w:jc w:val="center"/>
        <w:rPr>
          <w:sz w:val="20"/>
          <w:szCs w:val="20"/>
        </w:rPr>
      </w:pPr>
      <w:r>
        <w:rPr>
          <w:rFonts w:ascii="Arial" w:eastAsia="Arial" w:hAnsi="Arial" w:cs="Arial"/>
          <w:b/>
          <w:bCs/>
          <w:sz w:val="18"/>
          <w:szCs w:val="18"/>
        </w:rPr>
        <w:t>Six Months Ended</w:t>
      </w:r>
    </w:p>
    <w:p w:rsidR="000728AD" w:rsidRDefault="000561BE">
      <w:pPr>
        <w:ind w:left="8060"/>
        <w:jc w:val="center"/>
        <w:rPr>
          <w:sz w:val="20"/>
          <w:szCs w:val="20"/>
        </w:rPr>
      </w:pPr>
      <w:r>
        <w:rPr>
          <w:rFonts w:ascii="Arial" w:eastAsia="Arial" w:hAnsi="Arial" w:cs="Arial"/>
          <w:b/>
          <w:bCs/>
          <w:sz w:val="18"/>
          <w:szCs w:val="18"/>
        </w:rPr>
        <w:t>June 30,</w:t>
      </w:r>
    </w:p>
    <w:p w:rsidR="000728AD" w:rsidRDefault="000728AD">
      <w:pPr>
        <w:spacing w:line="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80"/>
        <w:gridCol w:w="360"/>
        <w:gridCol w:w="1160"/>
        <w:gridCol w:w="120"/>
        <w:gridCol w:w="340"/>
        <w:gridCol w:w="1180"/>
      </w:tblGrid>
      <w:tr w:rsidR="000728AD">
        <w:trPr>
          <w:trHeight w:val="223"/>
        </w:trPr>
        <w:tc>
          <w:tcPr>
            <w:tcW w:w="8080" w:type="dxa"/>
            <w:tcBorders>
              <w:bottom w:val="single" w:sz="8" w:space="0" w:color="CCEEFF"/>
            </w:tcBorders>
            <w:vAlign w:val="bottom"/>
          </w:tcPr>
          <w:p w:rsidR="000728AD" w:rsidRDefault="000728AD">
            <w:pPr>
              <w:rPr>
                <w:sz w:val="19"/>
                <w:szCs w:val="19"/>
              </w:rPr>
            </w:pPr>
          </w:p>
        </w:tc>
        <w:tc>
          <w:tcPr>
            <w:tcW w:w="360" w:type="dxa"/>
            <w:tcBorders>
              <w:top w:val="single" w:sz="8" w:space="0" w:color="auto"/>
              <w:bottom w:val="single" w:sz="8" w:space="0" w:color="auto"/>
            </w:tcBorders>
            <w:vAlign w:val="bottom"/>
          </w:tcPr>
          <w:p w:rsidR="000728AD" w:rsidRDefault="000728AD">
            <w:pPr>
              <w:rPr>
                <w:sz w:val="19"/>
                <w:szCs w:val="19"/>
              </w:rPr>
            </w:pPr>
          </w:p>
        </w:tc>
        <w:tc>
          <w:tcPr>
            <w:tcW w:w="1160" w:type="dxa"/>
            <w:tcBorders>
              <w:top w:val="single" w:sz="8" w:space="0" w:color="auto"/>
              <w:bottom w:val="single" w:sz="8" w:space="0" w:color="auto"/>
            </w:tcBorders>
            <w:vAlign w:val="bottom"/>
          </w:tcPr>
          <w:p w:rsidR="000728AD" w:rsidRDefault="000561BE">
            <w:pPr>
              <w:ind w:right="481"/>
              <w:jc w:val="right"/>
              <w:rPr>
                <w:sz w:val="20"/>
                <w:szCs w:val="20"/>
              </w:rPr>
            </w:pPr>
            <w:r>
              <w:rPr>
                <w:rFonts w:ascii="Arial" w:eastAsia="Arial" w:hAnsi="Arial" w:cs="Arial"/>
                <w:b/>
                <w:bCs/>
                <w:sz w:val="18"/>
                <w:szCs w:val="18"/>
              </w:rPr>
              <w:t>2021</w:t>
            </w:r>
          </w:p>
        </w:tc>
        <w:tc>
          <w:tcPr>
            <w:tcW w:w="120" w:type="dxa"/>
            <w:tcBorders>
              <w:top w:val="single" w:sz="8" w:space="0" w:color="auto"/>
              <w:bottom w:val="single" w:sz="8" w:space="0" w:color="CCEEFF"/>
            </w:tcBorders>
            <w:vAlign w:val="bottom"/>
          </w:tcPr>
          <w:p w:rsidR="000728AD" w:rsidRDefault="000728AD">
            <w:pPr>
              <w:rPr>
                <w:sz w:val="19"/>
                <w:szCs w:val="19"/>
              </w:rPr>
            </w:pPr>
          </w:p>
        </w:tc>
        <w:tc>
          <w:tcPr>
            <w:tcW w:w="340" w:type="dxa"/>
            <w:tcBorders>
              <w:top w:val="single" w:sz="8" w:space="0" w:color="auto"/>
              <w:bottom w:val="single" w:sz="8" w:space="0" w:color="auto"/>
            </w:tcBorders>
            <w:vAlign w:val="bottom"/>
          </w:tcPr>
          <w:p w:rsidR="000728AD" w:rsidRDefault="000728AD">
            <w:pPr>
              <w:rPr>
                <w:sz w:val="19"/>
                <w:szCs w:val="19"/>
              </w:rPr>
            </w:pPr>
          </w:p>
        </w:tc>
        <w:tc>
          <w:tcPr>
            <w:tcW w:w="1180" w:type="dxa"/>
            <w:tcBorders>
              <w:top w:val="single" w:sz="8" w:space="0" w:color="auto"/>
              <w:bottom w:val="single" w:sz="8" w:space="0" w:color="auto"/>
            </w:tcBorders>
            <w:vAlign w:val="bottom"/>
          </w:tcPr>
          <w:p w:rsidR="000728AD" w:rsidRDefault="000561BE">
            <w:pPr>
              <w:ind w:right="481"/>
              <w:jc w:val="right"/>
              <w:rPr>
                <w:sz w:val="20"/>
                <w:szCs w:val="20"/>
              </w:rPr>
            </w:pPr>
            <w:r>
              <w:rPr>
                <w:rFonts w:ascii="Arial" w:eastAsia="Arial" w:hAnsi="Arial" w:cs="Arial"/>
                <w:b/>
                <w:bCs/>
                <w:sz w:val="18"/>
                <w:szCs w:val="18"/>
              </w:rPr>
              <w:t>2020</w:t>
            </w:r>
          </w:p>
        </w:tc>
      </w:tr>
      <w:tr w:rsidR="000728AD">
        <w:trPr>
          <w:trHeight w:val="223"/>
        </w:trPr>
        <w:tc>
          <w:tcPr>
            <w:tcW w:w="8080" w:type="dxa"/>
            <w:shd w:val="clear" w:color="auto" w:fill="CCEEFF"/>
            <w:vAlign w:val="bottom"/>
          </w:tcPr>
          <w:p w:rsidR="000728AD" w:rsidRDefault="000561BE">
            <w:pPr>
              <w:spacing w:line="223" w:lineRule="exact"/>
              <w:ind w:left="20"/>
              <w:rPr>
                <w:sz w:val="20"/>
                <w:szCs w:val="20"/>
              </w:rPr>
            </w:pPr>
            <w:r>
              <w:rPr>
                <w:rFonts w:ascii="Arial" w:eastAsia="Arial" w:hAnsi="Arial" w:cs="Arial"/>
                <w:b/>
                <w:bCs/>
                <w:sz w:val="20"/>
                <w:szCs w:val="20"/>
              </w:rPr>
              <w:t xml:space="preserve">Cash </w:t>
            </w:r>
            <w:r>
              <w:rPr>
                <w:rFonts w:ascii="Arial" w:eastAsia="Arial" w:hAnsi="Arial" w:cs="Arial"/>
                <w:b/>
                <w:bCs/>
                <w:sz w:val="20"/>
                <w:szCs w:val="20"/>
              </w:rPr>
              <w:t>flows from operating activities:</w:t>
            </w:r>
          </w:p>
        </w:tc>
        <w:tc>
          <w:tcPr>
            <w:tcW w:w="360" w:type="dxa"/>
            <w:shd w:val="clear" w:color="auto" w:fill="CCEEFF"/>
            <w:vAlign w:val="bottom"/>
          </w:tcPr>
          <w:p w:rsidR="000728AD" w:rsidRDefault="000728AD">
            <w:pPr>
              <w:rPr>
                <w:sz w:val="19"/>
                <w:szCs w:val="19"/>
              </w:rPr>
            </w:pPr>
          </w:p>
        </w:tc>
        <w:tc>
          <w:tcPr>
            <w:tcW w:w="1160" w:type="dxa"/>
            <w:shd w:val="clear" w:color="auto" w:fill="CCEEFF"/>
            <w:vAlign w:val="bottom"/>
          </w:tcPr>
          <w:p w:rsidR="000728AD" w:rsidRDefault="000728AD">
            <w:pPr>
              <w:rPr>
                <w:sz w:val="19"/>
                <w:szCs w:val="19"/>
              </w:rPr>
            </w:pPr>
          </w:p>
        </w:tc>
        <w:tc>
          <w:tcPr>
            <w:tcW w:w="120" w:type="dxa"/>
            <w:shd w:val="clear" w:color="auto" w:fill="CCEEFF"/>
            <w:vAlign w:val="bottom"/>
          </w:tcPr>
          <w:p w:rsidR="000728AD" w:rsidRDefault="000728AD">
            <w:pPr>
              <w:rPr>
                <w:sz w:val="19"/>
                <w:szCs w:val="19"/>
              </w:rPr>
            </w:pPr>
          </w:p>
        </w:tc>
        <w:tc>
          <w:tcPr>
            <w:tcW w:w="340" w:type="dxa"/>
            <w:shd w:val="clear" w:color="auto" w:fill="CCEEFF"/>
            <w:vAlign w:val="bottom"/>
          </w:tcPr>
          <w:p w:rsidR="000728AD" w:rsidRDefault="000728AD">
            <w:pPr>
              <w:rPr>
                <w:sz w:val="19"/>
                <w:szCs w:val="19"/>
              </w:rPr>
            </w:pPr>
          </w:p>
        </w:tc>
        <w:tc>
          <w:tcPr>
            <w:tcW w:w="1180" w:type="dxa"/>
            <w:shd w:val="clear" w:color="auto" w:fill="CCEEFF"/>
            <w:vAlign w:val="bottom"/>
          </w:tcPr>
          <w:p w:rsidR="000728AD" w:rsidRDefault="000728AD">
            <w:pPr>
              <w:rPr>
                <w:sz w:val="19"/>
                <w:szCs w:val="19"/>
              </w:rPr>
            </w:pPr>
          </w:p>
        </w:tc>
      </w:tr>
      <w:tr w:rsidR="000728AD">
        <w:trPr>
          <w:trHeight w:val="243"/>
        </w:trPr>
        <w:tc>
          <w:tcPr>
            <w:tcW w:w="8080" w:type="dxa"/>
            <w:vAlign w:val="bottom"/>
          </w:tcPr>
          <w:p w:rsidR="000728AD" w:rsidRDefault="000561BE">
            <w:pPr>
              <w:ind w:left="20"/>
              <w:rPr>
                <w:sz w:val="20"/>
                <w:szCs w:val="20"/>
              </w:rPr>
            </w:pPr>
            <w:r>
              <w:rPr>
                <w:rFonts w:ascii="Arial" w:eastAsia="Arial" w:hAnsi="Arial" w:cs="Arial"/>
                <w:sz w:val="20"/>
                <w:szCs w:val="20"/>
              </w:rPr>
              <w:t>Net loss</w:t>
            </w:r>
          </w:p>
        </w:tc>
        <w:tc>
          <w:tcPr>
            <w:tcW w:w="360" w:type="dxa"/>
            <w:vAlign w:val="bottom"/>
          </w:tcPr>
          <w:p w:rsidR="000728AD" w:rsidRDefault="000561BE">
            <w:pPr>
              <w:ind w:right="141"/>
              <w:jc w:val="right"/>
              <w:rPr>
                <w:sz w:val="20"/>
                <w:szCs w:val="20"/>
              </w:rPr>
            </w:pPr>
            <w:r>
              <w:rPr>
                <w:rFonts w:ascii="Arial" w:eastAsia="Arial" w:hAnsi="Arial" w:cs="Arial"/>
                <w:w w:val="89"/>
                <w:sz w:val="20"/>
                <w:szCs w:val="20"/>
              </w:rPr>
              <w:t>$</w:t>
            </w:r>
          </w:p>
        </w:tc>
        <w:tc>
          <w:tcPr>
            <w:tcW w:w="1160" w:type="dxa"/>
            <w:vAlign w:val="bottom"/>
          </w:tcPr>
          <w:p w:rsidR="000728AD" w:rsidRDefault="000561BE">
            <w:pPr>
              <w:jc w:val="right"/>
              <w:rPr>
                <w:sz w:val="20"/>
                <w:szCs w:val="20"/>
              </w:rPr>
            </w:pPr>
            <w:r>
              <w:rPr>
                <w:rFonts w:ascii="Arial" w:eastAsia="Arial" w:hAnsi="Arial" w:cs="Arial"/>
                <w:sz w:val="20"/>
                <w:szCs w:val="20"/>
              </w:rPr>
              <w:t>(31,124)</w:t>
            </w:r>
          </w:p>
        </w:tc>
        <w:tc>
          <w:tcPr>
            <w:tcW w:w="120" w:type="dxa"/>
            <w:vAlign w:val="bottom"/>
          </w:tcPr>
          <w:p w:rsidR="000728AD" w:rsidRDefault="000728AD">
            <w:pPr>
              <w:rPr>
                <w:sz w:val="21"/>
                <w:szCs w:val="21"/>
              </w:rPr>
            </w:pPr>
          </w:p>
        </w:tc>
        <w:tc>
          <w:tcPr>
            <w:tcW w:w="340" w:type="dxa"/>
            <w:vAlign w:val="bottom"/>
          </w:tcPr>
          <w:p w:rsidR="000728AD" w:rsidRDefault="000561BE">
            <w:pPr>
              <w:ind w:right="121"/>
              <w:jc w:val="right"/>
              <w:rPr>
                <w:sz w:val="20"/>
                <w:szCs w:val="20"/>
              </w:rPr>
            </w:pPr>
            <w:r>
              <w:rPr>
                <w:rFonts w:ascii="Arial" w:eastAsia="Arial" w:hAnsi="Arial" w:cs="Arial"/>
                <w:w w:val="89"/>
                <w:sz w:val="20"/>
                <w:szCs w:val="20"/>
              </w:rPr>
              <w:t>$</w:t>
            </w:r>
          </w:p>
        </w:tc>
        <w:tc>
          <w:tcPr>
            <w:tcW w:w="1180" w:type="dxa"/>
            <w:vAlign w:val="bottom"/>
          </w:tcPr>
          <w:p w:rsidR="000728AD" w:rsidRDefault="000561BE">
            <w:pPr>
              <w:jc w:val="right"/>
              <w:rPr>
                <w:sz w:val="20"/>
                <w:szCs w:val="20"/>
              </w:rPr>
            </w:pPr>
            <w:r>
              <w:rPr>
                <w:rFonts w:ascii="Arial" w:eastAsia="Arial" w:hAnsi="Arial" w:cs="Arial"/>
                <w:sz w:val="20"/>
                <w:szCs w:val="20"/>
              </w:rPr>
              <w:t>(28,901)</w:t>
            </w:r>
          </w:p>
        </w:tc>
      </w:tr>
      <w:tr w:rsidR="000728AD">
        <w:trPr>
          <w:trHeight w:val="243"/>
        </w:trPr>
        <w:tc>
          <w:tcPr>
            <w:tcW w:w="8080" w:type="dxa"/>
            <w:shd w:val="clear" w:color="auto" w:fill="CCEEFF"/>
            <w:vAlign w:val="bottom"/>
          </w:tcPr>
          <w:p w:rsidR="000728AD" w:rsidRDefault="000561BE">
            <w:pPr>
              <w:ind w:left="20"/>
              <w:rPr>
                <w:sz w:val="20"/>
                <w:szCs w:val="20"/>
              </w:rPr>
            </w:pPr>
            <w:r>
              <w:rPr>
                <w:rFonts w:ascii="Arial" w:eastAsia="Arial" w:hAnsi="Arial" w:cs="Arial"/>
                <w:sz w:val="20"/>
                <w:szCs w:val="20"/>
              </w:rPr>
              <w:t>Adjustment to reconcile net loss to net cash used in operating activities:</w:t>
            </w:r>
          </w:p>
        </w:tc>
        <w:tc>
          <w:tcPr>
            <w:tcW w:w="360" w:type="dxa"/>
            <w:shd w:val="clear" w:color="auto" w:fill="CCEEFF"/>
            <w:vAlign w:val="bottom"/>
          </w:tcPr>
          <w:p w:rsidR="000728AD" w:rsidRDefault="000728AD">
            <w:pPr>
              <w:rPr>
                <w:sz w:val="21"/>
                <w:szCs w:val="21"/>
              </w:rPr>
            </w:pPr>
          </w:p>
        </w:tc>
        <w:tc>
          <w:tcPr>
            <w:tcW w:w="1160" w:type="dxa"/>
            <w:shd w:val="clear" w:color="auto" w:fill="CCEEFF"/>
            <w:vAlign w:val="bottom"/>
          </w:tcPr>
          <w:p w:rsidR="000728AD" w:rsidRDefault="000728AD">
            <w:pPr>
              <w:rPr>
                <w:sz w:val="21"/>
                <w:szCs w:val="21"/>
              </w:rPr>
            </w:pPr>
          </w:p>
        </w:tc>
        <w:tc>
          <w:tcPr>
            <w:tcW w:w="120" w:type="dxa"/>
            <w:shd w:val="clear" w:color="auto" w:fill="CCEEFF"/>
            <w:vAlign w:val="bottom"/>
          </w:tcPr>
          <w:p w:rsidR="000728AD" w:rsidRDefault="000728AD">
            <w:pPr>
              <w:rPr>
                <w:sz w:val="21"/>
                <w:szCs w:val="21"/>
              </w:rPr>
            </w:pPr>
          </w:p>
        </w:tc>
        <w:tc>
          <w:tcPr>
            <w:tcW w:w="340" w:type="dxa"/>
            <w:shd w:val="clear" w:color="auto" w:fill="CCEEFF"/>
            <w:vAlign w:val="bottom"/>
          </w:tcPr>
          <w:p w:rsidR="000728AD" w:rsidRDefault="000728AD">
            <w:pPr>
              <w:rPr>
                <w:sz w:val="21"/>
                <w:szCs w:val="21"/>
              </w:rPr>
            </w:pPr>
          </w:p>
        </w:tc>
        <w:tc>
          <w:tcPr>
            <w:tcW w:w="1180" w:type="dxa"/>
            <w:shd w:val="clear" w:color="auto" w:fill="CCEEFF"/>
            <w:vAlign w:val="bottom"/>
          </w:tcPr>
          <w:p w:rsidR="000728AD" w:rsidRDefault="000728AD">
            <w:pPr>
              <w:rPr>
                <w:sz w:val="21"/>
                <w:szCs w:val="21"/>
              </w:rPr>
            </w:pPr>
          </w:p>
        </w:tc>
      </w:tr>
      <w:tr w:rsidR="000728AD">
        <w:trPr>
          <w:trHeight w:val="243"/>
        </w:trPr>
        <w:tc>
          <w:tcPr>
            <w:tcW w:w="8080" w:type="dxa"/>
            <w:vAlign w:val="bottom"/>
          </w:tcPr>
          <w:p w:rsidR="000728AD" w:rsidRDefault="000561BE">
            <w:pPr>
              <w:ind w:left="220"/>
              <w:rPr>
                <w:sz w:val="20"/>
                <w:szCs w:val="20"/>
              </w:rPr>
            </w:pPr>
            <w:r>
              <w:rPr>
                <w:rFonts w:ascii="Arial" w:eastAsia="Arial" w:hAnsi="Arial" w:cs="Arial"/>
                <w:sz w:val="20"/>
                <w:szCs w:val="20"/>
              </w:rPr>
              <w:t>Depreciation and amortization</w:t>
            </w:r>
          </w:p>
        </w:tc>
        <w:tc>
          <w:tcPr>
            <w:tcW w:w="360" w:type="dxa"/>
            <w:vAlign w:val="bottom"/>
          </w:tcPr>
          <w:p w:rsidR="000728AD" w:rsidRDefault="000728AD">
            <w:pPr>
              <w:rPr>
                <w:sz w:val="21"/>
                <w:szCs w:val="21"/>
              </w:rPr>
            </w:pPr>
          </w:p>
        </w:tc>
        <w:tc>
          <w:tcPr>
            <w:tcW w:w="1160" w:type="dxa"/>
            <w:vAlign w:val="bottom"/>
          </w:tcPr>
          <w:p w:rsidR="000728AD" w:rsidRDefault="000561BE">
            <w:pPr>
              <w:jc w:val="right"/>
              <w:rPr>
                <w:sz w:val="20"/>
                <w:szCs w:val="20"/>
              </w:rPr>
            </w:pPr>
            <w:r>
              <w:rPr>
                <w:rFonts w:ascii="Arial" w:eastAsia="Arial" w:hAnsi="Arial" w:cs="Arial"/>
                <w:sz w:val="20"/>
                <w:szCs w:val="20"/>
              </w:rPr>
              <w:t>132</w:t>
            </w:r>
          </w:p>
        </w:tc>
        <w:tc>
          <w:tcPr>
            <w:tcW w:w="120" w:type="dxa"/>
            <w:vAlign w:val="bottom"/>
          </w:tcPr>
          <w:p w:rsidR="000728AD" w:rsidRDefault="000728AD">
            <w:pPr>
              <w:rPr>
                <w:sz w:val="21"/>
                <w:szCs w:val="21"/>
              </w:rPr>
            </w:pPr>
          </w:p>
        </w:tc>
        <w:tc>
          <w:tcPr>
            <w:tcW w:w="340" w:type="dxa"/>
            <w:vAlign w:val="bottom"/>
          </w:tcPr>
          <w:p w:rsidR="000728AD" w:rsidRDefault="000728AD">
            <w:pPr>
              <w:rPr>
                <w:sz w:val="21"/>
                <w:szCs w:val="21"/>
              </w:rPr>
            </w:pPr>
          </w:p>
        </w:tc>
        <w:tc>
          <w:tcPr>
            <w:tcW w:w="1180" w:type="dxa"/>
            <w:vAlign w:val="bottom"/>
          </w:tcPr>
          <w:p w:rsidR="000728AD" w:rsidRDefault="000561BE">
            <w:pPr>
              <w:jc w:val="right"/>
              <w:rPr>
                <w:sz w:val="20"/>
                <w:szCs w:val="20"/>
              </w:rPr>
            </w:pPr>
            <w:r>
              <w:rPr>
                <w:rFonts w:ascii="Arial" w:eastAsia="Arial" w:hAnsi="Arial" w:cs="Arial"/>
                <w:sz w:val="20"/>
                <w:szCs w:val="20"/>
              </w:rPr>
              <w:t>251</w:t>
            </w:r>
          </w:p>
        </w:tc>
      </w:tr>
      <w:tr w:rsidR="000728AD">
        <w:trPr>
          <w:trHeight w:val="243"/>
        </w:trPr>
        <w:tc>
          <w:tcPr>
            <w:tcW w:w="8080" w:type="dxa"/>
            <w:shd w:val="clear" w:color="auto" w:fill="CCEEFF"/>
            <w:vAlign w:val="bottom"/>
          </w:tcPr>
          <w:p w:rsidR="000728AD" w:rsidRDefault="000561BE">
            <w:pPr>
              <w:ind w:left="220"/>
              <w:rPr>
                <w:sz w:val="20"/>
                <w:szCs w:val="20"/>
              </w:rPr>
            </w:pPr>
            <w:r>
              <w:rPr>
                <w:rFonts w:ascii="Arial" w:eastAsia="Arial" w:hAnsi="Arial" w:cs="Arial"/>
                <w:sz w:val="20"/>
                <w:szCs w:val="20"/>
              </w:rPr>
              <w:t>Stock-based compensation</w:t>
            </w:r>
          </w:p>
        </w:tc>
        <w:tc>
          <w:tcPr>
            <w:tcW w:w="360" w:type="dxa"/>
            <w:shd w:val="clear" w:color="auto" w:fill="CCEEFF"/>
            <w:vAlign w:val="bottom"/>
          </w:tcPr>
          <w:p w:rsidR="000728AD" w:rsidRDefault="000728AD">
            <w:pPr>
              <w:rPr>
                <w:sz w:val="21"/>
                <w:szCs w:val="21"/>
              </w:rPr>
            </w:pPr>
          </w:p>
        </w:tc>
        <w:tc>
          <w:tcPr>
            <w:tcW w:w="1160" w:type="dxa"/>
            <w:shd w:val="clear" w:color="auto" w:fill="CCEEFF"/>
            <w:vAlign w:val="bottom"/>
          </w:tcPr>
          <w:p w:rsidR="000728AD" w:rsidRDefault="000561BE">
            <w:pPr>
              <w:jc w:val="right"/>
              <w:rPr>
                <w:sz w:val="20"/>
                <w:szCs w:val="20"/>
              </w:rPr>
            </w:pPr>
            <w:r>
              <w:rPr>
                <w:rFonts w:ascii="Arial" w:eastAsia="Arial" w:hAnsi="Arial" w:cs="Arial"/>
                <w:sz w:val="20"/>
                <w:szCs w:val="20"/>
              </w:rPr>
              <w:t>3,105</w:t>
            </w:r>
          </w:p>
        </w:tc>
        <w:tc>
          <w:tcPr>
            <w:tcW w:w="120" w:type="dxa"/>
            <w:shd w:val="clear" w:color="auto" w:fill="CCEEFF"/>
            <w:vAlign w:val="bottom"/>
          </w:tcPr>
          <w:p w:rsidR="000728AD" w:rsidRDefault="000728AD">
            <w:pPr>
              <w:rPr>
                <w:sz w:val="21"/>
                <w:szCs w:val="21"/>
              </w:rPr>
            </w:pPr>
          </w:p>
        </w:tc>
        <w:tc>
          <w:tcPr>
            <w:tcW w:w="340" w:type="dxa"/>
            <w:shd w:val="clear" w:color="auto" w:fill="CCEEFF"/>
            <w:vAlign w:val="bottom"/>
          </w:tcPr>
          <w:p w:rsidR="000728AD" w:rsidRDefault="000728AD">
            <w:pPr>
              <w:rPr>
                <w:sz w:val="21"/>
                <w:szCs w:val="21"/>
              </w:rPr>
            </w:pPr>
          </w:p>
        </w:tc>
        <w:tc>
          <w:tcPr>
            <w:tcW w:w="1180" w:type="dxa"/>
            <w:shd w:val="clear" w:color="auto" w:fill="CCEEFF"/>
            <w:vAlign w:val="bottom"/>
          </w:tcPr>
          <w:p w:rsidR="000728AD" w:rsidRDefault="000561BE">
            <w:pPr>
              <w:jc w:val="right"/>
              <w:rPr>
                <w:sz w:val="20"/>
                <w:szCs w:val="20"/>
              </w:rPr>
            </w:pPr>
            <w:r>
              <w:rPr>
                <w:rFonts w:ascii="Arial" w:eastAsia="Arial" w:hAnsi="Arial" w:cs="Arial"/>
                <w:sz w:val="20"/>
                <w:szCs w:val="20"/>
              </w:rPr>
              <w:t>3,555</w:t>
            </w:r>
          </w:p>
        </w:tc>
      </w:tr>
      <w:tr w:rsidR="000728AD">
        <w:trPr>
          <w:trHeight w:val="243"/>
        </w:trPr>
        <w:tc>
          <w:tcPr>
            <w:tcW w:w="8080" w:type="dxa"/>
            <w:vAlign w:val="bottom"/>
          </w:tcPr>
          <w:p w:rsidR="000728AD" w:rsidRDefault="000561BE">
            <w:pPr>
              <w:ind w:left="220"/>
              <w:rPr>
                <w:sz w:val="20"/>
                <w:szCs w:val="20"/>
              </w:rPr>
            </w:pPr>
            <w:r>
              <w:rPr>
                <w:rFonts w:ascii="Arial" w:eastAsia="Arial" w:hAnsi="Arial" w:cs="Arial"/>
                <w:sz w:val="20"/>
                <w:szCs w:val="20"/>
              </w:rPr>
              <w:t xml:space="preserve">Non-cash </w:t>
            </w:r>
            <w:r>
              <w:rPr>
                <w:rFonts w:ascii="Arial" w:eastAsia="Arial" w:hAnsi="Arial" w:cs="Arial"/>
                <w:sz w:val="20"/>
                <w:szCs w:val="20"/>
              </w:rPr>
              <w:t>interest expense</w:t>
            </w:r>
          </w:p>
        </w:tc>
        <w:tc>
          <w:tcPr>
            <w:tcW w:w="360" w:type="dxa"/>
            <w:vAlign w:val="bottom"/>
          </w:tcPr>
          <w:p w:rsidR="000728AD" w:rsidRDefault="000728AD">
            <w:pPr>
              <w:rPr>
                <w:sz w:val="21"/>
                <w:szCs w:val="21"/>
              </w:rPr>
            </w:pPr>
          </w:p>
        </w:tc>
        <w:tc>
          <w:tcPr>
            <w:tcW w:w="1160" w:type="dxa"/>
            <w:vAlign w:val="bottom"/>
          </w:tcPr>
          <w:p w:rsidR="000728AD" w:rsidRDefault="000561BE">
            <w:pPr>
              <w:jc w:val="right"/>
              <w:rPr>
                <w:sz w:val="20"/>
                <w:szCs w:val="20"/>
              </w:rPr>
            </w:pPr>
            <w:r>
              <w:rPr>
                <w:rFonts w:ascii="Arial" w:eastAsia="Arial" w:hAnsi="Arial" w:cs="Arial"/>
                <w:sz w:val="20"/>
                <w:szCs w:val="20"/>
              </w:rPr>
              <w:t>325</w:t>
            </w:r>
          </w:p>
        </w:tc>
        <w:tc>
          <w:tcPr>
            <w:tcW w:w="120" w:type="dxa"/>
            <w:vAlign w:val="bottom"/>
          </w:tcPr>
          <w:p w:rsidR="000728AD" w:rsidRDefault="000728AD">
            <w:pPr>
              <w:rPr>
                <w:sz w:val="21"/>
                <w:szCs w:val="21"/>
              </w:rPr>
            </w:pPr>
          </w:p>
        </w:tc>
        <w:tc>
          <w:tcPr>
            <w:tcW w:w="340" w:type="dxa"/>
            <w:vAlign w:val="bottom"/>
          </w:tcPr>
          <w:p w:rsidR="000728AD" w:rsidRDefault="000728AD">
            <w:pPr>
              <w:rPr>
                <w:sz w:val="21"/>
                <w:szCs w:val="21"/>
              </w:rPr>
            </w:pPr>
          </w:p>
        </w:tc>
        <w:tc>
          <w:tcPr>
            <w:tcW w:w="1180" w:type="dxa"/>
            <w:vAlign w:val="bottom"/>
          </w:tcPr>
          <w:p w:rsidR="000728AD" w:rsidRDefault="000561BE">
            <w:pPr>
              <w:jc w:val="right"/>
              <w:rPr>
                <w:sz w:val="20"/>
                <w:szCs w:val="20"/>
              </w:rPr>
            </w:pPr>
            <w:r>
              <w:rPr>
                <w:rFonts w:ascii="Arial" w:eastAsia="Arial" w:hAnsi="Arial" w:cs="Arial"/>
                <w:sz w:val="20"/>
                <w:szCs w:val="20"/>
              </w:rPr>
              <w:t>265</w:t>
            </w:r>
          </w:p>
        </w:tc>
      </w:tr>
      <w:tr w:rsidR="000728AD">
        <w:trPr>
          <w:trHeight w:val="243"/>
        </w:trPr>
        <w:tc>
          <w:tcPr>
            <w:tcW w:w="8080" w:type="dxa"/>
            <w:shd w:val="clear" w:color="auto" w:fill="CCEEFF"/>
            <w:vAlign w:val="bottom"/>
          </w:tcPr>
          <w:p w:rsidR="000728AD" w:rsidRDefault="000561BE">
            <w:pPr>
              <w:ind w:left="220"/>
              <w:rPr>
                <w:sz w:val="20"/>
                <w:szCs w:val="20"/>
              </w:rPr>
            </w:pPr>
            <w:r>
              <w:rPr>
                <w:rFonts w:ascii="Arial" w:eastAsia="Arial" w:hAnsi="Arial" w:cs="Arial"/>
                <w:sz w:val="20"/>
                <w:szCs w:val="20"/>
              </w:rPr>
              <w:t>Other non-cash items</w:t>
            </w:r>
          </w:p>
        </w:tc>
        <w:tc>
          <w:tcPr>
            <w:tcW w:w="360" w:type="dxa"/>
            <w:shd w:val="clear" w:color="auto" w:fill="CCEEFF"/>
            <w:vAlign w:val="bottom"/>
          </w:tcPr>
          <w:p w:rsidR="000728AD" w:rsidRDefault="000728AD">
            <w:pPr>
              <w:rPr>
                <w:sz w:val="21"/>
                <w:szCs w:val="21"/>
              </w:rPr>
            </w:pPr>
          </w:p>
        </w:tc>
        <w:tc>
          <w:tcPr>
            <w:tcW w:w="1160" w:type="dxa"/>
            <w:shd w:val="clear" w:color="auto" w:fill="CCEEFF"/>
            <w:vAlign w:val="bottom"/>
          </w:tcPr>
          <w:p w:rsidR="000728AD" w:rsidRDefault="000561BE">
            <w:pPr>
              <w:jc w:val="right"/>
              <w:rPr>
                <w:sz w:val="20"/>
                <w:szCs w:val="20"/>
              </w:rPr>
            </w:pPr>
            <w:r>
              <w:rPr>
                <w:rFonts w:ascii="Arial" w:eastAsia="Arial" w:hAnsi="Arial" w:cs="Arial"/>
                <w:sz w:val="20"/>
                <w:szCs w:val="20"/>
              </w:rPr>
              <w:t>419</w:t>
            </w:r>
          </w:p>
        </w:tc>
        <w:tc>
          <w:tcPr>
            <w:tcW w:w="120" w:type="dxa"/>
            <w:shd w:val="clear" w:color="auto" w:fill="CCEEFF"/>
            <w:vAlign w:val="bottom"/>
          </w:tcPr>
          <w:p w:rsidR="000728AD" w:rsidRDefault="000728AD">
            <w:pPr>
              <w:rPr>
                <w:sz w:val="21"/>
                <w:szCs w:val="21"/>
              </w:rPr>
            </w:pPr>
          </w:p>
        </w:tc>
        <w:tc>
          <w:tcPr>
            <w:tcW w:w="340" w:type="dxa"/>
            <w:shd w:val="clear" w:color="auto" w:fill="CCEEFF"/>
            <w:vAlign w:val="bottom"/>
          </w:tcPr>
          <w:p w:rsidR="000728AD" w:rsidRDefault="000728AD">
            <w:pPr>
              <w:rPr>
                <w:sz w:val="21"/>
                <w:szCs w:val="21"/>
              </w:rPr>
            </w:pPr>
          </w:p>
        </w:tc>
        <w:tc>
          <w:tcPr>
            <w:tcW w:w="1180" w:type="dxa"/>
            <w:shd w:val="clear" w:color="auto" w:fill="CCEEFF"/>
            <w:vAlign w:val="bottom"/>
          </w:tcPr>
          <w:p w:rsidR="000728AD" w:rsidRDefault="000561BE">
            <w:pPr>
              <w:jc w:val="right"/>
              <w:rPr>
                <w:sz w:val="20"/>
                <w:szCs w:val="20"/>
              </w:rPr>
            </w:pPr>
            <w:r>
              <w:rPr>
                <w:rFonts w:ascii="Arial" w:eastAsia="Arial" w:hAnsi="Arial" w:cs="Arial"/>
                <w:sz w:val="20"/>
                <w:szCs w:val="20"/>
              </w:rPr>
              <w:t>—</w:t>
            </w:r>
          </w:p>
        </w:tc>
      </w:tr>
      <w:tr w:rsidR="000728AD">
        <w:trPr>
          <w:trHeight w:val="243"/>
        </w:trPr>
        <w:tc>
          <w:tcPr>
            <w:tcW w:w="8080" w:type="dxa"/>
            <w:vAlign w:val="bottom"/>
          </w:tcPr>
          <w:p w:rsidR="000728AD" w:rsidRDefault="000561BE">
            <w:pPr>
              <w:ind w:left="20"/>
              <w:rPr>
                <w:sz w:val="20"/>
                <w:szCs w:val="20"/>
              </w:rPr>
            </w:pPr>
            <w:r>
              <w:rPr>
                <w:rFonts w:ascii="Arial" w:eastAsia="Arial" w:hAnsi="Arial" w:cs="Arial"/>
                <w:sz w:val="20"/>
                <w:szCs w:val="20"/>
              </w:rPr>
              <w:t>Changes in current assets and liabilities:</w:t>
            </w:r>
          </w:p>
        </w:tc>
        <w:tc>
          <w:tcPr>
            <w:tcW w:w="360" w:type="dxa"/>
            <w:vAlign w:val="bottom"/>
          </w:tcPr>
          <w:p w:rsidR="000728AD" w:rsidRDefault="000728AD">
            <w:pPr>
              <w:rPr>
                <w:sz w:val="21"/>
                <w:szCs w:val="21"/>
              </w:rPr>
            </w:pPr>
          </w:p>
        </w:tc>
        <w:tc>
          <w:tcPr>
            <w:tcW w:w="1160" w:type="dxa"/>
            <w:vAlign w:val="bottom"/>
          </w:tcPr>
          <w:p w:rsidR="000728AD" w:rsidRDefault="000728AD">
            <w:pPr>
              <w:rPr>
                <w:sz w:val="21"/>
                <w:szCs w:val="21"/>
              </w:rPr>
            </w:pPr>
          </w:p>
        </w:tc>
        <w:tc>
          <w:tcPr>
            <w:tcW w:w="120" w:type="dxa"/>
            <w:vAlign w:val="bottom"/>
          </w:tcPr>
          <w:p w:rsidR="000728AD" w:rsidRDefault="000728AD">
            <w:pPr>
              <w:rPr>
                <w:sz w:val="21"/>
                <w:szCs w:val="21"/>
              </w:rPr>
            </w:pPr>
          </w:p>
        </w:tc>
        <w:tc>
          <w:tcPr>
            <w:tcW w:w="340" w:type="dxa"/>
            <w:vAlign w:val="bottom"/>
          </w:tcPr>
          <w:p w:rsidR="000728AD" w:rsidRDefault="000728AD">
            <w:pPr>
              <w:rPr>
                <w:sz w:val="21"/>
                <w:szCs w:val="21"/>
              </w:rPr>
            </w:pPr>
          </w:p>
        </w:tc>
        <w:tc>
          <w:tcPr>
            <w:tcW w:w="1180" w:type="dxa"/>
            <w:vAlign w:val="bottom"/>
          </w:tcPr>
          <w:p w:rsidR="000728AD" w:rsidRDefault="000728AD">
            <w:pPr>
              <w:rPr>
                <w:sz w:val="21"/>
                <w:szCs w:val="21"/>
              </w:rPr>
            </w:pPr>
          </w:p>
        </w:tc>
      </w:tr>
      <w:tr w:rsidR="000728AD">
        <w:trPr>
          <w:trHeight w:val="243"/>
        </w:trPr>
        <w:tc>
          <w:tcPr>
            <w:tcW w:w="8080" w:type="dxa"/>
            <w:shd w:val="clear" w:color="auto" w:fill="CCEEFF"/>
            <w:vAlign w:val="bottom"/>
          </w:tcPr>
          <w:p w:rsidR="000728AD" w:rsidRDefault="000561BE">
            <w:pPr>
              <w:ind w:left="480"/>
              <w:rPr>
                <w:sz w:val="20"/>
                <w:szCs w:val="20"/>
              </w:rPr>
            </w:pPr>
            <w:r>
              <w:rPr>
                <w:rFonts w:ascii="Arial" w:eastAsia="Arial" w:hAnsi="Arial" w:cs="Arial"/>
                <w:sz w:val="20"/>
                <w:szCs w:val="20"/>
              </w:rPr>
              <w:t>Prepaid expenses and other current assets</w:t>
            </w:r>
          </w:p>
        </w:tc>
        <w:tc>
          <w:tcPr>
            <w:tcW w:w="360" w:type="dxa"/>
            <w:shd w:val="clear" w:color="auto" w:fill="CCEEFF"/>
            <w:vAlign w:val="bottom"/>
          </w:tcPr>
          <w:p w:rsidR="000728AD" w:rsidRDefault="000728AD">
            <w:pPr>
              <w:rPr>
                <w:sz w:val="21"/>
                <w:szCs w:val="21"/>
              </w:rPr>
            </w:pPr>
          </w:p>
        </w:tc>
        <w:tc>
          <w:tcPr>
            <w:tcW w:w="1160" w:type="dxa"/>
            <w:shd w:val="clear" w:color="auto" w:fill="CCEEFF"/>
            <w:vAlign w:val="bottom"/>
          </w:tcPr>
          <w:p w:rsidR="000728AD" w:rsidRDefault="000561BE">
            <w:pPr>
              <w:jc w:val="right"/>
              <w:rPr>
                <w:sz w:val="20"/>
                <w:szCs w:val="20"/>
              </w:rPr>
            </w:pPr>
            <w:r>
              <w:rPr>
                <w:rFonts w:ascii="Arial" w:eastAsia="Arial" w:hAnsi="Arial" w:cs="Arial"/>
                <w:sz w:val="20"/>
                <w:szCs w:val="20"/>
              </w:rPr>
              <w:t>424</w:t>
            </w:r>
          </w:p>
        </w:tc>
        <w:tc>
          <w:tcPr>
            <w:tcW w:w="120" w:type="dxa"/>
            <w:shd w:val="clear" w:color="auto" w:fill="CCEEFF"/>
            <w:vAlign w:val="bottom"/>
          </w:tcPr>
          <w:p w:rsidR="000728AD" w:rsidRDefault="000728AD">
            <w:pPr>
              <w:rPr>
                <w:sz w:val="21"/>
                <w:szCs w:val="21"/>
              </w:rPr>
            </w:pPr>
          </w:p>
        </w:tc>
        <w:tc>
          <w:tcPr>
            <w:tcW w:w="340" w:type="dxa"/>
            <w:shd w:val="clear" w:color="auto" w:fill="CCEEFF"/>
            <w:vAlign w:val="bottom"/>
          </w:tcPr>
          <w:p w:rsidR="000728AD" w:rsidRDefault="000728AD">
            <w:pPr>
              <w:rPr>
                <w:sz w:val="21"/>
                <w:szCs w:val="21"/>
              </w:rPr>
            </w:pPr>
          </w:p>
        </w:tc>
        <w:tc>
          <w:tcPr>
            <w:tcW w:w="1180" w:type="dxa"/>
            <w:shd w:val="clear" w:color="auto" w:fill="CCEEFF"/>
            <w:vAlign w:val="bottom"/>
          </w:tcPr>
          <w:p w:rsidR="000728AD" w:rsidRDefault="000561BE">
            <w:pPr>
              <w:jc w:val="right"/>
              <w:rPr>
                <w:sz w:val="20"/>
                <w:szCs w:val="20"/>
              </w:rPr>
            </w:pPr>
            <w:r>
              <w:rPr>
                <w:rFonts w:ascii="Arial" w:eastAsia="Arial" w:hAnsi="Arial" w:cs="Arial"/>
                <w:sz w:val="20"/>
                <w:szCs w:val="20"/>
              </w:rPr>
              <w:t>(1,167)</w:t>
            </w:r>
          </w:p>
        </w:tc>
      </w:tr>
      <w:tr w:rsidR="000728AD">
        <w:trPr>
          <w:trHeight w:val="243"/>
        </w:trPr>
        <w:tc>
          <w:tcPr>
            <w:tcW w:w="8080" w:type="dxa"/>
            <w:vAlign w:val="bottom"/>
          </w:tcPr>
          <w:p w:rsidR="000728AD" w:rsidRDefault="000561BE">
            <w:pPr>
              <w:ind w:left="480"/>
              <w:rPr>
                <w:sz w:val="20"/>
                <w:szCs w:val="20"/>
              </w:rPr>
            </w:pPr>
            <w:r>
              <w:rPr>
                <w:rFonts w:ascii="Arial" w:eastAsia="Arial" w:hAnsi="Arial" w:cs="Arial"/>
                <w:sz w:val="20"/>
                <w:szCs w:val="20"/>
              </w:rPr>
              <w:t>Accounts payable</w:t>
            </w:r>
          </w:p>
        </w:tc>
        <w:tc>
          <w:tcPr>
            <w:tcW w:w="360" w:type="dxa"/>
            <w:vAlign w:val="bottom"/>
          </w:tcPr>
          <w:p w:rsidR="000728AD" w:rsidRDefault="000728AD">
            <w:pPr>
              <w:rPr>
                <w:sz w:val="21"/>
                <w:szCs w:val="21"/>
              </w:rPr>
            </w:pPr>
          </w:p>
        </w:tc>
        <w:tc>
          <w:tcPr>
            <w:tcW w:w="1160" w:type="dxa"/>
            <w:vAlign w:val="bottom"/>
          </w:tcPr>
          <w:p w:rsidR="000728AD" w:rsidRDefault="000561BE">
            <w:pPr>
              <w:jc w:val="right"/>
              <w:rPr>
                <w:sz w:val="20"/>
                <w:szCs w:val="20"/>
              </w:rPr>
            </w:pPr>
            <w:r>
              <w:rPr>
                <w:rFonts w:ascii="Arial" w:eastAsia="Arial" w:hAnsi="Arial" w:cs="Arial"/>
                <w:sz w:val="20"/>
                <w:szCs w:val="20"/>
              </w:rPr>
              <w:t>36</w:t>
            </w:r>
          </w:p>
        </w:tc>
        <w:tc>
          <w:tcPr>
            <w:tcW w:w="120" w:type="dxa"/>
            <w:vAlign w:val="bottom"/>
          </w:tcPr>
          <w:p w:rsidR="000728AD" w:rsidRDefault="000728AD">
            <w:pPr>
              <w:rPr>
                <w:sz w:val="21"/>
                <w:szCs w:val="21"/>
              </w:rPr>
            </w:pPr>
          </w:p>
        </w:tc>
        <w:tc>
          <w:tcPr>
            <w:tcW w:w="340" w:type="dxa"/>
            <w:vAlign w:val="bottom"/>
          </w:tcPr>
          <w:p w:rsidR="000728AD" w:rsidRDefault="000728AD">
            <w:pPr>
              <w:rPr>
                <w:sz w:val="21"/>
                <w:szCs w:val="21"/>
              </w:rPr>
            </w:pPr>
          </w:p>
        </w:tc>
        <w:tc>
          <w:tcPr>
            <w:tcW w:w="1180" w:type="dxa"/>
            <w:vAlign w:val="bottom"/>
          </w:tcPr>
          <w:p w:rsidR="000728AD" w:rsidRDefault="000561BE">
            <w:pPr>
              <w:jc w:val="right"/>
              <w:rPr>
                <w:sz w:val="20"/>
                <w:szCs w:val="20"/>
              </w:rPr>
            </w:pPr>
            <w:r>
              <w:rPr>
                <w:rFonts w:ascii="Arial" w:eastAsia="Arial" w:hAnsi="Arial" w:cs="Arial"/>
                <w:sz w:val="20"/>
                <w:szCs w:val="20"/>
              </w:rPr>
              <w:t>(523)</w:t>
            </w:r>
          </w:p>
        </w:tc>
      </w:tr>
      <w:tr w:rsidR="000728AD">
        <w:trPr>
          <w:trHeight w:val="243"/>
        </w:trPr>
        <w:tc>
          <w:tcPr>
            <w:tcW w:w="8080" w:type="dxa"/>
            <w:shd w:val="clear" w:color="auto" w:fill="CCEEFF"/>
            <w:vAlign w:val="bottom"/>
          </w:tcPr>
          <w:p w:rsidR="000728AD" w:rsidRDefault="000561BE">
            <w:pPr>
              <w:ind w:left="480"/>
              <w:rPr>
                <w:sz w:val="20"/>
                <w:szCs w:val="20"/>
              </w:rPr>
            </w:pPr>
            <w:r>
              <w:rPr>
                <w:rFonts w:ascii="Arial" w:eastAsia="Arial" w:hAnsi="Arial" w:cs="Arial"/>
                <w:sz w:val="20"/>
                <w:szCs w:val="20"/>
              </w:rPr>
              <w:t>Accrued expenses and other current liabilities</w:t>
            </w:r>
          </w:p>
        </w:tc>
        <w:tc>
          <w:tcPr>
            <w:tcW w:w="360" w:type="dxa"/>
            <w:tcBorders>
              <w:bottom w:val="single" w:sz="8" w:space="0" w:color="auto"/>
            </w:tcBorders>
            <w:shd w:val="clear" w:color="auto" w:fill="CCEEFF"/>
            <w:vAlign w:val="bottom"/>
          </w:tcPr>
          <w:p w:rsidR="000728AD" w:rsidRDefault="000728AD">
            <w:pPr>
              <w:rPr>
                <w:sz w:val="21"/>
                <w:szCs w:val="21"/>
              </w:rPr>
            </w:pPr>
          </w:p>
        </w:tc>
        <w:tc>
          <w:tcPr>
            <w:tcW w:w="116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(1,684)</w:t>
            </w:r>
          </w:p>
        </w:tc>
        <w:tc>
          <w:tcPr>
            <w:tcW w:w="120" w:type="dxa"/>
            <w:shd w:val="clear" w:color="auto" w:fill="CCEEFF"/>
            <w:vAlign w:val="bottom"/>
          </w:tcPr>
          <w:p w:rsidR="000728AD" w:rsidRDefault="000728AD">
            <w:pPr>
              <w:rPr>
                <w:sz w:val="21"/>
                <w:szCs w:val="21"/>
              </w:rPr>
            </w:pPr>
          </w:p>
        </w:tc>
        <w:tc>
          <w:tcPr>
            <w:tcW w:w="340" w:type="dxa"/>
            <w:tcBorders>
              <w:bottom w:val="single" w:sz="8" w:space="0" w:color="auto"/>
            </w:tcBorders>
            <w:shd w:val="clear" w:color="auto" w:fill="CCEEFF"/>
            <w:vAlign w:val="bottom"/>
          </w:tcPr>
          <w:p w:rsidR="000728AD" w:rsidRDefault="000728AD">
            <w:pPr>
              <w:rPr>
                <w:sz w:val="21"/>
                <w:szCs w:val="21"/>
              </w:rPr>
            </w:pPr>
          </w:p>
        </w:tc>
        <w:tc>
          <w:tcPr>
            <w:tcW w:w="118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(2,529)</w:t>
            </w:r>
          </w:p>
        </w:tc>
      </w:tr>
      <w:tr w:rsidR="000728AD">
        <w:trPr>
          <w:trHeight w:val="237"/>
        </w:trPr>
        <w:tc>
          <w:tcPr>
            <w:tcW w:w="8080" w:type="dxa"/>
            <w:tcBorders>
              <w:bottom w:val="single" w:sz="8" w:space="0" w:color="CCEEFF"/>
            </w:tcBorders>
            <w:vAlign w:val="bottom"/>
          </w:tcPr>
          <w:p w:rsidR="000728AD" w:rsidRDefault="000561BE">
            <w:pPr>
              <w:ind w:left="480"/>
              <w:rPr>
                <w:sz w:val="20"/>
                <w:szCs w:val="20"/>
              </w:rPr>
            </w:pPr>
            <w:r>
              <w:rPr>
                <w:rFonts w:ascii="Arial" w:eastAsia="Arial" w:hAnsi="Arial" w:cs="Arial"/>
                <w:sz w:val="20"/>
                <w:szCs w:val="20"/>
              </w:rPr>
              <w:t>Net cash used in operating activities</w:t>
            </w:r>
          </w:p>
        </w:tc>
        <w:tc>
          <w:tcPr>
            <w:tcW w:w="360" w:type="dxa"/>
            <w:tcBorders>
              <w:bottom w:val="single" w:sz="8" w:space="0" w:color="auto"/>
            </w:tcBorders>
            <w:vAlign w:val="bottom"/>
          </w:tcPr>
          <w:p w:rsidR="000728AD" w:rsidRDefault="000728AD">
            <w:pPr>
              <w:rPr>
                <w:sz w:val="20"/>
                <w:szCs w:val="20"/>
              </w:rPr>
            </w:pPr>
          </w:p>
        </w:tc>
        <w:tc>
          <w:tcPr>
            <w:tcW w:w="116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(28,367)</w:t>
            </w:r>
          </w:p>
        </w:tc>
        <w:tc>
          <w:tcPr>
            <w:tcW w:w="120" w:type="dxa"/>
            <w:tcBorders>
              <w:bottom w:val="single" w:sz="8" w:space="0" w:color="CCEEFF"/>
            </w:tcBorders>
            <w:vAlign w:val="bottom"/>
          </w:tcPr>
          <w:p w:rsidR="000728AD" w:rsidRDefault="000728AD">
            <w:pPr>
              <w:rPr>
                <w:sz w:val="20"/>
                <w:szCs w:val="20"/>
              </w:rPr>
            </w:pPr>
          </w:p>
        </w:tc>
        <w:tc>
          <w:tcPr>
            <w:tcW w:w="340" w:type="dxa"/>
            <w:tcBorders>
              <w:bottom w:val="single" w:sz="8" w:space="0" w:color="auto"/>
            </w:tcBorders>
            <w:vAlign w:val="bottom"/>
          </w:tcPr>
          <w:p w:rsidR="000728AD" w:rsidRDefault="000728AD">
            <w:pPr>
              <w:rPr>
                <w:sz w:val="20"/>
                <w:szCs w:val="20"/>
              </w:rPr>
            </w:pPr>
          </w:p>
        </w:tc>
        <w:tc>
          <w:tcPr>
            <w:tcW w:w="118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(29,049)</w:t>
            </w:r>
          </w:p>
        </w:tc>
      </w:tr>
      <w:tr w:rsidR="000728AD">
        <w:trPr>
          <w:trHeight w:val="250"/>
        </w:trPr>
        <w:tc>
          <w:tcPr>
            <w:tcW w:w="8080" w:type="dxa"/>
            <w:shd w:val="clear" w:color="auto" w:fill="CCEEFF"/>
            <w:vAlign w:val="bottom"/>
          </w:tcPr>
          <w:p w:rsidR="000728AD" w:rsidRDefault="000728AD">
            <w:pPr>
              <w:rPr>
                <w:sz w:val="21"/>
                <w:szCs w:val="21"/>
              </w:rPr>
            </w:pPr>
          </w:p>
        </w:tc>
        <w:tc>
          <w:tcPr>
            <w:tcW w:w="360" w:type="dxa"/>
            <w:shd w:val="clear" w:color="auto" w:fill="CCEEFF"/>
            <w:vAlign w:val="bottom"/>
          </w:tcPr>
          <w:p w:rsidR="000728AD" w:rsidRDefault="000728AD">
            <w:pPr>
              <w:rPr>
                <w:sz w:val="21"/>
                <w:szCs w:val="21"/>
              </w:rPr>
            </w:pPr>
          </w:p>
        </w:tc>
        <w:tc>
          <w:tcPr>
            <w:tcW w:w="1160" w:type="dxa"/>
            <w:shd w:val="clear" w:color="auto" w:fill="CCEEFF"/>
            <w:vAlign w:val="bottom"/>
          </w:tcPr>
          <w:p w:rsidR="000728AD" w:rsidRDefault="000728AD">
            <w:pPr>
              <w:rPr>
                <w:sz w:val="21"/>
                <w:szCs w:val="21"/>
              </w:rPr>
            </w:pPr>
          </w:p>
        </w:tc>
        <w:tc>
          <w:tcPr>
            <w:tcW w:w="120" w:type="dxa"/>
            <w:shd w:val="clear" w:color="auto" w:fill="CCEEFF"/>
            <w:vAlign w:val="bottom"/>
          </w:tcPr>
          <w:p w:rsidR="000728AD" w:rsidRDefault="000728AD">
            <w:pPr>
              <w:rPr>
                <w:sz w:val="21"/>
                <w:szCs w:val="21"/>
              </w:rPr>
            </w:pPr>
          </w:p>
        </w:tc>
        <w:tc>
          <w:tcPr>
            <w:tcW w:w="340" w:type="dxa"/>
            <w:shd w:val="clear" w:color="auto" w:fill="CCEEFF"/>
            <w:vAlign w:val="bottom"/>
          </w:tcPr>
          <w:p w:rsidR="000728AD" w:rsidRDefault="000728AD">
            <w:pPr>
              <w:rPr>
                <w:sz w:val="21"/>
                <w:szCs w:val="21"/>
              </w:rPr>
            </w:pPr>
          </w:p>
        </w:tc>
        <w:tc>
          <w:tcPr>
            <w:tcW w:w="1180" w:type="dxa"/>
            <w:shd w:val="clear" w:color="auto" w:fill="CCEEFF"/>
            <w:vAlign w:val="bottom"/>
          </w:tcPr>
          <w:p w:rsidR="000728AD" w:rsidRDefault="000728AD">
            <w:pPr>
              <w:rPr>
                <w:sz w:val="21"/>
                <w:szCs w:val="21"/>
              </w:rPr>
            </w:pPr>
          </w:p>
        </w:tc>
      </w:tr>
      <w:tr w:rsidR="000728AD">
        <w:trPr>
          <w:trHeight w:val="243"/>
        </w:trPr>
        <w:tc>
          <w:tcPr>
            <w:tcW w:w="8080" w:type="dxa"/>
            <w:vAlign w:val="bottom"/>
          </w:tcPr>
          <w:p w:rsidR="000728AD" w:rsidRDefault="000561BE">
            <w:pPr>
              <w:ind w:left="20"/>
              <w:rPr>
                <w:sz w:val="20"/>
                <w:szCs w:val="20"/>
              </w:rPr>
            </w:pPr>
            <w:r>
              <w:rPr>
                <w:rFonts w:ascii="Arial" w:eastAsia="Arial" w:hAnsi="Arial" w:cs="Arial"/>
                <w:b/>
                <w:bCs/>
                <w:sz w:val="20"/>
                <w:szCs w:val="20"/>
              </w:rPr>
              <w:t>Cash flows from investing activities:</w:t>
            </w:r>
          </w:p>
        </w:tc>
        <w:tc>
          <w:tcPr>
            <w:tcW w:w="360" w:type="dxa"/>
            <w:vAlign w:val="bottom"/>
          </w:tcPr>
          <w:p w:rsidR="000728AD" w:rsidRDefault="000728AD">
            <w:pPr>
              <w:rPr>
                <w:sz w:val="21"/>
                <w:szCs w:val="21"/>
              </w:rPr>
            </w:pPr>
          </w:p>
        </w:tc>
        <w:tc>
          <w:tcPr>
            <w:tcW w:w="1160" w:type="dxa"/>
            <w:vAlign w:val="bottom"/>
          </w:tcPr>
          <w:p w:rsidR="000728AD" w:rsidRDefault="000728AD">
            <w:pPr>
              <w:rPr>
                <w:sz w:val="21"/>
                <w:szCs w:val="21"/>
              </w:rPr>
            </w:pPr>
          </w:p>
        </w:tc>
        <w:tc>
          <w:tcPr>
            <w:tcW w:w="120" w:type="dxa"/>
            <w:vAlign w:val="bottom"/>
          </w:tcPr>
          <w:p w:rsidR="000728AD" w:rsidRDefault="000728AD">
            <w:pPr>
              <w:rPr>
                <w:sz w:val="21"/>
                <w:szCs w:val="21"/>
              </w:rPr>
            </w:pPr>
          </w:p>
        </w:tc>
        <w:tc>
          <w:tcPr>
            <w:tcW w:w="340" w:type="dxa"/>
            <w:vAlign w:val="bottom"/>
          </w:tcPr>
          <w:p w:rsidR="000728AD" w:rsidRDefault="000728AD">
            <w:pPr>
              <w:rPr>
                <w:sz w:val="21"/>
                <w:szCs w:val="21"/>
              </w:rPr>
            </w:pPr>
          </w:p>
        </w:tc>
        <w:tc>
          <w:tcPr>
            <w:tcW w:w="1180" w:type="dxa"/>
            <w:vAlign w:val="bottom"/>
          </w:tcPr>
          <w:p w:rsidR="000728AD" w:rsidRDefault="000728AD">
            <w:pPr>
              <w:rPr>
                <w:sz w:val="21"/>
                <w:szCs w:val="21"/>
              </w:rPr>
            </w:pPr>
          </w:p>
        </w:tc>
      </w:tr>
      <w:tr w:rsidR="000728AD">
        <w:trPr>
          <w:trHeight w:val="243"/>
        </w:trPr>
        <w:tc>
          <w:tcPr>
            <w:tcW w:w="8080" w:type="dxa"/>
            <w:shd w:val="clear" w:color="auto" w:fill="CCEEFF"/>
            <w:vAlign w:val="bottom"/>
          </w:tcPr>
          <w:p w:rsidR="000728AD" w:rsidRDefault="000561BE">
            <w:pPr>
              <w:ind w:left="20"/>
              <w:rPr>
                <w:sz w:val="20"/>
                <w:szCs w:val="20"/>
              </w:rPr>
            </w:pPr>
            <w:r>
              <w:rPr>
                <w:rFonts w:ascii="Arial" w:eastAsia="Arial" w:hAnsi="Arial" w:cs="Arial"/>
                <w:sz w:val="20"/>
                <w:szCs w:val="20"/>
              </w:rPr>
              <w:t>Purchases of property and equipment</w:t>
            </w:r>
          </w:p>
        </w:tc>
        <w:tc>
          <w:tcPr>
            <w:tcW w:w="360" w:type="dxa"/>
            <w:shd w:val="clear" w:color="auto" w:fill="CCEEFF"/>
            <w:vAlign w:val="bottom"/>
          </w:tcPr>
          <w:p w:rsidR="000728AD" w:rsidRDefault="000728AD">
            <w:pPr>
              <w:rPr>
                <w:sz w:val="21"/>
                <w:szCs w:val="21"/>
              </w:rPr>
            </w:pPr>
          </w:p>
        </w:tc>
        <w:tc>
          <w:tcPr>
            <w:tcW w:w="1160" w:type="dxa"/>
            <w:shd w:val="clear" w:color="auto" w:fill="CCEEFF"/>
            <w:vAlign w:val="bottom"/>
          </w:tcPr>
          <w:p w:rsidR="000728AD" w:rsidRDefault="000561BE">
            <w:pPr>
              <w:jc w:val="right"/>
              <w:rPr>
                <w:sz w:val="20"/>
                <w:szCs w:val="20"/>
              </w:rPr>
            </w:pPr>
            <w:r>
              <w:rPr>
                <w:rFonts w:ascii="Arial" w:eastAsia="Arial" w:hAnsi="Arial" w:cs="Arial"/>
                <w:sz w:val="20"/>
                <w:szCs w:val="20"/>
              </w:rPr>
              <w:t>(296)</w:t>
            </w:r>
          </w:p>
        </w:tc>
        <w:tc>
          <w:tcPr>
            <w:tcW w:w="120" w:type="dxa"/>
            <w:shd w:val="clear" w:color="auto" w:fill="CCEEFF"/>
            <w:vAlign w:val="bottom"/>
          </w:tcPr>
          <w:p w:rsidR="000728AD" w:rsidRDefault="000728AD">
            <w:pPr>
              <w:rPr>
                <w:sz w:val="21"/>
                <w:szCs w:val="21"/>
              </w:rPr>
            </w:pPr>
          </w:p>
        </w:tc>
        <w:tc>
          <w:tcPr>
            <w:tcW w:w="340" w:type="dxa"/>
            <w:shd w:val="clear" w:color="auto" w:fill="CCEEFF"/>
            <w:vAlign w:val="bottom"/>
          </w:tcPr>
          <w:p w:rsidR="000728AD" w:rsidRDefault="000728AD">
            <w:pPr>
              <w:rPr>
                <w:sz w:val="21"/>
                <w:szCs w:val="21"/>
              </w:rPr>
            </w:pPr>
          </w:p>
        </w:tc>
        <w:tc>
          <w:tcPr>
            <w:tcW w:w="1180" w:type="dxa"/>
            <w:shd w:val="clear" w:color="auto" w:fill="CCEEFF"/>
            <w:vAlign w:val="bottom"/>
          </w:tcPr>
          <w:p w:rsidR="000728AD" w:rsidRDefault="000561BE">
            <w:pPr>
              <w:jc w:val="right"/>
              <w:rPr>
                <w:sz w:val="20"/>
                <w:szCs w:val="20"/>
              </w:rPr>
            </w:pPr>
            <w:r>
              <w:rPr>
                <w:rFonts w:ascii="Arial" w:eastAsia="Arial" w:hAnsi="Arial" w:cs="Arial"/>
                <w:sz w:val="20"/>
                <w:szCs w:val="20"/>
              </w:rPr>
              <w:t>(59)</w:t>
            </w:r>
          </w:p>
        </w:tc>
      </w:tr>
      <w:tr w:rsidR="000728AD">
        <w:trPr>
          <w:trHeight w:val="243"/>
        </w:trPr>
        <w:tc>
          <w:tcPr>
            <w:tcW w:w="8080" w:type="dxa"/>
            <w:vAlign w:val="bottom"/>
          </w:tcPr>
          <w:p w:rsidR="000728AD" w:rsidRDefault="000561BE">
            <w:pPr>
              <w:ind w:left="20"/>
              <w:rPr>
                <w:sz w:val="20"/>
                <w:szCs w:val="20"/>
              </w:rPr>
            </w:pPr>
            <w:r>
              <w:rPr>
                <w:rFonts w:ascii="Arial" w:eastAsia="Arial" w:hAnsi="Arial" w:cs="Arial"/>
                <w:sz w:val="20"/>
                <w:szCs w:val="20"/>
              </w:rPr>
              <w:t>Purchases of marketable securities</w:t>
            </w:r>
          </w:p>
        </w:tc>
        <w:tc>
          <w:tcPr>
            <w:tcW w:w="360" w:type="dxa"/>
            <w:vAlign w:val="bottom"/>
          </w:tcPr>
          <w:p w:rsidR="000728AD" w:rsidRDefault="000728AD">
            <w:pPr>
              <w:rPr>
                <w:sz w:val="21"/>
                <w:szCs w:val="21"/>
              </w:rPr>
            </w:pPr>
          </w:p>
        </w:tc>
        <w:tc>
          <w:tcPr>
            <w:tcW w:w="1160" w:type="dxa"/>
            <w:vAlign w:val="bottom"/>
          </w:tcPr>
          <w:p w:rsidR="000728AD" w:rsidRDefault="000561BE">
            <w:pPr>
              <w:jc w:val="right"/>
              <w:rPr>
                <w:sz w:val="20"/>
                <w:szCs w:val="20"/>
              </w:rPr>
            </w:pPr>
            <w:r>
              <w:rPr>
                <w:rFonts w:ascii="Arial" w:eastAsia="Arial" w:hAnsi="Arial" w:cs="Arial"/>
                <w:sz w:val="20"/>
                <w:szCs w:val="20"/>
              </w:rPr>
              <w:t>(23,234)</w:t>
            </w:r>
          </w:p>
        </w:tc>
        <w:tc>
          <w:tcPr>
            <w:tcW w:w="120" w:type="dxa"/>
            <w:vAlign w:val="bottom"/>
          </w:tcPr>
          <w:p w:rsidR="000728AD" w:rsidRDefault="000728AD">
            <w:pPr>
              <w:rPr>
                <w:sz w:val="21"/>
                <w:szCs w:val="21"/>
              </w:rPr>
            </w:pPr>
          </w:p>
        </w:tc>
        <w:tc>
          <w:tcPr>
            <w:tcW w:w="340" w:type="dxa"/>
            <w:vAlign w:val="bottom"/>
          </w:tcPr>
          <w:p w:rsidR="000728AD" w:rsidRDefault="000728AD">
            <w:pPr>
              <w:rPr>
                <w:sz w:val="21"/>
                <w:szCs w:val="21"/>
              </w:rPr>
            </w:pPr>
          </w:p>
        </w:tc>
        <w:tc>
          <w:tcPr>
            <w:tcW w:w="1180" w:type="dxa"/>
            <w:vAlign w:val="bottom"/>
          </w:tcPr>
          <w:p w:rsidR="000728AD" w:rsidRDefault="000561BE">
            <w:pPr>
              <w:jc w:val="right"/>
              <w:rPr>
                <w:sz w:val="20"/>
                <w:szCs w:val="20"/>
              </w:rPr>
            </w:pPr>
            <w:r>
              <w:rPr>
                <w:rFonts w:ascii="Arial" w:eastAsia="Arial" w:hAnsi="Arial" w:cs="Arial"/>
                <w:sz w:val="20"/>
                <w:szCs w:val="20"/>
              </w:rPr>
              <w:t>—</w:t>
            </w:r>
          </w:p>
        </w:tc>
      </w:tr>
      <w:tr w:rsidR="000728AD">
        <w:trPr>
          <w:trHeight w:val="243"/>
        </w:trPr>
        <w:tc>
          <w:tcPr>
            <w:tcW w:w="8080" w:type="dxa"/>
            <w:shd w:val="clear" w:color="auto" w:fill="CCEEFF"/>
            <w:vAlign w:val="bottom"/>
          </w:tcPr>
          <w:p w:rsidR="000728AD" w:rsidRDefault="000561BE">
            <w:pPr>
              <w:ind w:left="20"/>
              <w:rPr>
                <w:sz w:val="20"/>
                <w:szCs w:val="20"/>
              </w:rPr>
            </w:pPr>
            <w:r>
              <w:rPr>
                <w:rFonts w:ascii="Arial" w:eastAsia="Arial" w:hAnsi="Arial" w:cs="Arial"/>
                <w:sz w:val="20"/>
                <w:szCs w:val="20"/>
              </w:rPr>
              <w:t xml:space="preserve">Proceeds from </w:t>
            </w:r>
            <w:r>
              <w:rPr>
                <w:rFonts w:ascii="Arial" w:eastAsia="Arial" w:hAnsi="Arial" w:cs="Arial"/>
                <w:sz w:val="20"/>
                <w:szCs w:val="20"/>
              </w:rPr>
              <w:t>maturities of marketable securities</w:t>
            </w:r>
          </w:p>
        </w:tc>
        <w:tc>
          <w:tcPr>
            <w:tcW w:w="360" w:type="dxa"/>
            <w:tcBorders>
              <w:bottom w:val="single" w:sz="8" w:space="0" w:color="auto"/>
            </w:tcBorders>
            <w:shd w:val="clear" w:color="auto" w:fill="CCEEFF"/>
            <w:vAlign w:val="bottom"/>
          </w:tcPr>
          <w:p w:rsidR="000728AD" w:rsidRDefault="000728AD">
            <w:pPr>
              <w:rPr>
                <w:sz w:val="21"/>
                <w:szCs w:val="21"/>
              </w:rPr>
            </w:pPr>
          </w:p>
        </w:tc>
        <w:tc>
          <w:tcPr>
            <w:tcW w:w="116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13,576</w:t>
            </w:r>
          </w:p>
        </w:tc>
        <w:tc>
          <w:tcPr>
            <w:tcW w:w="120" w:type="dxa"/>
            <w:shd w:val="clear" w:color="auto" w:fill="CCEEFF"/>
            <w:vAlign w:val="bottom"/>
          </w:tcPr>
          <w:p w:rsidR="000728AD" w:rsidRDefault="000728AD">
            <w:pPr>
              <w:rPr>
                <w:sz w:val="21"/>
                <w:szCs w:val="21"/>
              </w:rPr>
            </w:pPr>
          </w:p>
        </w:tc>
        <w:tc>
          <w:tcPr>
            <w:tcW w:w="340" w:type="dxa"/>
            <w:tcBorders>
              <w:bottom w:val="single" w:sz="8" w:space="0" w:color="auto"/>
            </w:tcBorders>
            <w:shd w:val="clear" w:color="auto" w:fill="CCEEFF"/>
            <w:vAlign w:val="bottom"/>
          </w:tcPr>
          <w:p w:rsidR="000728AD" w:rsidRDefault="000728AD">
            <w:pPr>
              <w:rPr>
                <w:sz w:val="21"/>
                <w:szCs w:val="21"/>
              </w:rPr>
            </w:pPr>
          </w:p>
        </w:tc>
        <w:tc>
          <w:tcPr>
            <w:tcW w:w="118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w:t>
            </w:r>
          </w:p>
        </w:tc>
      </w:tr>
      <w:tr w:rsidR="000728AD">
        <w:trPr>
          <w:trHeight w:val="236"/>
        </w:trPr>
        <w:tc>
          <w:tcPr>
            <w:tcW w:w="8080" w:type="dxa"/>
            <w:tcBorders>
              <w:bottom w:val="single" w:sz="8" w:space="0" w:color="CCEEFF"/>
            </w:tcBorders>
            <w:vAlign w:val="bottom"/>
          </w:tcPr>
          <w:p w:rsidR="000728AD" w:rsidRDefault="000561BE">
            <w:pPr>
              <w:ind w:left="480"/>
              <w:rPr>
                <w:sz w:val="20"/>
                <w:szCs w:val="20"/>
              </w:rPr>
            </w:pPr>
            <w:r>
              <w:rPr>
                <w:rFonts w:ascii="Arial" w:eastAsia="Arial" w:hAnsi="Arial" w:cs="Arial"/>
                <w:sz w:val="20"/>
                <w:szCs w:val="20"/>
              </w:rPr>
              <w:t>Net cash used in investing activities</w:t>
            </w:r>
          </w:p>
        </w:tc>
        <w:tc>
          <w:tcPr>
            <w:tcW w:w="360" w:type="dxa"/>
            <w:tcBorders>
              <w:bottom w:val="single" w:sz="8" w:space="0" w:color="auto"/>
            </w:tcBorders>
            <w:vAlign w:val="bottom"/>
          </w:tcPr>
          <w:p w:rsidR="000728AD" w:rsidRDefault="000728AD">
            <w:pPr>
              <w:rPr>
                <w:sz w:val="20"/>
                <w:szCs w:val="20"/>
              </w:rPr>
            </w:pPr>
          </w:p>
        </w:tc>
        <w:tc>
          <w:tcPr>
            <w:tcW w:w="116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(9,954)</w:t>
            </w:r>
          </w:p>
        </w:tc>
        <w:tc>
          <w:tcPr>
            <w:tcW w:w="120" w:type="dxa"/>
            <w:tcBorders>
              <w:bottom w:val="single" w:sz="8" w:space="0" w:color="CCEEFF"/>
            </w:tcBorders>
            <w:vAlign w:val="bottom"/>
          </w:tcPr>
          <w:p w:rsidR="000728AD" w:rsidRDefault="000728AD">
            <w:pPr>
              <w:rPr>
                <w:sz w:val="20"/>
                <w:szCs w:val="20"/>
              </w:rPr>
            </w:pPr>
          </w:p>
        </w:tc>
        <w:tc>
          <w:tcPr>
            <w:tcW w:w="340" w:type="dxa"/>
            <w:tcBorders>
              <w:bottom w:val="single" w:sz="8" w:space="0" w:color="auto"/>
            </w:tcBorders>
            <w:vAlign w:val="bottom"/>
          </w:tcPr>
          <w:p w:rsidR="000728AD" w:rsidRDefault="000728AD">
            <w:pPr>
              <w:rPr>
                <w:sz w:val="20"/>
                <w:szCs w:val="20"/>
              </w:rPr>
            </w:pPr>
          </w:p>
        </w:tc>
        <w:tc>
          <w:tcPr>
            <w:tcW w:w="118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(59)</w:t>
            </w:r>
          </w:p>
        </w:tc>
      </w:tr>
      <w:tr w:rsidR="000728AD">
        <w:trPr>
          <w:trHeight w:val="250"/>
        </w:trPr>
        <w:tc>
          <w:tcPr>
            <w:tcW w:w="8080" w:type="dxa"/>
            <w:shd w:val="clear" w:color="auto" w:fill="CCEEFF"/>
            <w:vAlign w:val="bottom"/>
          </w:tcPr>
          <w:p w:rsidR="000728AD" w:rsidRDefault="000728AD">
            <w:pPr>
              <w:rPr>
                <w:sz w:val="21"/>
                <w:szCs w:val="21"/>
              </w:rPr>
            </w:pPr>
          </w:p>
        </w:tc>
        <w:tc>
          <w:tcPr>
            <w:tcW w:w="360" w:type="dxa"/>
            <w:shd w:val="clear" w:color="auto" w:fill="CCEEFF"/>
            <w:vAlign w:val="bottom"/>
          </w:tcPr>
          <w:p w:rsidR="000728AD" w:rsidRDefault="000728AD">
            <w:pPr>
              <w:rPr>
                <w:sz w:val="21"/>
                <w:szCs w:val="21"/>
              </w:rPr>
            </w:pPr>
          </w:p>
        </w:tc>
        <w:tc>
          <w:tcPr>
            <w:tcW w:w="1160" w:type="dxa"/>
            <w:shd w:val="clear" w:color="auto" w:fill="CCEEFF"/>
            <w:vAlign w:val="bottom"/>
          </w:tcPr>
          <w:p w:rsidR="000728AD" w:rsidRDefault="000728AD">
            <w:pPr>
              <w:rPr>
                <w:sz w:val="21"/>
                <w:szCs w:val="21"/>
              </w:rPr>
            </w:pPr>
          </w:p>
        </w:tc>
        <w:tc>
          <w:tcPr>
            <w:tcW w:w="120" w:type="dxa"/>
            <w:shd w:val="clear" w:color="auto" w:fill="CCEEFF"/>
            <w:vAlign w:val="bottom"/>
          </w:tcPr>
          <w:p w:rsidR="000728AD" w:rsidRDefault="000728AD">
            <w:pPr>
              <w:rPr>
                <w:sz w:val="21"/>
                <w:szCs w:val="21"/>
              </w:rPr>
            </w:pPr>
          </w:p>
        </w:tc>
        <w:tc>
          <w:tcPr>
            <w:tcW w:w="340" w:type="dxa"/>
            <w:shd w:val="clear" w:color="auto" w:fill="CCEEFF"/>
            <w:vAlign w:val="bottom"/>
          </w:tcPr>
          <w:p w:rsidR="000728AD" w:rsidRDefault="000728AD">
            <w:pPr>
              <w:rPr>
                <w:sz w:val="21"/>
                <w:szCs w:val="21"/>
              </w:rPr>
            </w:pPr>
          </w:p>
        </w:tc>
        <w:tc>
          <w:tcPr>
            <w:tcW w:w="1180" w:type="dxa"/>
            <w:shd w:val="clear" w:color="auto" w:fill="CCEEFF"/>
            <w:vAlign w:val="bottom"/>
          </w:tcPr>
          <w:p w:rsidR="000728AD" w:rsidRDefault="000728AD">
            <w:pPr>
              <w:rPr>
                <w:sz w:val="21"/>
                <w:szCs w:val="21"/>
              </w:rPr>
            </w:pPr>
          </w:p>
        </w:tc>
      </w:tr>
      <w:tr w:rsidR="000728AD">
        <w:trPr>
          <w:trHeight w:val="243"/>
        </w:trPr>
        <w:tc>
          <w:tcPr>
            <w:tcW w:w="8080" w:type="dxa"/>
            <w:vAlign w:val="bottom"/>
          </w:tcPr>
          <w:p w:rsidR="000728AD" w:rsidRDefault="000561BE">
            <w:pPr>
              <w:ind w:left="20"/>
              <w:rPr>
                <w:sz w:val="20"/>
                <w:szCs w:val="20"/>
              </w:rPr>
            </w:pPr>
            <w:r>
              <w:rPr>
                <w:rFonts w:ascii="Arial" w:eastAsia="Arial" w:hAnsi="Arial" w:cs="Arial"/>
                <w:b/>
                <w:bCs/>
                <w:sz w:val="20"/>
                <w:szCs w:val="20"/>
              </w:rPr>
              <w:t>Cash flows from financing activities:</w:t>
            </w:r>
          </w:p>
        </w:tc>
        <w:tc>
          <w:tcPr>
            <w:tcW w:w="360" w:type="dxa"/>
            <w:vAlign w:val="bottom"/>
          </w:tcPr>
          <w:p w:rsidR="000728AD" w:rsidRDefault="000728AD">
            <w:pPr>
              <w:rPr>
                <w:sz w:val="21"/>
                <w:szCs w:val="21"/>
              </w:rPr>
            </w:pPr>
          </w:p>
        </w:tc>
        <w:tc>
          <w:tcPr>
            <w:tcW w:w="1160" w:type="dxa"/>
            <w:vAlign w:val="bottom"/>
          </w:tcPr>
          <w:p w:rsidR="000728AD" w:rsidRDefault="000728AD">
            <w:pPr>
              <w:rPr>
                <w:sz w:val="21"/>
                <w:szCs w:val="21"/>
              </w:rPr>
            </w:pPr>
          </w:p>
        </w:tc>
        <w:tc>
          <w:tcPr>
            <w:tcW w:w="120" w:type="dxa"/>
            <w:vAlign w:val="bottom"/>
          </w:tcPr>
          <w:p w:rsidR="000728AD" w:rsidRDefault="000728AD">
            <w:pPr>
              <w:rPr>
                <w:sz w:val="21"/>
                <w:szCs w:val="21"/>
              </w:rPr>
            </w:pPr>
          </w:p>
        </w:tc>
        <w:tc>
          <w:tcPr>
            <w:tcW w:w="340" w:type="dxa"/>
            <w:vAlign w:val="bottom"/>
          </w:tcPr>
          <w:p w:rsidR="000728AD" w:rsidRDefault="000728AD">
            <w:pPr>
              <w:rPr>
                <w:sz w:val="21"/>
                <w:szCs w:val="21"/>
              </w:rPr>
            </w:pPr>
          </w:p>
        </w:tc>
        <w:tc>
          <w:tcPr>
            <w:tcW w:w="1180" w:type="dxa"/>
            <w:vAlign w:val="bottom"/>
          </w:tcPr>
          <w:p w:rsidR="000728AD" w:rsidRDefault="000728AD">
            <w:pPr>
              <w:rPr>
                <w:sz w:val="21"/>
                <w:szCs w:val="21"/>
              </w:rPr>
            </w:pPr>
          </w:p>
        </w:tc>
      </w:tr>
      <w:tr w:rsidR="000728AD">
        <w:trPr>
          <w:trHeight w:val="243"/>
        </w:trPr>
        <w:tc>
          <w:tcPr>
            <w:tcW w:w="8080" w:type="dxa"/>
            <w:shd w:val="clear" w:color="auto" w:fill="CCEEFF"/>
            <w:vAlign w:val="bottom"/>
          </w:tcPr>
          <w:p w:rsidR="000728AD" w:rsidRDefault="000561BE">
            <w:pPr>
              <w:ind w:left="20"/>
              <w:rPr>
                <w:sz w:val="20"/>
                <w:szCs w:val="20"/>
              </w:rPr>
            </w:pPr>
            <w:r>
              <w:rPr>
                <w:rFonts w:ascii="Arial" w:eastAsia="Arial" w:hAnsi="Arial" w:cs="Arial"/>
                <w:sz w:val="20"/>
                <w:szCs w:val="20"/>
              </w:rPr>
              <w:t>Proceeds from issuance of common stock, net of issuance costs</w:t>
            </w:r>
          </w:p>
        </w:tc>
        <w:tc>
          <w:tcPr>
            <w:tcW w:w="360" w:type="dxa"/>
            <w:shd w:val="clear" w:color="auto" w:fill="CCEEFF"/>
            <w:vAlign w:val="bottom"/>
          </w:tcPr>
          <w:p w:rsidR="000728AD" w:rsidRDefault="000728AD">
            <w:pPr>
              <w:rPr>
                <w:sz w:val="21"/>
                <w:szCs w:val="21"/>
              </w:rPr>
            </w:pPr>
          </w:p>
        </w:tc>
        <w:tc>
          <w:tcPr>
            <w:tcW w:w="1160" w:type="dxa"/>
            <w:shd w:val="clear" w:color="auto" w:fill="CCEEFF"/>
            <w:vAlign w:val="bottom"/>
          </w:tcPr>
          <w:p w:rsidR="000728AD" w:rsidRDefault="000561BE">
            <w:pPr>
              <w:jc w:val="right"/>
              <w:rPr>
                <w:sz w:val="20"/>
                <w:szCs w:val="20"/>
              </w:rPr>
            </w:pPr>
            <w:r>
              <w:rPr>
                <w:rFonts w:ascii="Arial" w:eastAsia="Arial" w:hAnsi="Arial" w:cs="Arial"/>
                <w:sz w:val="20"/>
                <w:szCs w:val="20"/>
              </w:rPr>
              <w:t>578</w:t>
            </w:r>
          </w:p>
        </w:tc>
        <w:tc>
          <w:tcPr>
            <w:tcW w:w="120" w:type="dxa"/>
            <w:shd w:val="clear" w:color="auto" w:fill="CCEEFF"/>
            <w:vAlign w:val="bottom"/>
          </w:tcPr>
          <w:p w:rsidR="000728AD" w:rsidRDefault="000728AD">
            <w:pPr>
              <w:rPr>
                <w:sz w:val="21"/>
                <w:szCs w:val="21"/>
              </w:rPr>
            </w:pPr>
          </w:p>
        </w:tc>
        <w:tc>
          <w:tcPr>
            <w:tcW w:w="340" w:type="dxa"/>
            <w:shd w:val="clear" w:color="auto" w:fill="CCEEFF"/>
            <w:vAlign w:val="bottom"/>
          </w:tcPr>
          <w:p w:rsidR="000728AD" w:rsidRDefault="000728AD">
            <w:pPr>
              <w:rPr>
                <w:sz w:val="21"/>
                <w:szCs w:val="21"/>
              </w:rPr>
            </w:pPr>
          </w:p>
        </w:tc>
        <w:tc>
          <w:tcPr>
            <w:tcW w:w="1180" w:type="dxa"/>
            <w:shd w:val="clear" w:color="auto" w:fill="CCEEFF"/>
            <w:vAlign w:val="bottom"/>
          </w:tcPr>
          <w:p w:rsidR="000728AD" w:rsidRDefault="000561BE">
            <w:pPr>
              <w:jc w:val="right"/>
              <w:rPr>
                <w:sz w:val="20"/>
                <w:szCs w:val="20"/>
              </w:rPr>
            </w:pPr>
            <w:r>
              <w:rPr>
                <w:rFonts w:ascii="Arial" w:eastAsia="Arial" w:hAnsi="Arial" w:cs="Arial"/>
                <w:sz w:val="20"/>
                <w:szCs w:val="20"/>
              </w:rPr>
              <w:t>58,381</w:t>
            </w:r>
          </w:p>
        </w:tc>
      </w:tr>
      <w:tr w:rsidR="000728AD">
        <w:trPr>
          <w:trHeight w:val="243"/>
        </w:trPr>
        <w:tc>
          <w:tcPr>
            <w:tcW w:w="8080" w:type="dxa"/>
            <w:vAlign w:val="bottom"/>
          </w:tcPr>
          <w:p w:rsidR="000728AD" w:rsidRDefault="000561BE">
            <w:pPr>
              <w:ind w:left="20"/>
              <w:rPr>
                <w:sz w:val="20"/>
                <w:szCs w:val="20"/>
              </w:rPr>
            </w:pPr>
            <w:r>
              <w:rPr>
                <w:rFonts w:ascii="Arial" w:eastAsia="Arial" w:hAnsi="Arial" w:cs="Arial"/>
                <w:sz w:val="20"/>
                <w:szCs w:val="20"/>
              </w:rPr>
              <w:t xml:space="preserve">Proceeds from </w:t>
            </w:r>
            <w:r>
              <w:rPr>
                <w:rFonts w:ascii="Arial" w:eastAsia="Arial" w:hAnsi="Arial" w:cs="Arial"/>
                <w:sz w:val="20"/>
                <w:szCs w:val="20"/>
              </w:rPr>
              <w:t>exercise of common stock options and ESPP</w:t>
            </w:r>
          </w:p>
        </w:tc>
        <w:tc>
          <w:tcPr>
            <w:tcW w:w="360" w:type="dxa"/>
            <w:vAlign w:val="bottom"/>
          </w:tcPr>
          <w:p w:rsidR="000728AD" w:rsidRDefault="000728AD">
            <w:pPr>
              <w:rPr>
                <w:sz w:val="21"/>
                <w:szCs w:val="21"/>
              </w:rPr>
            </w:pPr>
          </w:p>
        </w:tc>
        <w:tc>
          <w:tcPr>
            <w:tcW w:w="1160" w:type="dxa"/>
            <w:vAlign w:val="bottom"/>
          </w:tcPr>
          <w:p w:rsidR="000728AD" w:rsidRDefault="000561BE">
            <w:pPr>
              <w:jc w:val="right"/>
              <w:rPr>
                <w:sz w:val="20"/>
                <w:szCs w:val="20"/>
              </w:rPr>
            </w:pPr>
            <w:r>
              <w:rPr>
                <w:rFonts w:ascii="Arial" w:eastAsia="Arial" w:hAnsi="Arial" w:cs="Arial"/>
                <w:sz w:val="20"/>
                <w:szCs w:val="20"/>
              </w:rPr>
              <w:t>140</w:t>
            </w:r>
          </w:p>
        </w:tc>
        <w:tc>
          <w:tcPr>
            <w:tcW w:w="120" w:type="dxa"/>
            <w:vAlign w:val="bottom"/>
          </w:tcPr>
          <w:p w:rsidR="000728AD" w:rsidRDefault="000728AD">
            <w:pPr>
              <w:rPr>
                <w:sz w:val="21"/>
                <w:szCs w:val="21"/>
              </w:rPr>
            </w:pPr>
          </w:p>
        </w:tc>
        <w:tc>
          <w:tcPr>
            <w:tcW w:w="340" w:type="dxa"/>
            <w:vAlign w:val="bottom"/>
          </w:tcPr>
          <w:p w:rsidR="000728AD" w:rsidRDefault="000728AD">
            <w:pPr>
              <w:rPr>
                <w:sz w:val="21"/>
                <w:szCs w:val="21"/>
              </w:rPr>
            </w:pPr>
          </w:p>
        </w:tc>
        <w:tc>
          <w:tcPr>
            <w:tcW w:w="1180" w:type="dxa"/>
            <w:vAlign w:val="bottom"/>
          </w:tcPr>
          <w:p w:rsidR="000728AD" w:rsidRDefault="000561BE">
            <w:pPr>
              <w:jc w:val="right"/>
              <w:rPr>
                <w:sz w:val="20"/>
                <w:szCs w:val="20"/>
              </w:rPr>
            </w:pPr>
            <w:r>
              <w:rPr>
                <w:rFonts w:ascii="Arial" w:eastAsia="Arial" w:hAnsi="Arial" w:cs="Arial"/>
                <w:sz w:val="20"/>
                <w:szCs w:val="20"/>
              </w:rPr>
              <w:t>—</w:t>
            </w:r>
          </w:p>
        </w:tc>
      </w:tr>
      <w:tr w:rsidR="000728AD">
        <w:trPr>
          <w:trHeight w:val="243"/>
        </w:trPr>
        <w:tc>
          <w:tcPr>
            <w:tcW w:w="8080" w:type="dxa"/>
            <w:shd w:val="clear" w:color="auto" w:fill="CCEEFF"/>
            <w:vAlign w:val="bottom"/>
          </w:tcPr>
          <w:p w:rsidR="000728AD" w:rsidRDefault="000561BE">
            <w:pPr>
              <w:ind w:left="20"/>
              <w:rPr>
                <w:sz w:val="20"/>
                <w:szCs w:val="20"/>
              </w:rPr>
            </w:pPr>
            <w:r>
              <w:rPr>
                <w:rFonts w:ascii="Arial" w:eastAsia="Arial" w:hAnsi="Arial" w:cs="Arial"/>
                <w:sz w:val="20"/>
                <w:szCs w:val="20"/>
              </w:rPr>
              <w:t>Payments for capital lease</w:t>
            </w:r>
          </w:p>
        </w:tc>
        <w:tc>
          <w:tcPr>
            <w:tcW w:w="360" w:type="dxa"/>
            <w:tcBorders>
              <w:bottom w:val="single" w:sz="8" w:space="0" w:color="auto"/>
            </w:tcBorders>
            <w:shd w:val="clear" w:color="auto" w:fill="CCEEFF"/>
            <w:vAlign w:val="bottom"/>
          </w:tcPr>
          <w:p w:rsidR="000728AD" w:rsidRDefault="000728AD">
            <w:pPr>
              <w:rPr>
                <w:sz w:val="21"/>
                <w:szCs w:val="21"/>
              </w:rPr>
            </w:pPr>
          </w:p>
        </w:tc>
        <w:tc>
          <w:tcPr>
            <w:tcW w:w="116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(47)</w:t>
            </w:r>
          </w:p>
        </w:tc>
        <w:tc>
          <w:tcPr>
            <w:tcW w:w="120" w:type="dxa"/>
            <w:shd w:val="clear" w:color="auto" w:fill="CCEEFF"/>
            <w:vAlign w:val="bottom"/>
          </w:tcPr>
          <w:p w:rsidR="000728AD" w:rsidRDefault="000728AD">
            <w:pPr>
              <w:rPr>
                <w:sz w:val="21"/>
                <w:szCs w:val="21"/>
              </w:rPr>
            </w:pPr>
          </w:p>
        </w:tc>
        <w:tc>
          <w:tcPr>
            <w:tcW w:w="340" w:type="dxa"/>
            <w:tcBorders>
              <w:bottom w:val="single" w:sz="8" w:space="0" w:color="auto"/>
            </w:tcBorders>
            <w:shd w:val="clear" w:color="auto" w:fill="CCEEFF"/>
            <w:vAlign w:val="bottom"/>
          </w:tcPr>
          <w:p w:rsidR="000728AD" w:rsidRDefault="000728AD">
            <w:pPr>
              <w:rPr>
                <w:sz w:val="21"/>
                <w:szCs w:val="21"/>
              </w:rPr>
            </w:pPr>
          </w:p>
        </w:tc>
        <w:tc>
          <w:tcPr>
            <w:tcW w:w="118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w:t>
            </w:r>
          </w:p>
        </w:tc>
      </w:tr>
      <w:tr w:rsidR="000728AD">
        <w:trPr>
          <w:trHeight w:val="236"/>
        </w:trPr>
        <w:tc>
          <w:tcPr>
            <w:tcW w:w="8080" w:type="dxa"/>
            <w:tcBorders>
              <w:bottom w:val="single" w:sz="8" w:space="0" w:color="CCEEFF"/>
            </w:tcBorders>
            <w:vAlign w:val="bottom"/>
          </w:tcPr>
          <w:p w:rsidR="000728AD" w:rsidRDefault="000561BE">
            <w:pPr>
              <w:ind w:left="480"/>
              <w:rPr>
                <w:sz w:val="20"/>
                <w:szCs w:val="20"/>
              </w:rPr>
            </w:pPr>
            <w:r>
              <w:rPr>
                <w:rFonts w:ascii="Arial" w:eastAsia="Arial" w:hAnsi="Arial" w:cs="Arial"/>
                <w:sz w:val="20"/>
                <w:szCs w:val="20"/>
              </w:rPr>
              <w:t>Net cash provided by financing activities</w:t>
            </w:r>
          </w:p>
        </w:tc>
        <w:tc>
          <w:tcPr>
            <w:tcW w:w="360" w:type="dxa"/>
            <w:tcBorders>
              <w:bottom w:val="single" w:sz="8" w:space="0" w:color="auto"/>
            </w:tcBorders>
            <w:vAlign w:val="bottom"/>
          </w:tcPr>
          <w:p w:rsidR="000728AD" w:rsidRDefault="000728AD">
            <w:pPr>
              <w:rPr>
                <w:sz w:val="20"/>
                <w:szCs w:val="20"/>
              </w:rPr>
            </w:pPr>
          </w:p>
        </w:tc>
        <w:tc>
          <w:tcPr>
            <w:tcW w:w="116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671</w:t>
            </w:r>
          </w:p>
        </w:tc>
        <w:tc>
          <w:tcPr>
            <w:tcW w:w="120" w:type="dxa"/>
            <w:tcBorders>
              <w:bottom w:val="single" w:sz="8" w:space="0" w:color="CCEEFF"/>
            </w:tcBorders>
            <w:vAlign w:val="bottom"/>
          </w:tcPr>
          <w:p w:rsidR="000728AD" w:rsidRDefault="000728AD">
            <w:pPr>
              <w:rPr>
                <w:sz w:val="20"/>
                <w:szCs w:val="20"/>
              </w:rPr>
            </w:pPr>
          </w:p>
        </w:tc>
        <w:tc>
          <w:tcPr>
            <w:tcW w:w="340" w:type="dxa"/>
            <w:tcBorders>
              <w:bottom w:val="single" w:sz="8" w:space="0" w:color="auto"/>
            </w:tcBorders>
            <w:vAlign w:val="bottom"/>
          </w:tcPr>
          <w:p w:rsidR="000728AD" w:rsidRDefault="000728AD">
            <w:pPr>
              <w:rPr>
                <w:sz w:val="20"/>
                <w:szCs w:val="20"/>
              </w:rPr>
            </w:pPr>
          </w:p>
        </w:tc>
        <w:tc>
          <w:tcPr>
            <w:tcW w:w="118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58,381</w:t>
            </w:r>
          </w:p>
        </w:tc>
      </w:tr>
      <w:tr w:rsidR="000728AD">
        <w:trPr>
          <w:trHeight w:val="250"/>
        </w:trPr>
        <w:tc>
          <w:tcPr>
            <w:tcW w:w="8080" w:type="dxa"/>
            <w:shd w:val="clear" w:color="auto" w:fill="CCEEFF"/>
            <w:vAlign w:val="bottom"/>
          </w:tcPr>
          <w:p w:rsidR="000728AD" w:rsidRDefault="000728AD">
            <w:pPr>
              <w:rPr>
                <w:sz w:val="21"/>
                <w:szCs w:val="21"/>
              </w:rPr>
            </w:pPr>
          </w:p>
        </w:tc>
        <w:tc>
          <w:tcPr>
            <w:tcW w:w="360" w:type="dxa"/>
            <w:shd w:val="clear" w:color="auto" w:fill="CCEEFF"/>
            <w:vAlign w:val="bottom"/>
          </w:tcPr>
          <w:p w:rsidR="000728AD" w:rsidRDefault="000728AD">
            <w:pPr>
              <w:rPr>
                <w:sz w:val="21"/>
                <w:szCs w:val="21"/>
              </w:rPr>
            </w:pPr>
          </w:p>
        </w:tc>
        <w:tc>
          <w:tcPr>
            <w:tcW w:w="1160" w:type="dxa"/>
            <w:shd w:val="clear" w:color="auto" w:fill="CCEEFF"/>
            <w:vAlign w:val="bottom"/>
          </w:tcPr>
          <w:p w:rsidR="000728AD" w:rsidRDefault="000728AD">
            <w:pPr>
              <w:rPr>
                <w:sz w:val="21"/>
                <w:szCs w:val="21"/>
              </w:rPr>
            </w:pPr>
          </w:p>
        </w:tc>
        <w:tc>
          <w:tcPr>
            <w:tcW w:w="120" w:type="dxa"/>
            <w:shd w:val="clear" w:color="auto" w:fill="CCEEFF"/>
            <w:vAlign w:val="bottom"/>
          </w:tcPr>
          <w:p w:rsidR="000728AD" w:rsidRDefault="000728AD">
            <w:pPr>
              <w:rPr>
                <w:sz w:val="21"/>
                <w:szCs w:val="21"/>
              </w:rPr>
            </w:pPr>
          </w:p>
        </w:tc>
        <w:tc>
          <w:tcPr>
            <w:tcW w:w="340" w:type="dxa"/>
            <w:shd w:val="clear" w:color="auto" w:fill="CCEEFF"/>
            <w:vAlign w:val="bottom"/>
          </w:tcPr>
          <w:p w:rsidR="000728AD" w:rsidRDefault="000728AD">
            <w:pPr>
              <w:rPr>
                <w:sz w:val="21"/>
                <w:szCs w:val="21"/>
              </w:rPr>
            </w:pPr>
          </w:p>
        </w:tc>
        <w:tc>
          <w:tcPr>
            <w:tcW w:w="1180" w:type="dxa"/>
            <w:shd w:val="clear" w:color="auto" w:fill="CCEEFF"/>
            <w:vAlign w:val="bottom"/>
          </w:tcPr>
          <w:p w:rsidR="000728AD" w:rsidRDefault="000728AD">
            <w:pPr>
              <w:rPr>
                <w:sz w:val="21"/>
                <w:szCs w:val="21"/>
              </w:rPr>
            </w:pPr>
          </w:p>
        </w:tc>
      </w:tr>
      <w:tr w:rsidR="000728AD">
        <w:trPr>
          <w:trHeight w:val="243"/>
        </w:trPr>
        <w:tc>
          <w:tcPr>
            <w:tcW w:w="8080" w:type="dxa"/>
            <w:vAlign w:val="bottom"/>
          </w:tcPr>
          <w:p w:rsidR="000728AD" w:rsidRDefault="000561BE">
            <w:pPr>
              <w:ind w:left="20"/>
              <w:rPr>
                <w:sz w:val="20"/>
                <w:szCs w:val="20"/>
              </w:rPr>
            </w:pPr>
            <w:r>
              <w:rPr>
                <w:rFonts w:ascii="Arial" w:eastAsia="Arial" w:hAnsi="Arial" w:cs="Arial"/>
                <w:sz w:val="20"/>
                <w:szCs w:val="20"/>
              </w:rPr>
              <w:t>Net (decrease) increase in cash and cash equivalents</w:t>
            </w:r>
          </w:p>
        </w:tc>
        <w:tc>
          <w:tcPr>
            <w:tcW w:w="360" w:type="dxa"/>
            <w:vAlign w:val="bottom"/>
          </w:tcPr>
          <w:p w:rsidR="000728AD" w:rsidRDefault="000728AD">
            <w:pPr>
              <w:rPr>
                <w:sz w:val="21"/>
                <w:szCs w:val="21"/>
              </w:rPr>
            </w:pPr>
          </w:p>
        </w:tc>
        <w:tc>
          <w:tcPr>
            <w:tcW w:w="1160" w:type="dxa"/>
            <w:vAlign w:val="bottom"/>
          </w:tcPr>
          <w:p w:rsidR="000728AD" w:rsidRDefault="000561BE">
            <w:pPr>
              <w:jc w:val="right"/>
              <w:rPr>
                <w:sz w:val="20"/>
                <w:szCs w:val="20"/>
              </w:rPr>
            </w:pPr>
            <w:r>
              <w:rPr>
                <w:rFonts w:ascii="Arial" w:eastAsia="Arial" w:hAnsi="Arial" w:cs="Arial"/>
                <w:sz w:val="20"/>
                <w:szCs w:val="20"/>
              </w:rPr>
              <w:t>(37,650)</w:t>
            </w:r>
          </w:p>
        </w:tc>
        <w:tc>
          <w:tcPr>
            <w:tcW w:w="120" w:type="dxa"/>
            <w:vAlign w:val="bottom"/>
          </w:tcPr>
          <w:p w:rsidR="000728AD" w:rsidRDefault="000728AD">
            <w:pPr>
              <w:rPr>
                <w:sz w:val="21"/>
                <w:szCs w:val="21"/>
              </w:rPr>
            </w:pPr>
          </w:p>
        </w:tc>
        <w:tc>
          <w:tcPr>
            <w:tcW w:w="340" w:type="dxa"/>
            <w:vAlign w:val="bottom"/>
          </w:tcPr>
          <w:p w:rsidR="000728AD" w:rsidRDefault="000728AD">
            <w:pPr>
              <w:rPr>
                <w:sz w:val="21"/>
                <w:szCs w:val="21"/>
              </w:rPr>
            </w:pPr>
          </w:p>
        </w:tc>
        <w:tc>
          <w:tcPr>
            <w:tcW w:w="1180" w:type="dxa"/>
            <w:vAlign w:val="bottom"/>
          </w:tcPr>
          <w:p w:rsidR="000728AD" w:rsidRDefault="000561BE">
            <w:pPr>
              <w:jc w:val="right"/>
              <w:rPr>
                <w:sz w:val="20"/>
                <w:szCs w:val="20"/>
              </w:rPr>
            </w:pPr>
            <w:r>
              <w:rPr>
                <w:rFonts w:ascii="Arial" w:eastAsia="Arial" w:hAnsi="Arial" w:cs="Arial"/>
                <w:sz w:val="20"/>
                <w:szCs w:val="20"/>
              </w:rPr>
              <w:t>29,273</w:t>
            </w:r>
          </w:p>
        </w:tc>
      </w:tr>
      <w:tr w:rsidR="000728AD">
        <w:trPr>
          <w:trHeight w:val="243"/>
        </w:trPr>
        <w:tc>
          <w:tcPr>
            <w:tcW w:w="8080" w:type="dxa"/>
            <w:shd w:val="clear" w:color="auto" w:fill="CCEEFF"/>
            <w:vAlign w:val="bottom"/>
          </w:tcPr>
          <w:p w:rsidR="000728AD" w:rsidRDefault="000561BE">
            <w:pPr>
              <w:ind w:left="20"/>
              <w:rPr>
                <w:sz w:val="20"/>
                <w:szCs w:val="20"/>
              </w:rPr>
            </w:pPr>
            <w:r>
              <w:rPr>
                <w:rFonts w:ascii="Arial" w:eastAsia="Arial" w:hAnsi="Arial" w:cs="Arial"/>
                <w:sz w:val="20"/>
                <w:szCs w:val="20"/>
              </w:rPr>
              <w:t xml:space="preserve">Cash and cash </w:t>
            </w:r>
            <w:r>
              <w:rPr>
                <w:rFonts w:ascii="Arial" w:eastAsia="Arial" w:hAnsi="Arial" w:cs="Arial"/>
                <w:sz w:val="20"/>
                <w:szCs w:val="20"/>
              </w:rPr>
              <w:t>equivalents, beginning of period</w:t>
            </w:r>
          </w:p>
        </w:tc>
        <w:tc>
          <w:tcPr>
            <w:tcW w:w="360" w:type="dxa"/>
            <w:tcBorders>
              <w:bottom w:val="single" w:sz="8" w:space="0" w:color="auto"/>
            </w:tcBorders>
            <w:shd w:val="clear" w:color="auto" w:fill="CCEEFF"/>
            <w:vAlign w:val="bottom"/>
          </w:tcPr>
          <w:p w:rsidR="000728AD" w:rsidRDefault="000728AD">
            <w:pPr>
              <w:rPr>
                <w:sz w:val="21"/>
                <w:szCs w:val="21"/>
              </w:rPr>
            </w:pPr>
          </w:p>
        </w:tc>
        <w:tc>
          <w:tcPr>
            <w:tcW w:w="116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71,590</w:t>
            </w:r>
          </w:p>
        </w:tc>
        <w:tc>
          <w:tcPr>
            <w:tcW w:w="120" w:type="dxa"/>
            <w:shd w:val="clear" w:color="auto" w:fill="CCEEFF"/>
            <w:vAlign w:val="bottom"/>
          </w:tcPr>
          <w:p w:rsidR="000728AD" w:rsidRDefault="000728AD">
            <w:pPr>
              <w:rPr>
                <w:sz w:val="21"/>
                <w:szCs w:val="21"/>
              </w:rPr>
            </w:pPr>
          </w:p>
        </w:tc>
        <w:tc>
          <w:tcPr>
            <w:tcW w:w="340" w:type="dxa"/>
            <w:tcBorders>
              <w:bottom w:val="single" w:sz="8" w:space="0" w:color="auto"/>
            </w:tcBorders>
            <w:shd w:val="clear" w:color="auto" w:fill="CCEEFF"/>
            <w:vAlign w:val="bottom"/>
          </w:tcPr>
          <w:p w:rsidR="000728AD" w:rsidRDefault="000728AD">
            <w:pPr>
              <w:rPr>
                <w:sz w:val="21"/>
                <w:szCs w:val="21"/>
              </w:rPr>
            </w:pPr>
          </w:p>
        </w:tc>
        <w:tc>
          <w:tcPr>
            <w:tcW w:w="118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92,053</w:t>
            </w:r>
          </w:p>
        </w:tc>
      </w:tr>
      <w:tr w:rsidR="000728AD">
        <w:trPr>
          <w:trHeight w:val="236"/>
        </w:trPr>
        <w:tc>
          <w:tcPr>
            <w:tcW w:w="8080" w:type="dxa"/>
            <w:vAlign w:val="bottom"/>
          </w:tcPr>
          <w:p w:rsidR="000728AD" w:rsidRDefault="000561BE">
            <w:pPr>
              <w:ind w:left="20"/>
              <w:rPr>
                <w:sz w:val="20"/>
                <w:szCs w:val="20"/>
              </w:rPr>
            </w:pPr>
            <w:r>
              <w:rPr>
                <w:rFonts w:ascii="Arial" w:eastAsia="Arial" w:hAnsi="Arial" w:cs="Arial"/>
                <w:sz w:val="20"/>
                <w:szCs w:val="20"/>
              </w:rPr>
              <w:t>Cash and cash equivalents, end of period</w:t>
            </w:r>
          </w:p>
        </w:tc>
        <w:tc>
          <w:tcPr>
            <w:tcW w:w="360" w:type="dxa"/>
            <w:tcBorders>
              <w:bottom w:val="single" w:sz="8" w:space="0" w:color="auto"/>
            </w:tcBorders>
            <w:vAlign w:val="bottom"/>
          </w:tcPr>
          <w:p w:rsidR="000728AD" w:rsidRDefault="000561BE">
            <w:pPr>
              <w:ind w:right="14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33,940</w:t>
            </w:r>
          </w:p>
        </w:tc>
        <w:tc>
          <w:tcPr>
            <w:tcW w:w="120" w:type="dxa"/>
            <w:vAlign w:val="bottom"/>
          </w:tcPr>
          <w:p w:rsidR="000728AD" w:rsidRDefault="000728AD">
            <w:pPr>
              <w:rPr>
                <w:sz w:val="20"/>
                <w:szCs w:val="20"/>
              </w:rPr>
            </w:pPr>
          </w:p>
        </w:tc>
        <w:tc>
          <w:tcPr>
            <w:tcW w:w="340" w:type="dxa"/>
            <w:tcBorders>
              <w:bottom w:val="single" w:sz="8" w:space="0" w:color="auto"/>
            </w:tcBorders>
            <w:vAlign w:val="bottom"/>
          </w:tcPr>
          <w:p w:rsidR="000728AD" w:rsidRDefault="000561BE">
            <w:pPr>
              <w:ind w:right="121"/>
              <w:jc w:val="right"/>
              <w:rPr>
                <w:sz w:val="20"/>
                <w:szCs w:val="20"/>
              </w:rPr>
            </w:pPr>
            <w:r>
              <w:rPr>
                <w:rFonts w:ascii="Arial" w:eastAsia="Arial" w:hAnsi="Arial" w:cs="Arial"/>
                <w:w w:val="89"/>
                <w:sz w:val="20"/>
                <w:szCs w:val="20"/>
              </w:rPr>
              <w:t>$</w:t>
            </w:r>
          </w:p>
        </w:tc>
        <w:tc>
          <w:tcPr>
            <w:tcW w:w="118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121,326</w:t>
            </w:r>
          </w:p>
        </w:tc>
      </w:tr>
      <w:tr w:rsidR="000728AD">
        <w:trPr>
          <w:trHeight w:val="20"/>
        </w:trPr>
        <w:tc>
          <w:tcPr>
            <w:tcW w:w="8080" w:type="dxa"/>
            <w:tcBorders>
              <w:bottom w:val="single" w:sz="8" w:space="0" w:color="CCEEFF"/>
            </w:tcBorders>
            <w:vAlign w:val="bottom"/>
          </w:tcPr>
          <w:p w:rsidR="000728AD" w:rsidRDefault="000728AD">
            <w:pPr>
              <w:spacing w:line="20" w:lineRule="exact"/>
              <w:rPr>
                <w:sz w:val="1"/>
                <w:szCs w:val="1"/>
              </w:rPr>
            </w:pPr>
          </w:p>
        </w:tc>
        <w:tc>
          <w:tcPr>
            <w:tcW w:w="360" w:type="dxa"/>
            <w:tcBorders>
              <w:bottom w:val="single" w:sz="8" w:space="0" w:color="auto"/>
            </w:tcBorders>
            <w:vAlign w:val="bottom"/>
          </w:tcPr>
          <w:p w:rsidR="000728AD" w:rsidRDefault="000728AD">
            <w:pPr>
              <w:spacing w:line="20" w:lineRule="exact"/>
              <w:rPr>
                <w:sz w:val="1"/>
                <w:szCs w:val="1"/>
              </w:rPr>
            </w:pPr>
          </w:p>
        </w:tc>
        <w:tc>
          <w:tcPr>
            <w:tcW w:w="1160" w:type="dxa"/>
            <w:tcBorders>
              <w:bottom w:val="single" w:sz="8" w:space="0" w:color="auto"/>
            </w:tcBorders>
            <w:vAlign w:val="bottom"/>
          </w:tcPr>
          <w:p w:rsidR="000728AD" w:rsidRDefault="000728AD">
            <w:pPr>
              <w:spacing w:line="20" w:lineRule="exact"/>
              <w:rPr>
                <w:sz w:val="1"/>
                <w:szCs w:val="1"/>
              </w:rPr>
            </w:pPr>
          </w:p>
        </w:tc>
        <w:tc>
          <w:tcPr>
            <w:tcW w:w="120" w:type="dxa"/>
            <w:tcBorders>
              <w:bottom w:val="single" w:sz="8" w:space="0" w:color="CCEEFF"/>
            </w:tcBorders>
            <w:vAlign w:val="bottom"/>
          </w:tcPr>
          <w:p w:rsidR="000728AD" w:rsidRDefault="000728AD">
            <w:pPr>
              <w:spacing w:line="20" w:lineRule="exact"/>
              <w:rPr>
                <w:sz w:val="1"/>
                <w:szCs w:val="1"/>
              </w:rPr>
            </w:pPr>
          </w:p>
        </w:tc>
        <w:tc>
          <w:tcPr>
            <w:tcW w:w="340" w:type="dxa"/>
            <w:tcBorders>
              <w:bottom w:val="single" w:sz="8" w:space="0" w:color="auto"/>
            </w:tcBorders>
            <w:vAlign w:val="bottom"/>
          </w:tcPr>
          <w:p w:rsidR="000728AD" w:rsidRDefault="000728AD">
            <w:pPr>
              <w:spacing w:line="20" w:lineRule="exact"/>
              <w:rPr>
                <w:sz w:val="1"/>
                <w:szCs w:val="1"/>
              </w:rPr>
            </w:pPr>
          </w:p>
        </w:tc>
        <w:tc>
          <w:tcPr>
            <w:tcW w:w="1180" w:type="dxa"/>
            <w:tcBorders>
              <w:bottom w:val="single" w:sz="8" w:space="0" w:color="auto"/>
            </w:tcBorders>
            <w:vAlign w:val="bottom"/>
          </w:tcPr>
          <w:p w:rsidR="000728AD" w:rsidRDefault="000728AD">
            <w:pPr>
              <w:spacing w:line="20" w:lineRule="exact"/>
              <w:rPr>
                <w:sz w:val="1"/>
                <w:szCs w:val="1"/>
              </w:rPr>
            </w:pPr>
          </w:p>
        </w:tc>
      </w:tr>
      <w:tr w:rsidR="000728AD">
        <w:trPr>
          <w:trHeight w:val="129"/>
        </w:trPr>
        <w:tc>
          <w:tcPr>
            <w:tcW w:w="8080" w:type="dxa"/>
            <w:shd w:val="clear" w:color="auto" w:fill="CCEEFF"/>
            <w:vAlign w:val="bottom"/>
          </w:tcPr>
          <w:p w:rsidR="000728AD" w:rsidRDefault="000728AD">
            <w:pPr>
              <w:rPr>
                <w:sz w:val="11"/>
                <w:szCs w:val="11"/>
              </w:rPr>
            </w:pPr>
          </w:p>
        </w:tc>
        <w:tc>
          <w:tcPr>
            <w:tcW w:w="360" w:type="dxa"/>
            <w:shd w:val="clear" w:color="auto" w:fill="CCEEFF"/>
            <w:vAlign w:val="bottom"/>
          </w:tcPr>
          <w:p w:rsidR="000728AD" w:rsidRDefault="000728AD">
            <w:pPr>
              <w:rPr>
                <w:sz w:val="11"/>
                <w:szCs w:val="11"/>
              </w:rPr>
            </w:pPr>
          </w:p>
        </w:tc>
        <w:tc>
          <w:tcPr>
            <w:tcW w:w="1160" w:type="dxa"/>
            <w:shd w:val="clear" w:color="auto" w:fill="CCEEFF"/>
            <w:vAlign w:val="bottom"/>
          </w:tcPr>
          <w:p w:rsidR="000728AD" w:rsidRDefault="000728AD">
            <w:pPr>
              <w:rPr>
                <w:sz w:val="11"/>
                <w:szCs w:val="11"/>
              </w:rPr>
            </w:pPr>
          </w:p>
        </w:tc>
        <w:tc>
          <w:tcPr>
            <w:tcW w:w="120" w:type="dxa"/>
            <w:shd w:val="clear" w:color="auto" w:fill="CCEEFF"/>
            <w:vAlign w:val="bottom"/>
          </w:tcPr>
          <w:p w:rsidR="000728AD" w:rsidRDefault="000728AD">
            <w:pPr>
              <w:rPr>
                <w:sz w:val="11"/>
                <w:szCs w:val="11"/>
              </w:rPr>
            </w:pPr>
          </w:p>
        </w:tc>
        <w:tc>
          <w:tcPr>
            <w:tcW w:w="340" w:type="dxa"/>
            <w:shd w:val="clear" w:color="auto" w:fill="CCEEFF"/>
            <w:vAlign w:val="bottom"/>
          </w:tcPr>
          <w:p w:rsidR="000728AD" w:rsidRDefault="000728AD">
            <w:pPr>
              <w:rPr>
                <w:sz w:val="11"/>
                <w:szCs w:val="11"/>
              </w:rPr>
            </w:pPr>
          </w:p>
        </w:tc>
        <w:tc>
          <w:tcPr>
            <w:tcW w:w="1180" w:type="dxa"/>
            <w:shd w:val="clear" w:color="auto" w:fill="CCEEFF"/>
            <w:vAlign w:val="bottom"/>
          </w:tcPr>
          <w:p w:rsidR="000728AD" w:rsidRDefault="000728AD">
            <w:pPr>
              <w:rPr>
                <w:sz w:val="11"/>
                <w:szCs w:val="11"/>
              </w:rPr>
            </w:pPr>
          </w:p>
        </w:tc>
      </w:tr>
      <w:tr w:rsidR="000728AD">
        <w:trPr>
          <w:trHeight w:val="243"/>
        </w:trPr>
        <w:tc>
          <w:tcPr>
            <w:tcW w:w="8080" w:type="dxa"/>
            <w:vAlign w:val="bottom"/>
          </w:tcPr>
          <w:p w:rsidR="000728AD" w:rsidRDefault="000561BE">
            <w:pPr>
              <w:ind w:left="20"/>
              <w:rPr>
                <w:sz w:val="20"/>
                <w:szCs w:val="20"/>
              </w:rPr>
            </w:pPr>
            <w:r>
              <w:rPr>
                <w:rFonts w:ascii="Arial" w:eastAsia="Arial" w:hAnsi="Arial" w:cs="Arial"/>
                <w:b/>
                <w:bCs/>
                <w:sz w:val="20"/>
                <w:szCs w:val="20"/>
              </w:rPr>
              <w:t>Supplemental cash flow information:</w:t>
            </w:r>
          </w:p>
        </w:tc>
        <w:tc>
          <w:tcPr>
            <w:tcW w:w="360" w:type="dxa"/>
            <w:vAlign w:val="bottom"/>
          </w:tcPr>
          <w:p w:rsidR="000728AD" w:rsidRDefault="000728AD">
            <w:pPr>
              <w:rPr>
                <w:sz w:val="21"/>
                <w:szCs w:val="21"/>
              </w:rPr>
            </w:pPr>
          </w:p>
        </w:tc>
        <w:tc>
          <w:tcPr>
            <w:tcW w:w="1160" w:type="dxa"/>
            <w:vAlign w:val="bottom"/>
          </w:tcPr>
          <w:p w:rsidR="000728AD" w:rsidRDefault="000728AD">
            <w:pPr>
              <w:rPr>
                <w:sz w:val="21"/>
                <w:szCs w:val="21"/>
              </w:rPr>
            </w:pPr>
          </w:p>
        </w:tc>
        <w:tc>
          <w:tcPr>
            <w:tcW w:w="120" w:type="dxa"/>
            <w:vAlign w:val="bottom"/>
          </w:tcPr>
          <w:p w:rsidR="000728AD" w:rsidRDefault="000728AD">
            <w:pPr>
              <w:rPr>
                <w:sz w:val="21"/>
                <w:szCs w:val="21"/>
              </w:rPr>
            </w:pPr>
          </w:p>
        </w:tc>
        <w:tc>
          <w:tcPr>
            <w:tcW w:w="340" w:type="dxa"/>
            <w:vAlign w:val="bottom"/>
          </w:tcPr>
          <w:p w:rsidR="000728AD" w:rsidRDefault="000728AD">
            <w:pPr>
              <w:rPr>
                <w:sz w:val="21"/>
                <w:szCs w:val="21"/>
              </w:rPr>
            </w:pPr>
          </w:p>
        </w:tc>
        <w:tc>
          <w:tcPr>
            <w:tcW w:w="1180" w:type="dxa"/>
            <w:vAlign w:val="bottom"/>
          </w:tcPr>
          <w:p w:rsidR="000728AD" w:rsidRDefault="000728AD">
            <w:pPr>
              <w:rPr>
                <w:sz w:val="21"/>
                <w:szCs w:val="21"/>
              </w:rPr>
            </w:pPr>
          </w:p>
        </w:tc>
      </w:tr>
      <w:tr w:rsidR="000728AD">
        <w:trPr>
          <w:trHeight w:val="243"/>
        </w:trPr>
        <w:tc>
          <w:tcPr>
            <w:tcW w:w="8080" w:type="dxa"/>
            <w:shd w:val="clear" w:color="auto" w:fill="CCEEFF"/>
            <w:vAlign w:val="bottom"/>
          </w:tcPr>
          <w:p w:rsidR="000728AD" w:rsidRDefault="000561BE">
            <w:pPr>
              <w:ind w:left="20"/>
              <w:rPr>
                <w:sz w:val="20"/>
                <w:szCs w:val="20"/>
              </w:rPr>
            </w:pPr>
            <w:r>
              <w:rPr>
                <w:rFonts w:ascii="Arial" w:eastAsia="Arial" w:hAnsi="Arial" w:cs="Arial"/>
                <w:sz w:val="20"/>
                <w:szCs w:val="20"/>
              </w:rPr>
              <w:t>Cash paid for interest</w:t>
            </w:r>
          </w:p>
        </w:tc>
        <w:tc>
          <w:tcPr>
            <w:tcW w:w="360" w:type="dxa"/>
            <w:shd w:val="clear" w:color="auto" w:fill="CCEEFF"/>
            <w:vAlign w:val="bottom"/>
          </w:tcPr>
          <w:p w:rsidR="000728AD" w:rsidRDefault="000561BE">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rsidR="000728AD" w:rsidRDefault="000561BE">
            <w:pPr>
              <w:jc w:val="right"/>
              <w:rPr>
                <w:sz w:val="20"/>
                <w:szCs w:val="20"/>
              </w:rPr>
            </w:pPr>
            <w:r>
              <w:rPr>
                <w:rFonts w:ascii="Arial" w:eastAsia="Arial" w:hAnsi="Arial" w:cs="Arial"/>
                <w:sz w:val="20"/>
                <w:szCs w:val="20"/>
              </w:rPr>
              <w:t>1,137</w:t>
            </w:r>
          </w:p>
        </w:tc>
        <w:tc>
          <w:tcPr>
            <w:tcW w:w="120" w:type="dxa"/>
            <w:shd w:val="clear" w:color="auto" w:fill="CCEEFF"/>
            <w:vAlign w:val="bottom"/>
          </w:tcPr>
          <w:p w:rsidR="000728AD" w:rsidRDefault="000728AD">
            <w:pPr>
              <w:rPr>
                <w:sz w:val="21"/>
                <w:szCs w:val="21"/>
              </w:rPr>
            </w:pPr>
          </w:p>
        </w:tc>
        <w:tc>
          <w:tcPr>
            <w:tcW w:w="340" w:type="dxa"/>
            <w:shd w:val="clear" w:color="auto" w:fill="CCEEFF"/>
            <w:vAlign w:val="bottom"/>
          </w:tcPr>
          <w:p w:rsidR="000728AD" w:rsidRDefault="000561BE">
            <w:pPr>
              <w:ind w:right="121"/>
              <w:jc w:val="right"/>
              <w:rPr>
                <w:sz w:val="20"/>
                <w:szCs w:val="20"/>
              </w:rPr>
            </w:pPr>
            <w:r>
              <w:rPr>
                <w:rFonts w:ascii="Arial" w:eastAsia="Arial" w:hAnsi="Arial" w:cs="Arial"/>
                <w:w w:val="89"/>
                <w:sz w:val="20"/>
                <w:szCs w:val="20"/>
              </w:rPr>
              <w:t>$</w:t>
            </w:r>
          </w:p>
        </w:tc>
        <w:tc>
          <w:tcPr>
            <w:tcW w:w="1180" w:type="dxa"/>
            <w:shd w:val="clear" w:color="auto" w:fill="CCEEFF"/>
            <w:vAlign w:val="bottom"/>
          </w:tcPr>
          <w:p w:rsidR="000728AD" w:rsidRDefault="000561BE">
            <w:pPr>
              <w:jc w:val="right"/>
              <w:rPr>
                <w:sz w:val="20"/>
                <w:szCs w:val="20"/>
              </w:rPr>
            </w:pPr>
            <w:r>
              <w:rPr>
                <w:rFonts w:ascii="Arial" w:eastAsia="Arial" w:hAnsi="Arial" w:cs="Arial"/>
                <w:sz w:val="20"/>
                <w:szCs w:val="20"/>
              </w:rPr>
              <w:t>570</w:t>
            </w:r>
          </w:p>
        </w:tc>
      </w:tr>
      <w:tr w:rsidR="000728AD">
        <w:trPr>
          <w:trHeight w:val="257"/>
        </w:trPr>
        <w:tc>
          <w:tcPr>
            <w:tcW w:w="8080" w:type="dxa"/>
            <w:vAlign w:val="bottom"/>
          </w:tcPr>
          <w:p w:rsidR="000728AD" w:rsidRDefault="000728AD"/>
        </w:tc>
        <w:tc>
          <w:tcPr>
            <w:tcW w:w="360" w:type="dxa"/>
            <w:vAlign w:val="bottom"/>
          </w:tcPr>
          <w:p w:rsidR="000728AD" w:rsidRDefault="000728AD"/>
        </w:tc>
        <w:tc>
          <w:tcPr>
            <w:tcW w:w="1160" w:type="dxa"/>
            <w:vAlign w:val="bottom"/>
          </w:tcPr>
          <w:p w:rsidR="000728AD" w:rsidRDefault="000728AD"/>
        </w:tc>
        <w:tc>
          <w:tcPr>
            <w:tcW w:w="120" w:type="dxa"/>
            <w:vAlign w:val="bottom"/>
          </w:tcPr>
          <w:p w:rsidR="000728AD" w:rsidRDefault="000728AD"/>
        </w:tc>
        <w:tc>
          <w:tcPr>
            <w:tcW w:w="340" w:type="dxa"/>
            <w:vAlign w:val="bottom"/>
          </w:tcPr>
          <w:p w:rsidR="000728AD" w:rsidRDefault="000728AD"/>
        </w:tc>
        <w:tc>
          <w:tcPr>
            <w:tcW w:w="1180" w:type="dxa"/>
            <w:vAlign w:val="bottom"/>
          </w:tcPr>
          <w:p w:rsidR="000728AD" w:rsidRDefault="000728AD"/>
        </w:tc>
      </w:tr>
      <w:tr w:rsidR="000728AD">
        <w:trPr>
          <w:trHeight w:val="243"/>
        </w:trPr>
        <w:tc>
          <w:tcPr>
            <w:tcW w:w="8080" w:type="dxa"/>
            <w:shd w:val="clear" w:color="auto" w:fill="CCEEFF"/>
            <w:vAlign w:val="bottom"/>
          </w:tcPr>
          <w:p w:rsidR="000728AD" w:rsidRDefault="000561BE">
            <w:pPr>
              <w:ind w:left="20"/>
              <w:rPr>
                <w:sz w:val="20"/>
                <w:szCs w:val="20"/>
              </w:rPr>
            </w:pPr>
            <w:r>
              <w:rPr>
                <w:rFonts w:ascii="Arial" w:eastAsia="Arial" w:hAnsi="Arial" w:cs="Arial"/>
                <w:b/>
                <w:bCs/>
                <w:sz w:val="20"/>
                <w:szCs w:val="20"/>
              </w:rPr>
              <w:t xml:space="preserve">Supplemental disclosure of </w:t>
            </w:r>
            <w:r>
              <w:rPr>
                <w:rFonts w:ascii="Arial" w:eastAsia="Arial" w:hAnsi="Arial" w:cs="Arial"/>
                <w:b/>
                <w:bCs/>
                <w:sz w:val="20"/>
                <w:szCs w:val="20"/>
              </w:rPr>
              <w:t>non-cash investing and financing activities:</w:t>
            </w:r>
          </w:p>
        </w:tc>
        <w:tc>
          <w:tcPr>
            <w:tcW w:w="360" w:type="dxa"/>
            <w:shd w:val="clear" w:color="auto" w:fill="CCEEFF"/>
            <w:vAlign w:val="bottom"/>
          </w:tcPr>
          <w:p w:rsidR="000728AD" w:rsidRDefault="000728AD">
            <w:pPr>
              <w:rPr>
                <w:sz w:val="21"/>
                <w:szCs w:val="21"/>
              </w:rPr>
            </w:pPr>
          </w:p>
        </w:tc>
        <w:tc>
          <w:tcPr>
            <w:tcW w:w="1160" w:type="dxa"/>
            <w:shd w:val="clear" w:color="auto" w:fill="CCEEFF"/>
            <w:vAlign w:val="bottom"/>
          </w:tcPr>
          <w:p w:rsidR="000728AD" w:rsidRDefault="000728AD">
            <w:pPr>
              <w:rPr>
                <w:sz w:val="21"/>
                <w:szCs w:val="21"/>
              </w:rPr>
            </w:pPr>
          </w:p>
        </w:tc>
        <w:tc>
          <w:tcPr>
            <w:tcW w:w="120" w:type="dxa"/>
            <w:shd w:val="clear" w:color="auto" w:fill="CCEEFF"/>
            <w:vAlign w:val="bottom"/>
          </w:tcPr>
          <w:p w:rsidR="000728AD" w:rsidRDefault="000728AD">
            <w:pPr>
              <w:rPr>
                <w:sz w:val="21"/>
                <w:szCs w:val="21"/>
              </w:rPr>
            </w:pPr>
          </w:p>
        </w:tc>
        <w:tc>
          <w:tcPr>
            <w:tcW w:w="340" w:type="dxa"/>
            <w:shd w:val="clear" w:color="auto" w:fill="CCEEFF"/>
            <w:vAlign w:val="bottom"/>
          </w:tcPr>
          <w:p w:rsidR="000728AD" w:rsidRDefault="000728AD">
            <w:pPr>
              <w:rPr>
                <w:sz w:val="21"/>
                <w:szCs w:val="21"/>
              </w:rPr>
            </w:pPr>
          </w:p>
        </w:tc>
        <w:tc>
          <w:tcPr>
            <w:tcW w:w="1180" w:type="dxa"/>
            <w:shd w:val="clear" w:color="auto" w:fill="CCEEFF"/>
            <w:vAlign w:val="bottom"/>
          </w:tcPr>
          <w:p w:rsidR="000728AD" w:rsidRDefault="000728AD">
            <w:pPr>
              <w:rPr>
                <w:sz w:val="21"/>
                <w:szCs w:val="21"/>
              </w:rPr>
            </w:pPr>
          </w:p>
        </w:tc>
      </w:tr>
      <w:tr w:rsidR="000728AD">
        <w:trPr>
          <w:trHeight w:val="243"/>
        </w:trPr>
        <w:tc>
          <w:tcPr>
            <w:tcW w:w="8080" w:type="dxa"/>
            <w:vAlign w:val="bottom"/>
          </w:tcPr>
          <w:p w:rsidR="000728AD" w:rsidRDefault="000561BE">
            <w:pPr>
              <w:ind w:left="20"/>
              <w:rPr>
                <w:sz w:val="20"/>
                <w:szCs w:val="20"/>
              </w:rPr>
            </w:pPr>
            <w:r>
              <w:rPr>
                <w:rFonts w:ascii="Arial" w:eastAsia="Arial" w:hAnsi="Arial" w:cs="Arial"/>
                <w:sz w:val="20"/>
                <w:szCs w:val="20"/>
              </w:rPr>
              <w:t>Offering costs incurred but unpaid at period end</w:t>
            </w:r>
          </w:p>
        </w:tc>
        <w:tc>
          <w:tcPr>
            <w:tcW w:w="360" w:type="dxa"/>
            <w:vAlign w:val="bottom"/>
          </w:tcPr>
          <w:p w:rsidR="000728AD" w:rsidRDefault="000561BE">
            <w:pPr>
              <w:ind w:right="141"/>
              <w:jc w:val="right"/>
              <w:rPr>
                <w:sz w:val="20"/>
                <w:szCs w:val="20"/>
              </w:rPr>
            </w:pPr>
            <w:r>
              <w:rPr>
                <w:rFonts w:ascii="Arial" w:eastAsia="Arial" w:hAnsi="Arial" w:cs="Arial"/>
                <w:w w:val="89"/>
                <w:sz w:val="20"/>
                <w:szCs w:val="20"/>
              </w:rPr>
              <w:t>$</w:t>
            </w:r>
          </w:p>
        </w:tc>
        <w:tc>
          <w:tcPr>
            <w:tcW w:w="1160" w:type="dxa"/>
            <w:vAlign w:val="bottom"/>
          </w:tcPr>
          <w:p w:rsidR="000728AD" w:rsidRDefault="000561BE">
            <w:pPr>
              <w:jc w:val="right"/>
              <w:rPr>
                <w:sz w:val="20"/>
                <w:szCs w:val="20"/>
              </w:rPr>
            </w:pPr>
            <w:r>
              <w:rPr>
                <w:rFonts w:ascii="Arial" w:eastAsia="Arial" w:hAnsi="Arial" w:cs="Arial"/>
                <w:sz w:val="20"/>
                <w:szCs w:val="20"/>
              </w:rPr>
              <w:t>53</w:t>
            </w:r>
          </w:p>
        </w:tc>
        <w:tc>
          <w:tcPr>
            <w:tcW w:w="120" w:type="dxa"/>
            <w:vAlign w:val="bottom"/>
          </w:tcPr>
          <w:p w:rsidR="000728AD" w:rsidRDefault="000728AD">
            <w:pPr>
              <w:rPr>
                <w:sz w:val="21"/>
                <w:szCs w:val="21"/>
              </w:rPr>
            </w:pPr>
          </w:p>
        </w:tc>
        <w:tc>
          <w:tcPr>
            <w:tcW w:w="340" w:type="dxa"/>
            <w:vAlign w:val="bottom"/>
          </w:tcPr>
          <w:p w:rsidR="000728AD" w:rsidRDefault="000561BE">
            <w:pPr>
              <w:ind w:right="121"/>
              <w:jc w:val="right"/>
              <w:rPr>
                <w:sz w:val="20"/>
                <w:szCs w:val="20"/>
              </w:rPr>
            </w:pPr>
            <w:r>
              <w:rPr>
                <w:rFonts w:ascii="Arial" w:eastAsia="Arial" w:hAnsi="Arial" w:cs="Arial"/>
                <w:w w:val="89"/>
                <w:sz w:val="20"/>
                <w:szCs w:val="20"/>
              </w:rPr>
              <w:t>$</w:t>
            </w:r>
          </w:p>
        </w:tc>
        <w:tc>
          <w:tcPr>
            <w:tcW w:w="1180" w:type="dxa"/>
            <w:vAlign w:val="bottom"/>
          </w:tcPr>
          <w:p w:rsidR="000728AD" w:rsidRDefault="000561BE">
            <w:pPr>
              <w:jc w:val="right"/>
              <w:rPr>
                <w:sz w:val="20"/>
                <w:szCs w:val="20"/>
              </w:rPr>
            </w:pPr>
            <w:r>
              <w:rPr>
                <w:rFonts w:ascii="Arial" w:eastAsia="Arial" w:hAnsi="Arial" w:cs="Arial"/>
                <w:sz w:val="20"/>
                <w:szCs w:val="20"/>
              </w:rPr>
              <w:t>296</w:t>
            </w:r>
          </w:p>
        </w:tc>
      </w:tr>
      <w:tr w:rsidR="000728AD">
        <w:trPr>
          <w:trHeight w:val="243"/>
        </w:trPr>
        <w:tc>
          <w:tcPr>
            <w:tcW w:w="8080" w:type="dxa"/>
            <w:shd w:val="clear" w:color="auto" w:fill="CCEEFF"/>
            <w:vAlign w:val="bottom"/>
          </w:tcPr>
          <w:p w:rsidR="000728AD" w:rsidRDefault="000561BE">
            <w:pPr>
              <w:ind w:left="20"/>
              <w:rPr>
                <w:sz w:val="20"/>
                <w:szCs w:val="20"/>
              </w:rPr>
            </w:pPr>
            <w:r>
              <w:rPr>
                <w:rFonts w:ascii="Arial" w:eastAsia="Arial" w:hAnsi="Arial" w:cs="Arial"/>
                <w:sz w:val="20"/>
                <w:szCs w:val="20"/>
              </w:rPr>
              <w:t>Purchases of property and equipment included in accounts payable</w:t>
            </w:r>
          </w:p>
        </w:tc>
        <w:tc>
          <w:tcPr>
            <w:tcW w:w="360" w:type="dxa"/>
            <w:shd w:val="clear" w:color="auto" w:fill="CCEEFF"/>
            <w:vAlign w:val="bottom"/>
          </w:tcPr>
          <w:p w:rsidR="000728AD" w:rsidRDefault="000561BE">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rsidR="000728AD" w:rsidRDefault="000561BE">
            <w:pPr>
              <w:jc w:val="right"/>
              <w:rPr>
                <w:sz w:val="20"/>
                <w:szCs w:val="20"/>
              </w:rPr>
            </w:pPr>
            <w:r>
              <w:rPr>
                <w:rFonts w:ascii="Arial" w:eastAsia="Arial" w:hAnsi="Arial" w:cs="Arial"/>
                <w:sz w:val="20"/>
                <w:szCs w:val="20"/>
              </w:rPr>
              <w:t>17</w:t>
            </w:r>
          </w:p>
        </w:tc>
        <w:tc>
          <w:tcPr>
            <w:tcW w:w="120" w:type="dxa"/>
            <w:shd w:val="clear" w:color="auto" w:fill="CCEEFF"/>
            <w:vAlign w:val="bottom"/>
          </w:tcPr>
          <w:p w:rsidR="000728AD" w:rsidRDefault="000728AD">
            <w:pPr>
              <w:rPr>
                <w:sz w:val="21"/>
                <w:szCs w:val="21"/>
              </w:rPr>
            </w:pPr>
          </w:p>
        </w:tc>
        <w:tc>
          <w:tcPr>
            <w:tcW w:w="340" w:type="dxa"/>
            <w:shd w:val="clear" w:color="auto" w:fill="CCEEFF"/>
            <w:vAlign w:val="bottom"/>
          </w:tcPr>
          <w:p w:rsidR="000728AD" w:rsidRDefault="000561BE">
            <w:pPr>
              <w:ind w:right="121"/>
              <w:jc w:val="right"/>
              <w:rPr>
                <w:sz w:val="20"/>
                <w:szCs w:val="20"/>
              </w:rPr>
            </w:pPr>
            <w:r>
              <w:rPr>
                <w:rFonts w:ascii="Arial" w:eastAsia="Arial" w:hAnsi="Arial" w:cs="Arial"/>
                <w:w w:val="89"/>
                <w:sz w:val="20"/>
                <w:szCs w:val="20"/>
              </w:rPr>
              <w:t>$</w:t>
            </w:r>
          </w:p>
        </w:tc>
        <w:tc>
          <w:tcPr>
            <w:tcW w:w="1180" w:type="dxa"/>
            <w:shd w:val="clear" w:color="auto" w:fill="CCEEFF"/>
            <w:vAlign w:val="bottom"/>
          </w:tcPr>
          <w:p w:rsidR="000728AD" w:rsidRDefault="000561BE">
            <w:pPr>
              <w:jc w:val="right"/>
              <w:rPr>
                <w:sz w:val="20"/>
                <w:szCs w:val="20"/>
              </w:rPr>
            </w:pPr>
            <w:r>
              <w:rPr>
                <w:rFonts w:ascii="Arial" w:eastAsia="Arial" w:hAnsi="Arial" w:cs="Arial"/>
                <w:sz w:val="20"/>
                <w:szCs w:val="20"/>
              </w:rPr>
              <w:t>—</w:t>
            </w:r>
          </w:p>
        </w:tc>
      </w:tr>
      <w:tr w:rsidR="000728AD">
        <w:trPr>
          <w:trHeight w:val="250"/>
        </w:trPr>
        <w:tc>
          <w:tcPr>
            <w:tcW w:w="8080" w:type="dxa"/>
            <w:vAlign w:val="bottom"/>
          </w:tcPr>
          <w:p w:rsidR="000728AD" w:rsidRDefault="000561BE">
            <w:pPr>
              <w:ind w:left="20"/>
              <w:rPr>
                <w:sz w:val="20"/>
                <w:szCs w:val="20"/>
              </w:rPr>
            </w:pPr>
            <w:r>
              <w:rPr>
                <w:rFonts w:ascii="Arial" w:eastAsia="Arial" w:hAnsi="Arial" w:cs="Arial"/>
                <w:sz w:val="20"/>
                <w:szCs w:val="20"/>
              </w:rPr>
              <w:t>Property and equipment acquired via capital lease</w:t>
            </w:r>
          </w:p>
        </w:tc>
        <w:tc>
          <w:tcPr>
            <w:tcW w:w="360" w:type="dxa"/>
            <w:vAlign w:val="bottom"/>
          </w:tcPr>
          <w:p w:rsidR="000728AD" w:rsidRDefault="000561BE">
            <w:pPr>
              <w:ind w:right="141"/>
              <w:jc w:val="right"/>
              <w:rPr>
                <w:sz w:val="20"/>
                <w:szCs w:val="20"/>
              </w:rPr>
            </w:pPr>
            <w:r>
              <w:rPr>
                <w:rFonts w:ascii="Arial" w:eastAsia="Arial" w:hAnsi="Arial" w:cs="Arial"/>
                <w:w w:val="89"/>
                <w:sz w:val="20"/>
                <w:szCs w:val="20"/>
              </w:rPr>
              <w:t>$</w:t>
            </w:r>
          </w:p>
        </w:tc>
        <w:tc>
          <w:tcPr>
            <w:tcW w:w="1160" w:type="dxa"/>
            <w:vAlign w:val="bottom"/>
          </w:tcPr>
          <w:p w:rsidR="000728AD" w:rsidRDefault="000561BE">
            <w:pPr>
              <w:jc w:val="right"/>
              <w:rPr>
                <w:sz w:val="20"/>
                <w:szCs w:val="20"/>
              </w:rPr>
            </w:pPr>
            <w:r>
              <w:rPr>
                <w:rFonts w:ascii="Arial" w:eastAsia="Arial" w:hAnsi="Arial" w:cs="Arial"/>
                <w:sz w:val="20"/>
                <w:szCs w:val="20"/>
              </w:rPr>
              <w:t>534</w:t>
            </w:r>
          </w:p>
        </w:tc>
        <w:tc>
          <w:tcPr>
            <w:tcW w:w="120" w:type="dxa"/>
            <w:vAlign w:val="bottom"/>
          </w:tcPr>
          <w:p w:rsidR="000728AD" w:rsidRDefault="000728AD">
            <w:pPr>
              <w:rPr>
                <w:sz w:val="21"/>
                <w:szCs w:val="21"/>
              </w:rPr>
            </w:pPr>
          </w:p>
        </w:tc>
        <w:tc>
          <w:tcPr>
            <w:tcW w:w="340" w:type="dxa"/>
            <w:vAlign w:val="bottom"/>
          </w:tcPr>
          <w:p w:rsidR="000728AD" w:rsidRDefault="000561BE">
            <w:pPr>
              <w:ind w:right="121"/>
              <w:jc w:val="right"/>
              <w:rPr>
                <w:sz w:val="20"/>
                <w:szCs w:val="20"/>
              </w:rPr>
            </w:pPr>
            <w:r>
              <w:rPr>
                <w:rFonts w:ascii="Arial" w:eastAsia="Arial" w:hAnsi="Arial" w:cs="Arial"/>
                <w:w w:val="89"/>
                <w:sz w:val="20"/>
                <w:szCs w:val="20"/>
              </w:rPr>
              <w:t>$</w:t>
            </w:r>
          </w:p>
        </w:tc>
        <w:tc>
          <w:tcPr>
            <w:tcW w:w="1180" w:type="dxa"/>
            <w:vAlign w:val="bottom"/>
          </w:tcPr>
          <w:p w:rsidR="000728AD" w:rsidRDefault="000561BE">
            <w:pPr>
              <w:jc w:val="right"/>
              <w:rPr>
                <w:sz w:val="20"/>
                <w:szCs w:val="20"/>
              </w:rPr>
            </w:pPr>
            <w:r>
              <w:rPr>
                <w:rFonts w:ascii="Arial" w:eastAsia="Arial" w:hAnsi="Arial" w:cs="Arial"/>
                <w:sz w:val="20"/>
                <w:szCs w:val="20"/>
              </w:rPr>
              <w:t>—</w:t>
            </w:r>
          </w:p>
        </w:tc>
      </w:tr>
    </w:tbl>
    <w:p w:rsidR="000728AD" w:rsidRDefault="000728AD">
      <w:pPr>
        <w:spacing w:line="286" w:lineRule="exact"/>
        <w:rPr>
          <w:sz w:val="20"/>
          <w:szCs w:val="20"/>
        </w:rPr>
      </w:pPr>
    </w:p>
    <w:p w:rsidR="000728AD" w:rsidRDefault="000561BE">
      <w:pPr>
        <w:jc w:val="center"/>
        <w:rPr>
          <w:sz w:val="20"/>
          <w:szCs w:val="20"/>
        </w:rPr>
      </w:pPr>
      <w:r>
        <w:rPr>
          <w:rFonts w:ascii="Arial" w:eastAsia="Arial" w:hAnsi="Arial" w:cs="Arial"/>
          <w:sz w:val="20"/>
          <w:szCs w:val="20"/>
        </w:rPr>
        <w:t>The accompanying notes are an integral part of these unaudited condensed consolidated financial statements.</w:t>
      </w:r>
    </w:p>
    <w:p w:rsidR="000728AD" w:rsidRDefault="000728AD">
      <w:pPr>
        <w:spacing w:line="200" w:lineRule="exact"/>
        <w:rPr>
          <w:sz w:val="20"/>
          <w:szCs w:val="20"/>
        </w:rPr>
      </w:pPr>
    </w:p>
    <w:p w:rsidR="000728AD" w:rsidRDefault="000728AD">
      <w:pPr>
        <w:spacing w:line="396" w:lineRule="exact"/>
        <w:rPr>
          <w:sz w:val="20"/>
          <w:szCs w:val="20"/>
        </w:rPr>
      </w:pPr>
    </w:p>
    <w:p w:rsidR="000728AD" w:rsidRDefault="000561BE">
      <w:pPr>
        <w:jc w:val="center"/>
        <w:rPr>
          <w:sz w:val="20"/>
          <w:szCs w:val="20"/>
        </w:rPr>
      </w:pPr>
      <w:r>
        <w:rPr>
          <w:rFonts w:ascii="Arial" w:eastAsia="Arial" w:hAnsi="Arial" w:cs="Arial"/>
          <w:sz w:val="18"/>
          <w:szCs w:val="18"/>
        </w:rPr>
        <w:t>7</w:t>
      </w:r>
    </w:p>
    <w:p w:rsidR="000728AD" w:rsidRDefault="000561BE">
      <w:pPr>
        <w:spacing w:line="20" w:lineRule="exact"/>
        <w:rPr>
          <w:sz w:val="20"/>
          <w:szCs w:val="20"/>
        </w:rPr>
      </w:pPr>
      <w:r>
        <w:rPr>
          <w:noProof/>
          <w:sz w:val="20"/>
          <w:szCs w:val="20"/>
        </w:rPr>
        <w:drawing>
          <wp:anchor distT="0" distB="0" distL="114300" distR="114300" simplePos="0" relativeHeight="251609088"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8" w:name="page8"/>
    <w:bookmarkEnd w:id="8"/>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395" w:lineRule="exact"/>
        <w:rPr>
          <w:sz w:val="20"/>
          <w:szCs w:val="20"/>
        </w:rPr>
      </w:pPr>
    </w:p>
    <w:p w:rsidR="000728AD" w:rsidRDefault="000561BE">
      <w:pPr>
        <w:jc w:val="center"/>
        <w:rPr>
          <w:sz w:val="20"/>
          <w:szCs w:val="20"/>
        </w:rPr>
      </w:pPr>
      <w:r>
        <w:rPr>
          <w:rFonts w:ascii="Arial" w:eastAsia="Arial" w:hAnsi="Arial" w:cs="Arial"/>
          <w:b/>
          <w:bCs/>
          <w:sz w:val="20"/>
          <w:szCs w:val="20"/>
        </w:rPr>
        <w:t>AXCELLA HEALTH INC.</w:t>
      </w:r>
    </w:p>
    <w:p w:rsidR="000728AD" w:rsidRDefault="000728AD">
      <w:pPr>
        <w:spacing w:line="21" w:lineRule="exact"/>
        <w:rPr>
          <w:sz w:val="20"/>
          <w:szCs w:val="20"/>
        </w:rPr>
      </w:pPr>
    </w:p>
    <w:p w:rsidR="000728AD" w:rsidRDefault="000561BE">
      <w:pPr>
        <w:jc w:val="center"/>
        <w:rPr>
          <w:sz w:val="20"/>
          <w:szCs w:val="20"/>
        </w:rPr>
      </w:pPr>
      <w:r>
        <w:rPr>
          <w:rFonts w:ascii="Arial" w:eastAsia="Arial" w:hAnsi="Arial" w:cs="Arial"/>
          <w:b/>
          <w:bCs/>
          <w:sz w:val="20"/>
          <w:szCs w:val="20"/>
        </w:rPr>
        <w:t xml:space="preserve">Condensed Consolidated Statements of </w:t>
      </w:r>
      <w:r>
        <w:rPr>
          <w:rFonts w:ascii="Arial" w:eastAsia="Arial" w:hAnsi="Arial" w:cs="Arial"/>
          <w:b/>
          <w:bCs/>
          <w:sz w:val="20"/>
          <w:szCs w:val="20"/>
        </w:rPr>
        <w:t>Stockholders' Equity (Unaudited)</w:t>
      </w:r>
    </w:p>
    <w:p w:rsidR="000728AD" w:rsidRDefault="000561BE">
      <w:pPr>
        <w:jc w:val="center"/>
        <w:rPr>
          <w:sz w:val="20"/>
          <w:szCs w:val="20"/>
        </w:rPr>
      </w:pPr>
      <w:r>
        <w:rPr>
          <w:rFonts w:ascii="Arial" w:eastAsia="Arial" w:hAnsi="Arial" w:cs="Arial"/>
          <w:b/>
          <w:bCs/>
          <w:sz w:val="20"/>
          <w:szCs w:val="20"/>
        </w:rPr>
        <w:t>(in thousands, except share data)</w:t>
      </w:r>
    </w:p>
    <w:p w:rsidR="000728AD" w:rsidRDefault="000728AD">
      <w:pPr>
        <w:spacing w:line="23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00"/>
        <w:gridCol w:w="1320"/>
        <w:gridCol w:w="80"/>
        <w:gridCol w:w="1040"/>
        <w:gridCol w:w="260"/>
        <w:gridCol w:w="100"/>
        <w:gridCol w:w="180"/>
        <w:gridCol w:w="1120"/>
        <w:gridCol w:w="100"/>
        <w:gridCol w:w="100"/>
        <w:gridCol w:w="1300"/>
        <w:gridCol w:w="100"/>
        <w:gridCol w:w="120"/>
        <w:gridCol w:w="1200"/>
        <w:gridCol w:w="100"/>
        <w:gridCol w:w="120"/>
        <w:gridCol w:w="1200"/>
        <w:gridCol w:w="20"/>
      </w:tblGrid>
      <w:tr w:rsidR="000728AD">
        <w:trPr>
          <w:trHeight w:val="234"/>
        </w:trPr>
        <w:tc>
          <w:tcPr>
            <w:tcW w:w="2800" w:type="dxa"/>
            <w:vAlign w:val="bottom"/>
          </w:tcPr>
          <w:p w:rsidR="000728AD" w:rsidRDefault="000728AD">
            <w:pPr>
              <w:rPr>
                <w:sz w:val="20"/>
                <w:szCs w:val="20"/>
              </w:rPr>
            </w:pPr>
          </w:p>
        </w:tc>
        <w:tc>
          <w:tcPr>
            <w:tcW w:w="1320" w:type="dxa"/>
            <w:tcBorders>
              <w:bottom w:val="single" w:sz="8" w:space="0" w:color="auto"/>
            </w:tcBorders>
            <w:vAlign w:val="bottom"/>
          </w:tcPr>
          <w:p w:rsidR="000728AD" w:rsidRDefault="000728AD">
            <w:pPr>
              <w:rPr>
                <w:sz w:val="20"/>
                <w:szCs w:val="20"/>
              </w:rPr>
            </w:pPr>
          </w:p>
        </w:tc>
        <w:tc>
          <w:tcPr>
            <w:tcW w:w="80" w:type="dxa"/>
            <w:tcBorders>
              <w:bottom w:val="single" w:sz="8" w:space="0" w:color="auto"/>
            </w:tcBorders>
            <w:vAlign w:val="bottom"/>
          </w:tcPr>
          <w:p w:rsidR="000728AD" w:rsidRDefault="000728AD">
            <w:pPr>
              <w:rPr>
                <w:sz w:val="20"/>
                <w:szCs w:val="20"/>
              </w:rPr>
            </w:pPr>
          </w:p>
        </w:tc>
        <w:tc>
          <w:tcPr>
            <w:tcW w:w="1040" w:type="dxa"/>
            <w:tcBorders>
              <w:bottom w:val="single" w:sz="8" w:space="0" w:color="auto"/>
            </w:tcBorders>
            <w:vAlign w:val="bottom"/>
          </w:tcPr>
          <w:p w:rsidR="000728AD" w:rsidRDefault="000728AD">
            <w:pPr>
              <w:rPr>
                <w:sz w:val="20"/>
                <w:szCs w:val="20"/>
              </w:rPr>
            </w:pPr>
          </w:p>
        </w:tc>
        <w:tc>
          <w:tcPr>
            <w:tcW w:w="4680" w:type="dxa"/>
            <w:gridSpan w:val="11"/>
            <w:tcBorders>
              <w:bottom w:val="single" w:sz="8" w:space="0" w:color="auto"/>
            </w:tcBorders>
            <w:vAlign w:val="bottom"/>
          </w:tcPr>
          <w:p w:rsidR="000728AD" w:rsidRDefault="000561BE">
            <w:pPr>
              <w:ind w:left="100"/>
              <w:rPr>
                <w:sz w:val="20"/>
                <w:szCs w:val="20"/>
              </w:rPr>
            </w:pPr>
            <w:r>
              <w:rPr>
                <w:rFonts w:ascii="Arial" w:eastAsia="Arial" w:hAnsi="Arial" w:cs="Arial"/>
                <w:b/>
                <w:bCs/>
                <w:sz w:val="18"/>
                <w:szCs w:val="18"/>
              </w:rPr>
              <w:t>Three and Six Months Ended June 30, 2020</w:t>
            </w:r>
          </w:p>
        </w:tc>
        <w:tc>
          <w:tcPr>
            <w:tcW w:w="120" w:type="dxa"/>
            <w:tcBorders>
              <w:bottom w:val="single" w:sz="8" w:space="0" w:color="auto"/>
            </w:tcBorders>
            <w:vAlign w:val="bottom"/>
          </w:tcPr>
          <w:p w:rsidR="000728AD" w:rsidRDefault="000728AD">
            <w:pPr>
              <w:rPr>
                <w:sz w:val="20"/>
                <w:szCs w:val="20"/>
              </w:rPr>
            </w:pPr>
          </w:p>
        </w:tc>
        <w:tc>
          <w:tcPr>
            <w:tcW w:w="1200" w:type="dxa"/>
            <w:tcBorders>
              <w:bottom w:val="single" w:sz="8" w:space="0" w:color="auto"/>
            </w:tcBorders>
            <w:vAlign w:val="bottom"/>
          </w:tcPr>
          <w:p w:rsidR="000728AD" w:rsidRDefault="000728AD">
            <w:pPr>
              <w:rPr>
                <w:sz w:val="20"/>
                <w:szCs w:val="20"/>
              </w:rPr>
            </w:pPr>
          </w:p>
        </w:tc>
        <w:tc>
          <w:tcPr>
            <w:tcW w:w="0" w:type="dxa"/>
            <w:vAlign w:val="bottom"/>
          </w:tcPr>
          <w:p w:rsidR="000728AD" w:rsidRDefault="000728AD">
            <w:pPr>
              <w:rPr>
                <w:sz w:val="1"/>
                <w:szCs w:val="1"/>
              </w:rPr>
            </w:pPr>
          </w:p>
        </w:tc>
      </w:tr>
      <w:tr w:rsidR="000728AD">
        <w:trPr>
          <w:trHeight w:val="196"/>
        </w:trPr>
        <w:tc>
          <w:tcPr>
            <w:tcW w:w="2800" w:type="dxa"/>
            <w:vAlign w:val="bottom"/>
          </w:tcPr>
          <w:p w:rsidR="000728AD" w:rsidRDefault="000728AD">
            <w:pPr>
              <w:rPr>
                <w:sz w:val="17"/>
                <w:szCs w:val="17"/>
              </w:rPr>
            </w:pPr>
          </w:p>
        </w:tc>
        <w:tc>
          <w:tcPr>
            <w:tcW w:w="1320" w:type="dxa"/>
            <w:vAlign w:val="bottom"/>
          </w:tcPr>
          <w:p w:rsidR="000728AD" w:rsidRDefault="000728AD">
            <w:pPr>
              <w:rPr>
                <w:sz w:val="17"/>
                <w:szCs w:val="17"/>
              </w:rPr>
            </w:pPr>
          </w:p>
        </w:tc>
        <w:tc>
          <w:tcPr>
            <w:tcW w:w="80" w:type="dxa"/>
            <w:vAlign w:val="bottom"/>
          </w:tcPr>
          <w:p w:rsidR="000728AD" w:rsidRDefault="000728AD">
            <w:pPr>
              <w:rPr>
                <w:sz w:val="17"/>
                <w:szCs w:val="17"/>
              </w:rPr>
            </w:pPr>
          </w:p>
        </w:tc>
        <w:tc>
          <w:tcPr>
            <w:tcW w:w="1040" w:type="dxa"/>
            <w:vAlign w:val="bottom"/>
          </w:tcPr>
          <w:p w:rsidR="000728AD" w:rsidRDefault="000728AD">
            <w:pPr>
              <w:rPr>
                <w:sz w:val="17"/>
                <w:szCs w:val="17"/>
              </w:rPr>
            </w:pPr>
          </w:p>
        </w:tc>
        <w:tc>
          <w:tcPr>
            <w:tcW w:w="260" w:type="dxa"/>
            <w:vAlign w:val="bottom"/>
          </w:tcPr>
          <w:p w:rsidR="000728AD" w:rsidRDefault="000728AD">
            <w:pPr>
              <w:rPr>
                <w:sz w:val="17"/>
                <w:szCs w:val="17"/>
              </w:rPr>
            </w:pPr>
          </w:p>
        </w:tc>
        <w:tc>
          <w:tcPr>
            <w:tcW w:w="100" w:type="dxa"/>
            <w:vAlign w:val="bottom"/>
          </w:tcPr>
          <w:p w:rsidR="000728AD" w:rsidRDefault="000728AD">
            <w:pPr>
              <w:rPr>
                <w:sz w:val="17"/>
                <w:szCs w:val="17"/>
              </w:rPr>
            </w:pPr>
          </w:p>
        </w:tc>
        <w:tc>
          <w:tcPr>
            <w:tcW w:w="180" w:type="dxa"/>
            <w:vAlign w:val="bottom"/>
          </w:tcPr>
          <w:p w:rsidR="000728AD" w:rsidRDefault="000728AD">
            <w:pPr>
              <w:rPr>
                <w:sz w:val="17"/>
                <w:szCs w:val="17"/>
              </w:rPr>
            </w:pPr>
          </w:p>
        </w:tc>
        <w:tc>
          <w:tcPr>
            <w:tcW w:w="1120" w:type="dxa"/>
            <w:vAlign w:val="bottom"/>
          </w:tcPr>
          <w:p w:rsidR="000728AD" w:rsidRDefault="000728AD">
            <w:pPr>
              <w:rPr>
                <w:sz w:val="17"/>
                <w:szCs w:val="17"/>
              </w:rPr>
            </w:pPr>
          </w:p>
        </w:tc>
        <w:tc>
          <w:tcPr>
            <w:tcW w:w="100" w:type="dxa"/>
            <w:vAlign w:val="bottom"/>
          </w:tcPr>
          <w:p w:rsidR="000728AD" w:rsidRDefault="000728AD">
            <w:pPr>
              <w:rPr>
                <w:sz w:val="17"/>
                <w:szCs w:val="17"/>
              </w:rPr>
            </w:pPr>
          </w:p>
        </w:tc>
        <w:tc>
          <w:tcPr>
            <w:tcW w:w="100" w:type="dxa"/>
            <w:vAlign w:val="bottom"/>
          </w:tcPr>
          <w:p w:rsidR="000728AD" w:rsidRDefault="000728AD">
            <w:pPr>
              <w:rPr>
                <w:sz w:val="17"/>
                <w:szCs w:val="17"/>
              </w:rPr>
            </w:pPr>
          </w:p>
        </w:tc>
        <w:tc>
          <w:tcPr>
            <w:tcW w:w="1400" w:type="dxa"/>
            <w:gridSpan w:val="2"/>
            <w:vAlign w:val="bottom"/>
          </w:tcPr>
          <w:p w:rsidR="000728AD" w:rsidRDefault="000561BE">
            <w:pPr>
              <w:spacing w:line="196" w:lineRule="exact"/>
              <w:ind w:right="180"/>
              <w:jc w:val="center"/>
              <w:rPr>
                <w:sz w:val="20"/>
                <w:szCs w:val="20"/>
              </w:rPr>
            </w:pPr>
            <w:r>
              <w:rPr>
                <w:rFonts w:ascii="Arial" w:eastAsia="Arial" w:hAnsi="Arial" w:cs="Arial"/>
                <w:b/>
                <w:bCs/>
                <w:w w:val="90"/>
                <w:sz w:val="18"/>
                <w:szCs w:val="18"/>
              </w:rPr>
              <w:t>Accumulated</w:t>
            </w:r>
          </w:p>
        </w:tc>
        <w:tc>
          <w:tcPr>
            <w:tcW w:w="120" w:type="dxa"/>
            <w:vAlign w:val="bottom"/>
          </w:tcPr>
          <w:p w:rsidR="000728AD" w:rsidRDefault="000728AD">
            <w:pPr>
              <w:rPr>
                <w:sz w:val="17"/>
                <w:szCs w:val="17"/>
              </w:rPr>
            </w:pPr>
          </w:p>
        </w:tc>
        <w:tc>
          <w:tcPr>
            <w:tcW w:w="1200" w:type="dxa"/>
            <w:vAlign w:val="bottom"/>
          </w:tcPr>
          <w:p w:rsidR="000728AD" w:rsidRDefault="000728AD">
            <w:pPr>
              <w:rPr>
                <w:sz w:val="17"/>
                <w:szCs w:val="17"/>
              </w:rPr>
            </w:pPr>
          </w:p>
        </w:tc>
        <w:tc>
          <w:tcPr>
            <w:tcW w:w="100" w:type="dxa"/>
            <w:vAlign w:val="bottom"/>
          </w:tcPr>
          <w:p w:rsidR="000728AD" w:rsidRDefault="000728AD">
            <w:pPr>
              <w:rPr>
                <w:sz w:val="17"/>
                <w:szCs w:val="17"/>
              </w:rPr>
            </w:pPr>
          </w:p>
        </w:tc>
        <w:tc>
          <w:tcPr>
            <w:tcW w:w="120" w:type="dxa"/>
            <w:vAlign w:val="bottom"/>
          </w:tcPr>
          <w:p w:rsidR="000728AD" w:rsidRDefault="000728AD">
            <w:pPr>
              <w:rPr>
                <w:sz w:val="17"/>
                <w:szCs w:val="17"/>
              </w:rPr>
            </w:pPr>
          </w:p>
        </w:tc>
        <w:tc>
          <w:tcPr>
            <w:tcW w:w="1200" w:type="dxa"/>
            <w:vMerge w:val="restart"/>
            <w:vAlign w:val="bottom"/>
          </w:tcPr>
          <w:p w:rsidR="000728AD" w:rsidRDefault="000561BE">
            <w:pPr>
              <w:ind w:right="31"/>
              <w:jc w:val="center"/>
              <w:rPr>
                <w:sz w:val="20"/>
                <w:szCs w:val="20"/>
              </w:rPr>
            </w:pPr>
            <w:r>
              <w:rPr>
                <w:rFonts w:ascii="Arial" w:eastAsia="Arial" w:hAnsi="Arial" w:cs="Arial"/>
                <w:b/>
                <w:bCs/>
                <w:w w:val="92"/>
                <w:sz w:val="18"/>
                <w:szCs w:val="18"/>
              </w:rPr>
              <w:t>Total</w:t>
            </w:r>
          </w:p>
        </w:tc>
        <w:tc>
          <w:tcPr>
            <w:tcW w:w="0" w:type="dxa"/>
            <w:vAlign w:val="bottom"/>
          </w:tcPr>
          <w:p w:rsidR="000728AD" w:rsidRDefault="000728AD">
            <w:pPr>
              <w:rPr>
                <w:sz w:val="1"/>
                <w:szCs w:val="1"/>
              </w:rPr>
            </w:pPr>
          </w:p>
        </w:tc>
      </w:tr>
      <w:tr w:rsidR="000728AD">
        <w:trPr>
          <w:trHeight w:val="175"/>
        </w:trPr>
        <w:tc>
          <w:tcPr>
            <w:tcW w:w="2800" w:type="dxa"/>
            <w:vAlign w:val="bottom"/>
          </w:tcPr>
          <w:p w:rsidR="000728AD" w:rsidRDefault="000728AD">
            <w:pPr>
              <w:rPr>
                <w:sz w:val="15"/>
                <w:szCs w:val="15"/>
              </w:rPr>
            </w:pPr>
          </w:p>
        </w:tc>
        <w:tc>
          <w:tcPr>
            <w:tcW w:w="2440" w:type="dxa"/>
            <w:gridSpan w:val="3"/>
            <w:vMerge w:val="restart"/>
            <w:vAlign w:val="bottom"/>
          </w:tcPr>
          <w:p w:rsidR="000728AD" w:rsidRDefault="000561BE">
            <w:pPr>
              <w:ind w:right="430"/>
              <w:jc w:val="right"/>
              <w:rPr>
                <w:sz w:val="20"/>
                <w:szCs w:val="20"/>
              </w:rPr>
            </w:pPr>
            <w:r>
              <w:rPr>
                <w:rFonts w:ascii="Arial" w:eastAsia="Arial" w:hAnsi="Arial" w:cs="Arial"/>
                <w:b/>
                <w:bCs/>
                <w:sz w:val="18"/>
                <w:szCs w:val="18"/>
              </w:rPr>
              <w:t>Common stock</w:t>
            </w:r>
          </w:p>
        </w:tc>
        <w:tc>
          <w:tcPr>
            <w:tcW w:w="260" w:type="dxa"/>
            <w:vAlign w:val="bottom"/>
          </w:tcPr>
          <w:p w:rsidR="000728AD" w:rsidRDefault="000728AD">
            <w:pPr>
              <w:rPr>
                <w:sz w:val="15"/>
                <w:szCs w:val="15"/>
              </w:rPr>
            </w:pPr>
          </w:p>
        </w:tc>
        <w:tc>
          <w:tcPr>
            <w:tcW w:w="100" w:type="dxa"/>
            <w:vAlign w:val="bottom"/>
          </w:tcPr>
          <w:p w:rsidR="000728AD" w:rsidRDefault="000728AD">
            <w:pPr>
              <w:rPr>
                <w:sz w:val="15"/>
                <w:szCs w:val="15"/>
              </w:rPr>
            </w:pPr>
          </w:p>
        </w:tc>
        <w:tc>
          <w:tcPr>
            <w:tcW w:w="180" w:type="dxa"/>
            <w:vAlign w:val="bottom"/>
          </w:tcPr>
          <w:p w:rsidR="000728AD" w:rsidRDefault="000728AD">
            <w:pPr>
              <w:rPr>
                <w:sz w:val="15"/>
                <w:szCs w:val="15"/>
              </w:rPr>
            </w:pPr>
          </w:p>
        </w:tc>
        <w:tc>
          <w:tcPr>
            <w:tcW w:w="1120" w:type="dxa"/>
            <w:vAlign w:val="bottom"/>
          </w:tcPr>
          <w:p w:rsidR="000728AD" w:rsidRDefault="000728AD">
            <w:pPr>
              <w:rPr>
                <w:sz w:val="15"/>
                <w:szCs w:val="15"/>
              </w:rPr>
            </w:pPr>
          </w:p>
        </w:tc>
        <w:tc>
          <w:tcPr>
            <w:tcW w:w="100" w:type="dxa"/>
            <w:vAlign w:val="bottom"/>
          </w:tcPr>
          <w:p w:rsidR="000728AD" w:rsidRDefault="000728AD">
            <w:pPr>
              <w:rPr>
                <w:sz w:val="15"/>
                <w:szCs w:val="15"/>
              </w:rPr>
            </w:pPr>
          </w:p>
        </w:tc>
        <w:tc>
          <w:tcPr>
            <w:tcW w:w="100" w:type="dxa"/>
            <w:vAlign w:val="bottom"/>
          </w:tcPr>
          <w:p w:rsidR="000728AD" w:rsidRDefault="000728AD">
            <w:pPr>
              <w:rPr>
                <w:sz w:val="15"/>
                <w:szCs w:val="15"/>
              </w:rPr>
            </w:pPr>
          </w:p>
        </w:tc>
        <w:tc>
          <w:tcPr>
            <w:tcW w:w="1400" w:type="dxa"/>
            <w:gridSpan w:val="2"/>
            <w:vAlign w:val="bottom"/>
          </w:tcPr>
          <w:p w:rsidR="000728AD" w:rsidRDefault="000561BE">
            <w:pPr>
              <w:spacing w:line="176" w:lineRule="exact"/>
              <w:ind w:right="200"/>
              <w:jc w:val="center"/>
              <w:rPr>
                <w:sz w:val="20"/>
                <w:szCs w:val="20"/>
              </w:rPr>
            </w:pPr>
            <w:r>
              <w:rPr>
                <w:rFonts w:ascii="Arial" w:eastAsia="Arial" w:hAnsi="Arial" w:cs="Arial"/>
                <w:b/>
                <w:bCs/>
                <w:w w:val="88"/>
                <w:sz w:val="18"/>
                <w:szCs w:val="18"/>
              </w:rPr>
              <w:t>other</w:t>
            </w:r>
          </w:p>
        </w:tc>
        <w:tc>
          <w:tcPr>
            <w:tcW w:w="120" w:type="dxa"/>
            <w:vAlign w:val="bottom"/>
          </w:tcPr>
          <w:p w:rsidR="000728AD" w:rsidRDefault="000728AD">
            <w:pPr>
              <w:rPr>
                <w:sz w:val="15"/>
                <w:szCs w:val="15"/>
              </w:rPr>
            </w:pPr>
          </w:p>
        </w:tc>
        <w:tc>
          <w:tcPr>
            <w:tcW w:w="1200" w:type="dxa"/>
            <w:vAlign w:val="bottom"/>
          </w:tcPr>
          <w:p w:rsidR="000728AD" w:rsidRDefault="000728AD">
            <w:pPr>
              <w:rPr>
                <w:sz w:val="15"/>
                <w:szCs w:val="15"/>
              </w:rPr>
            </w:pPr>
          </w:p>
        </w:tc>
        <w:tc>
          <w:tcPr>
            <w:tcW w:w="100" w:type="dxa"/>
            <w:vAlign w:val="bottom"/>
          </w:tcPr>
          <w:p w:rsidR="000728AD" w:rsidRDefault="000728AD">
            <w:pPr>
              <w:rPr>
                <w:sz w:val="15"/>
                <w:szCs w:val="15"/>
              </w:rPr>
            </w:pPr>
          </w:p>
        </w:tc>
        <w:tc>
          <w:tcPr>
            <w:tcW w:w="120" w:type="dxa"/>
            <w:vAlign w:val="bottom"/>
          </w:tcPr>
          <w:p w:rsidR="000728AD" w:rsidRDefault="000728AD">
            <w:pPr>
              <w:rPr>
                <w:sz w:val="15"/>
                <w:szCs w:val="15"/>
              </w:rPr>
            </w:pPr>
          </w:p>
        </w:tc>
        <w:tc>
          <w:tcPr>
            <w:tcW w:w="1200" w:type="dxa"/>
            <w:vMerge/>
            <w:vAlign w:val="bottom"/>
          </w:tcPr>
          <w:p w:rsidR="000728AD" w:rsidRDefault="000728AD">
            <w:pPr>
              <w:rPr>
                <w:sz w:val="15"/>
                <w:szCs w:val="15"/>
              </w:rPr>
            </w:pPr>
          </w:p>
        </w:tc>
        <w:tc>
          <w:tcPr>
            <w:tcW w:w="0" w:type="dxa"/>
            <w:vAlign w:val="bottom"/>
          </w:tcPr>
          <w:p w:rsidR="000728AD" w:rsidRDefault="000728AD">
            <w:pPr>
              <w:rPr>
                <w:sz w:val="1"/>
                <w:szCs w:val="1"/>
              </w:rPr>
            </w:pPr>
          </w:p>
        </w:tc>
      </w:tr>
      <w:tr w:rsidR="000728AD">
        <w:trPr>
          <w:trHeight w:val="148"/>
        </w:trPr>
        <w:tc>
          <w:tcPr>
            <w:tcW w:w="2800" w:type="dxa"/>
            <w:vAlign w:val="bottom"/>
          </w:tcPr>
          <w:p w:rsidR="000728AD" w:rsidRDefault="000728AD">
            <w:pPr>
              <w:rPr>
                <w:sz w:val="12"/>
                <w:szCs w:val="12"/>
              </w:rPr>
            </w:pPr>
          </w:p>
        </w:tc>
        <w:tc>
          <w:tcPr>
            <w:tcW w:w="2440" w:type="dxa"/>
            <w:gridSpan w:val="3"/>
            <w:vMerge/>
            <w:tcBorders>
              <w:bottom w:val="single" w:sz="8" w:space="0" w:color="auto"/>
            </w:tcBorders>
            <w:vAlign w:val="bottom"/>
          </w:tcPr>
          <w:p w:rsidR="000728AD" w:rsidRDefault="000728AD">
            <w:pPr>
              <w:rPr>
                <w:sz w:val="12"/>
                <w:szCs w:val="12"/>
              </w:rPr>
            </w:pPr>
          </w:p>
        </w:tc>
        <w:tc>
          <w:tcPr>
            <w:tcW w:w="260" w:type="dxa"/>
            <w:tcBorders>
              <w:bottom w:val="single" w:sz="8" w:space="0" w:color="auto"/>
            </w:tcBorders>
            <w:vAlign w:val="bottom"/>
          </w:tcPr>
          <w:p w:rsidR="000728AD" w:rsidRDefault="000728AD">
            <w:pPr>
              <w:rPr>
                <w:sz w:val="12"/>
                <w:szCs w:val="12"/>
              </w:rPr>
            </w:pPr>
          </w:p>
        </w:tc>
        <w:tc>
          <w:tcPr>
            <w:tcW w:w="100" w:type="dxa"/>
            <w:vAlign w:val="bottom"/>
          </w:tcPr>
          <w:p w:rsidR="000728AD" w:rsidRDefault="000728AD">
            <w:pPr>
              <w:rPr>
                <w:sz w:val="12"/>
                <w:szCs w:val="12"/>
              </w:rPr>
            </w:pPr>
          </w:p>
        </w:tc>
        <w:tc>
          <w:tcPr>
            <w:tcW w:w="180" w:type="dxa"/>
            <w:vAlign w:val="bottom"/>
          </w:tcPr>
          <w:p w:rsidR="000728AD" w:rsidRDefault="000728AD">
            <w:pPr>
              <w:rPr>
                <w:sz w:val="12"/>
                <w:szCs w:val="12"/>
              </w:rPr>
            </w:pPr>
          </w:p>
        </w:tc>
        <w:tc>
          <w:tcPr>
            <w:tcW w:w="1220" w:type="dxa"/>
            <w:gridSpan w:val="2"/>
            <w:vAlign w:val="bottom"/>
          </w:tcPr>
          <w:p w:rsidR="000728AD" w:rsidRDefault="000561BE">
            <w:pPr>
              <w:spacing w:line="149" w:lineRule="exact"/>
              <w:ind w:right="280"/>
              <w:jc w:val="center"/>
              <w:rPr>
                <w:sz w:val="20"/>
                <w:szCs w:val="20"/>
              </w:rPr>
            </w:pPr>
            <w:r>
              <w:rPr>
                <w:rFonts w:ascii="Arial" w:eastAsia="Arial" w:hAnsi="Arial" w:cs="Arial"/>
                <w:b/>
                <w:bCs/>
                <w:w w:val="98"/>
                <w:sz w:val="17"/>
                <w:szCs w:val="17"/>
              </w:rPr>
              <w:t>Additional</w:t>
            </w:r>
          </w:p>
        </w:tc>
        <w:tc>
          <w:tcPr>
            <w:tcW w:w="100" w:type="dxa"/>
            <w:vAlign w:val="bottom"/>
          </w:tcPr>
          <w:p w:rsidR="000728AD" w:rsidRDefault="000728AD">
            <w:pPr>
              <w:rPr>
                <w:sz w:val="12"/>
                <w:szCs w:val="12"/>
              </w:rPr>
            </w:pPr>
          </w:p>
        </w:tc>
        <w:tc>
          <w:tcPr>
            <w:tcW w:w="1400" w:type="dxa"/>
            <w:gridSpan w:val="2"/>
            <w:vAlign w:val="bottom"/>
          </w:tcPr>
          <w:p w:rsidR="000728AD" w:rsidRDefault="000561BE">
            <w:pPr>
              <w:spacing w:line="149" w:lineRule="exact"/>
              <w:ind w:right="240"/>
              <w:jc w:val="center"/>
              <w:rPr>
                <w:sz w:val="20"/>
                <w:szCs w:val="20"/>
              </w:rPr>
            </w:pPr>
            <w:r>
              <w:rPr>
                <w:rFonts w:ascii="Arial" w:eastAsia="Arial" w:hAnsi="Arial" w:cs="Arial"/>
                <w:b/>
                <w:bCs/>
                <w:w w:val="92"/>
                <w:sz w:val="17"/>
                <w:szCs w:val="17"/>
              </w:rPr>
              <w:t>comprehensive</w:t>
            </w:r>
          </w:p>
        </w:tc>
        <w:tc>
          <w:tcPr>
            <w:tcW w:w="120" w:type="dxa"/>
            <w:vAlign w:val="bottom"/>
          </w:tcPr>
          <w:p w:rsidR="000728AD" w:rsidRDefault="000728AD">
            <w:pPr>
              <w:rPr>
                <w:sz w:val="12"/>
                <w:szCs w:val="12"/>
              </w:rPr>
            </w:pPr>
          </w:p>
        </w:tc>
        <w:tc>
          <w:tcPr>
            <w:tcW w:w="1300" w:type="dxa"/>
            <w:gridSpan w:val="2"/>
            <w:vAlign w:val="bottom"/>
          </w:tcPr>
          <w:p w:rsidR="000728AD" w:rsidRDefault="000561BE">
            <w:pPr>
              <w:spacing w:line="149" w:lineRule="exact"/>
              <w:ind w:right="200"/>
              <w:jc w:val="center"/>
              <w:rPr>
                <w:sz w:val="20"/>
                <w:szCs w:val="20"/>
              </w:rPr>
            </w:pPr>
            <w:r>
              <w:rPr>
                <w:rFonts w:ascii="Arial" w:eastAsia="Arial" w:hAnsi="Arial" w:cs="Arial"/>
                <w:b/>
                <w:bCs/>
                <w:w w:val="95"/>
                <w:sz w:val="17"/>
                <w:szCs w:val="17"/>
              </w:rPr>
              <w:t>Accumulated</w:t>
            </w:r>
          </w:p>
        </w:tc>
        <w:tc>
          <w:tcPr>
            <w:tcW w:w="120" w:type="dxa"/>
            <w:vAlign w:val="bottom"/>
          </w:tcPr>
          <w:p w:rsidR="000728AD" w:rsidRDefault="000728AD">
            <w:pPr>
              <w:rPr>
                <w:sz w:val="12"/>
                <w:szCs w:val="12"/>
              </w:rPr>
            </w:pPr>
          </w:p>
        </w:tc>
        <w:tc>
          <w:tcPr>
            <w:tcW w:w="1200" w:type="dxa"/>
            <w:vAlign w:val="bottom"/>
          </w:tcPr>
          <w:p w:rsidR="000728AD" w:rsidRDefault="000561BE">
            <w:pPr>
              <w:spacing w:line="149" w:lineRule="exact"/>
              <w:ind w:right="31"/>
              <w:jc w:val="center"/>
              <w:rPr>
                <w:sz w:val="20"/>
                <w:szCs w:val="20"/>
              </w:rPr>
            </w:pPr>
            <w:r>
              <w:rPr>
                <w:rFonts w:ascii="Arial" w:eastAsia="Arial" w:hAnsi="Arial" w:cs="Arial"/>
                <w:b/>
                <w:bCs/>
                <w:w w:val="94"/>
                <w:sz w:val="17"/>
                <w:szCs w:val="17"/>
              </w:rPr>
              <w:t>stockholders’</w:t>
            </w:r>
          </w:p>
        </w:tc>
        <w:tc>
          <w:tcPr>
            <w:tcW w:w="0" w:type="dxa"/>
            <w:vAlign w:val="bottom"/>
          </w:tcPr>
          <w:p w:rsidR="000728AD" w:rsidRDefault="000728AD">
            <w:pPr>
              <w:rPr>
                <w:sz w:val="1"/>
                <w:szCs w:val="1"/>
              </w:rPr>
            </w:pPr>
          </w:p>
        </w:tc>
      </w:tr>
      <w:tr w:rsidR="000728AD">
        <w:trPr>
          <w:trHeight w:val="237"/>
        </w:trPr>
        <w:tc>
          <w:tcPr>
            <w:tcW w:w="2800" w:type="dxa"/>
            <w:vAlign w:val="bottom"/>
          </w:tcPr>
          <w:p w:rsidR="000728AD" w:rsidRDefault="000728AD">
            <w:pPr>
              <w:rPr>
                <w:sz w:val="20"/>
                <w:szCs w:val="20"/>
              </w:rPr>
            </w:pPr>
          </w:p>
        </w:tc>
        <w:tc>
          <w:tcPr>
            <w:tcW w:w="1400" w:type="dxa"/>
            <w:gridSpan w:val="2"/>
            <w:vAlign w:val="bottom"/>
          </w:tcPr>
          <w:p w:rsidR="000728AD" w:rsidRDefault="000561BE">
            <w:pPr>
              <w:ind w:left="400"/>
              <w:rPr>
                <w:sz w:val="20"/>
                <w:szCs w:val="20"/>
              </w:rPr>
            </w:pPr>
            <w:r>
              <w:rPr>
                <w:rFonts w:ascii="Arial" w:eastAsia="Arial" w:hAnsi="Arial" w:cs="Arial"/>
                <w:b/>
                <w:bCs/>
                <w:sz w:val="18"/>
                <w:szCs w:val="18"/>
              </w:rPr>
              <w:t>Shares</w:t>
            </w:r>
          </w:p>
        </w:tc>
        <w:tc>
          <w:tcPr>
            <w:tcW w:w="1040" w:type="dxa"/>
            <w:vAlign w:val="bottom"/>
          </w:tcPr>
          <w:p w:rsidR="000728AD" w:rsidRDefault="000561BE">
            <w:pPr>
              <w:jc w:val="right"/>
              <w:rPr>
                <w:sz w:val="20"/>
                <w:szCs w:val="20"/>
              </w:rPr>
            </w:pPr>
            <w:r>
              <w:rPr>
                <w:rFonts w:ascii="Arial" w:eastAsia="Arial" w:hAnsi="Arial" w:cs="Arial"/>
                <w:b/>
                <w:bCs/>
                <w:sz w:val="18"/>
                <w:szCs w:val="18"/>
              </w:rPr>
              <w:t>Par Value</w:t>
            </w:r>
          </w:p>
        </w:tc>
        <w:tc>
          <w:tcPr>
            <w:tcW w:w="260" w:type="dxa"/>
            <w:vAlign w:val="bottom"/>
          </w:tcPr>
          <w:p w:rsidR="000728AD" w:rsidRDefault="000728AD">
            <w:pPr>
              <w:rPr>
                <w:sz w:val="20"/>
                <w:szCs w:val="20"/>
              </w:rPr>
            </w:pPr>
          </w:p>
        </w:tc>
        <w:tc>
          <w:tcPr>
            <w:tcW w:w="100" w:type="dxa"/>
            <w:vAlign w:val="bottom"/>
          </w:tcPr>
          <w:p w:rsidR="000728AD" w:rsidRDefault="000728AD">
            <w:pPr>
              <w:rPr>
                <w:sz w:val="20"/>
                <w:szCs w:val="20"/>
              </w:rPr>
            </w:pPr>
          </w:p>
        </w:tc>
        <w:tc>
          <w:tcPr>
            <w:tcW w:w="1400" w:type="dxa"/>
            <w:gridSpan w:val="3"/>
            <w:vAlign w:val="bottom"/>
          </w:tcPr>
          <w:p w:rsidR="000728AD" w:rsidRDefault="000561BE">
            <w:pPr>
              <w:ind w:right="100"/>
              <w:jc w:val="center"/>
              <w:rPr>
                <w:sz w:val="20"/>
                <w:szCs w:val="20"/>
              </w:rPr>
            </w:pPr>
            <w:r>
              <w:rPr>
                <w:rFonts w:ascii="Arial" w:eastAsia="Arial" w:hAnsi="Arial" w:cs="Arial"/>
                <w:b/>
                <w:bCs/>
                <w:w w:val="90"/>
                <w:sz w:val="18"/>
                <w:szCs w:val="18"/>
              </w:rPr>
              <w:t>paid-in capital</w:t>
            </w:r>
          </w:p>
        </w:tc>
        <w:tc>
          <w:tcPr>
            <w:tcW w:w="100" w:type="dxa"/>
            <w:vAlign w:val="bottom"/>
          </w:tcPr>
          <w:p w:rsidR="000728AD" w:rsidRDefault="000728AD">
            <w:pPr>
              <w:rPr>
                <w:sz w:val="20"/>
                <w:szCs w:val="20"/>
              </w:rPr>
            </w:pPr>
          </w:p>
        </w:tc>
        <w:tc>
          <w:tcPr>
            <w:tcW w:w="1400" w:type="dxa"/>
            <w:gridSpan w:val="2"/>
            <w:vAlign w:val="bottom"/>
          </w:tcPr>
          <w:p w:rsidR="000728AD" w:rsidRDefault="000561BE">
            <w:pPr>
              <w:ind w:right="200"/>
              <w:jc w:val="center"/>
              <w:rPr>
                <w:sz w:val="20"/>
                <w:szCs w:val="20"/>
              </w:rPr>
            </w:pPr>
            <w:r>
              <w:rPr>
                <w:rFonts w:ascii="Arial" w:eastAsia="Arial" w:hAnsi="Arial" w:cs="Arial"/>
                <w:b/>
                <w:bCs/>
                <w:w w:val="86"/>
                <w:sz w:val="18"/>
                <w:szCs w:val="18"/>
              </w:rPr>
              <w:t>income (loss)</w:t>
            </w:r>
          </w:p>
        </w:tc>
        <w:tc>
          <w:tcPr>
            <w:tcW w:w="120" w:type="dxa"/>
            <w:vAlign w:val="bottom"/>
          </w:tcPr>
          <w:p w:rsidR="000728AD" w:rsidRDefault="000728AD">
            <w:pPr>
              <w:rPr>
                <w:sz w:val="20"/>
                <w:szCs w:val="20"/>
              </w:rPr>
            </w:pPr>
          </w:p>
        </w:tc>
        <w:tc>
          <w:tcPr>
            <w:tcW w:w="1300" w:type="dxa"/>
            <w:gridSpan w:val="2"/>
            <w:vAlign w:val="bottom"/>
          </w:tcPr>
          <w:p w:rsidR="000728AD" w:rsidRDefault="000561BE">
            <w:pPr>
              <w:ind w:right="220"/>
              <w:jc w:val="center"/>
              <w:rPr>
                <w:sz w:val="20"/>
                <w:szCs w:val="20"/>
              </w:rPr>
            </w:pPr>
            <w:r>
              <w:rPr>
                <w:rFonts w:ascii="Arial" w:eastAsia="Arial" w:hAnsi="Arial" w:cs="Arial"/>
                <w:b/>
                <w:bCs/>
                <w:w w:val="90"/>
                <w:sz w:val="18"/>
                <w:szCs w:val="18"/>
              </w:rPr>
              <w:t>deficit</w:t>
            </w:r>
          </w:p>
        </w:tc>
        <w:tc>
          <w:tcPr>
            <w:tcW w:w="120" w:type="dxa"/>
            <w:vAlign w:val="bottom"/>
          </w:tcPr>
          <w:p w:rsidR="000728AD" w:rsidRDefault="000728AD">
            <w:pPr>
              <w:rPr>
                <w:sz w:val="20"/>
                <w:szCs w:val="20"/>
              </w:rPr>
            </w:pPr>
          </w:p>
        </w:tc>
        <w:tc>
          <w:tcPr>
            <w:tcW w:w="1200" w:type="dxa"/>
            <w:vAlign w:val="bottom"/>
          </w:tcPr>
          <w:p w:rsidR="000728AD" w:rsidRDefault="000561BE">
            <w:pPr>
              <w:ind w:right="31"/>
              <w:jc w:val="center"/>
              <w:rPr>
                <w:sz w:val="20"/>
                <w:szCs w:val="20"/>
              </w:rPr>
            </w:pPr>
            <w:r>
              <w:rPr>
                <w:rFonts w:ascii="Arial" w:eastAsia="Arial" w:hAnsi="Arial" w:cs="Arial"/>
                <w:b/>
                <w:bCs/>
                <w:w w:val="90"/>
                <w:sz w:val="18"/>
                <w:szCs w:val="18"/>
              </w:rPr>
              <w:t>equity</w:t>
            </w:r>
          </w:p>
        </w:tc>
        <w:tc>
          <w:tcPr>
            <w:tcW w:w="0" w:type="dxa"/>
            <w:vAlign w:val="bottom"/>
          </w:tcPr>
          <w:p w:rsidR="000728AD" w:rsidRDefault="000728AD">
            <w:pPr>
              <w:rPr>
                <w:sz w:val="1"/>
                <w:szCs w:val="1"/>
              </w:rPr>
            </w:pPr>
          </w:p>
        </w:tc>
      </w:tr>
      <w:tr w:rsidR="000728AD">
        <w:trPr>
          <w:trHeight w:val="223"/>
        </w:trPr>
        <w:tc>
          <w:tcPr>
            <w:tcW w:w="2800" w:type="dxa"/>
            <w:tcBorders>
              <w:top w:val="single" w:sz="8" w:space="0" w:color="CCEEFF"/>
            </w:tcBorders>
            <w:shd w:val="clear" w:color="auto" w:fill="CCEEFF"/>
            <w:vAlign w:val="bottom"/>
          </w:tcPr>
          <w:p w:rsidR="000728AD" w:rsidRDefault="000561BE">
            <w:pPr>
              <w:ind w:left="20"/>
              <w:rPr>
                <w:sz w:val="20"/>
                <w:szCs w:val="20"/>
              </w:rPr>
            </w:pPr>
            <w:r>
              <w:rPr>
                <w:rFonts w:ascii="Arial" w:eastAsia="Arial" w:hAnsi="Arial" w:cs="Arial"/>
                <w:b/>
                <w:bCs/>
                <w:sz w:val="18"/>
                <w:szCs w:val="18"/>
              </w:rPr>
              <w:t>BALANCE - January 1, 2020</w:t>
            </w:r>
          </w:p>
        </w:tc>
        <w:tc>
          <w:tcPr>
            <w:tcW w:w="132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18"/>
                <w:szCs w:val="18"/>
              </w:rPr>
              <w:t>23,607,797</w:t>
            </w:r>
          </w:p>
        </w:tc>
        <w:tc>
          <w:tcPr>
            <w:tcW w:w="80" w:type="dxa"/>
            <w:tcBorders>
              <w:top w:val="single" w:sz="8" w:space="0" w:color="CCEEFF"/>
            </w:tcBorders>
            <w:shd w:val="clear" w:color="auto" w:fill="CCEEFF"/>
            <w:vAlign w:val="bottom"/>
          </w:tcPr>
          <w:p w:rsidR="000728AD" w:rsidRDefault="000728AD">
            <w:pPr>
              <w:rPr>
                <w:sz w:val="19"/>
                <w:szCs w:val="19"/>
              </w:rPr>
            </w:pPr>
          </w:p>
        </w:tc>
        <w:tc>
          <w:tcPr>
            <w:tcW w:w="1040" w:type="dxa"/>
            <w:tcBorders>
              <w:top w:val="single" w:sz="8" w:space="0" w:color="auto"/>
            </w:tcBorders>
            <w:shd w:val="clear" w:color="auto" w:fill="CCEEFF"/>
            <w:vAlign w:val="bottom"/>
          </w:tcPr>
          <w:p w:rsidR="000728AD" w:rsidRDefault="000561BE">
            <w:pPr>
              <w:ind w:right="830"/>
              <w:jc w:val="right"/>
              <w:rPr>
                <w:sz w:val="20"/>
                <w:szCs w:val="20"/>
              </w:rPr>
            </w:pPr>
            <w:r>
              <w:rPr>
                <w:rFonts w:ascii="Arial" w:eastAsia="Arial" w:hAnsi="Arial" w:cs="Arial"/>
                <w:w w:val="99"/>
                <w:sz w:val="18"/>
                <w:szCs w:val="18"/>
              </w:rPr>
              <w:t>$</w:t>
            </w:r>
          </w:p>
        </w:tc>
        <w:tc>
          <w:tcPr>
            <w:tcW w:w="26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w w:val="89"/>
                <w:sz w:val="18"/>
                <w:szCs w:val="18"/>
              </w:rPr>
              <w:t>24</w:t>
            </w:r>
          </w:p>
        </w:tc>
        <w:tc>
          <w:tcPr>
            <w:tcW w:w="100" w:type="dxa"/>
            <w:tcBorders>
              <w:top w:val="single" w:sz="8" w:space="0" w:color="CCEEFF"/>
            </w:tcBorders>
            <w:shd w:val="clear" w:color="auto" w:fill="CCEEFF"/>
            <w:vAlign w:val="bottom"/>
          </w:tcPr>
          <w:p w:rsidR="000728AD" w:rsidRDefault="000728AD">
            <w:pPr>
              <w:rPr>
                <w:sz w:val="19"/>
                <w:szCs w:val="19"/>
              </w:rPr>
            </w:pPr>
          </w:p>
        </w:tc>
        <w:tc>
          <w:tcPr>
            <w:tcW w:w="18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w w:val="79"/>
                <w:sz w:val="18"/>
                <w:szCs w:val="18"/>
              </w:rPr>
              <w:t>$</w:t>
            </w:r>
          </w:p>
        </w:tc>
        <w:tc>
          <w:tcPr>
            <w:tcW w:w="112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18"/>
                <w:szCs w:val="18"/>
              </w:rPr>
              <w:t>276,286</w:t>
            </w:r>
          </w:p>
        </w:tc>
        <w:tc>
          <w:tcPr>
            <w:tcW w:w="100" w:type="dxa"/>
            <w:tcBorders>
              <w:top w:val="single" w:sz="8" w:space="0" w:color="CCEEFF"/>
            </w:tcBorders>
            <w:shd w:val="clear" w:color="auto" w:fill="CCEEFF"/>
            <w:vAlign w:val="bottom"/>
          </w:tcPr>
          <w:p w:rsidR="000728AD" w:rsidRDefault="000728AD">
            <w:pPr>
              <w:rPr>
                <w:sz w:val="19"/>
                <w:szCs w:val="19"/>
              </w:rPr>
            </w:pPr>
          </w:p>
        </w:tc>
        <w:tc>
          <w:tcPr>
            <w:tcW w:w="10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w w:val="79"/>
                <w:sz w:val="18"/>
                <w:szCs w:val="18"/>
              </w:rPr>
              <w:t>$</w:t>
            </w:r>
          </w:p>
        </w:tc>
        <w:tc>
          <w:tcPr>
            <w:tcW w:w="1300" w:type="dxa"/>
            <w:tcBorders>
              <w:top w:val="single" w:sz="8" w:space="0" w:color="auto"/>
            </w:tcBorders>
            <w:shd w:val="clear" w:color="auto" w:fill="CCEEFF"/>
            <w:vAlign w:val="bottom"/>
          </w:tcPr>
          <w:p w:rsidR="000728AD" w:rsidRDefault="000561BE">
            <w:pPr>
              <w:ind w:left="1060"/>
              <w:rPr>
                <w:sz w:val="20"/>
                <w:szCs w:val="20"/>
              </w:rPr>
            </w:pPr>
            <w:r>
              <w:rPr>
                <w:rFonts w:ascii="Arial" w:eastAsia="Arial" w:hAnsi="Arial" w:cs="Arial"/>
                <w:sz w:val="18"/>
                <w:szCs w:val="18"/>
              </w:rPr>
              <w:t>—</w:t>
            </w:r>
          </w:p>
        </w:tc>
        <w:tc>
          <w:tcPr>
            <w:tcW w:w="100" w:type="dxa"/>
            <w:tcBorders>
              <w:top w:val="single" w:sz="8" w:space="0" w:color="CCEEFF"/>
            </w:tcBorders>
            <w:shd w:val="clear" w:color="auto" w:fill="CCEEFF"/>
            <w:vAlign w:val="bottom"/>
          </w:tcPr>
          <w:p w:rsidR="000728AD" w:rsidRDefault="000728AD">
            <w:pPr>
              <w:rPr>
                <w:sz w:val="19"/>
                <w:szCs w:val="19"/>
              </w:rPr>
            </w:pPr>
          </w:p>
        </w:tc>
        <w:tc>
          <w:tcPr>
            <w:tcW w:w="12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w w:val="79"/>
                <w:sz w:val="18"/>
                <w:szCs w:val="18"/>
              </w:rPr>
              <w:t>$</w:t>
            </w:r>
          </w:p>
        </w:tc>
        <w:tc>
          <w:tcPr>
            <w:tcW w:w="120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18"/>
                <w:szCs w:val="18"/>
              </w:rPr>
              <w:t>(216,086)</w:t>
            </w:r>
          </w:p>
        </w:tc>
        <w:tc>
          <w:tcPr>
            <w:tcW w:w="100" w:type="dxa"/>
            <w:tcBorders>
              <w:top w:val="single" w:sz="8" w:space="0" w:color="CCEEFF"/>
            </w:tcBorders>
            <w:shd w:val="clear" w:color="auto" w:fill="CCEEFF"/>
            <w:vAlign w:val="bottom"/>
          </w:tcPr>
          <w:p w:rsidR="000728AD" w:rsidRDefault="000728AD">
            <w:pPr>
              <w:rPr>
                <w:sz w:val="19"/>
                <w:szCs w:val="19"/>
              </w:rPr>
            </w:pPr>
          </w:p>
        </w:tc>
        <w:tc>
          <w:tcPr>
            <w:tcW w:w="12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w w:val="79"/>
                <w:sz w:val="18"/>
                <w:szCs w:val="18"/>
              </w:rPr>
              <w:t>$</w:t>
            </w:r>
          </w:p>
        </w:tc>
        <w:tc>
          <w:tcPr>
            <w:tcW w:w="120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18"/>
                <w:szCs w:val="18"/>
              </w:rPr>
              <w:t>60,224</w:t>
            </w:r>
          </w:p>
        </w:tc>
        <w:tc>
          <w:tcPr>
            <w:tcW w:w="0" w:type="dxa"/>
            <w:vAlign w:val="bottom"/>
          </w:tcPr>
          <w:p w:rsidR="000728AD" w:rsidRDefault="000728AD">
            <w:pPr>
              <w:rPr>
                <w:sz w:val="1"/>
                <w:szCs w:val="1"/>
              </w:rPr>
            </w:pPr>
          </w:p>
        </w:tc>
      </w:tr>
      <w:tr w:rsidR="000728AD">
        <w:trPr>
          <w:trHeight w:val="229"/>
        </w:trPr>
        <w:tc>
          <w:tcPr>
            <w:tcW w:w="2800" w:type="dxa"/>
            <w:vAlign w:val="bottom"/>
          </w:tcPr>
          <w:p w:rsidR="000728AD" w:rsidRDefault="000561BE">
            <w:pPr>
              <w:ind w:left="20"/>
              <w:rPr>
                <w:sz w:val="20"/>
                <w:szCs w:val="20"/>
              </w:rPr>
            </w:pPr>
            <w:r>
              <w:rPr>
                <w:rFonts w:ascii="Arial" w:eastAsia="Arial" w:hAnsi="Arial" w:cs="Arial"/>
                <w:sz w:val="18"/>
                <w:szCs w:val="18"/>
              </w:rPr>
              <w:t>Stock-based compensation</w:t>
            </w:r>
          </w:p>
        </w:tc>
        <w:tc>
          <w:tcPr>
            <w:tcW w:w="1320" w:type="dxa"/>
            <w:vAlign w:val="bottom"/>
          </w:tcPr>
          <w:p w:rsidR="000728AD" w:rsidRDefault="000728AD">
            <w:pPr>
              <w:rPr>
                <w:sz w:val="19"/>
                <w:szCs w:val="19"/>
              </w:rPr>
            </w:pPr>
          </w:p>
        </w:tc>
        <w:tc>
          <w:tcPr>
            <w:tcW w:w="80" w:type="dxa"/>
            <w:vAlign w:val="bottom"/>
          </w:tcPr>
          <w:p w:rsidR="000728AD" w:rsidRDefault="000728AD">
            <w:pPr>
              <w:rPr>
                <w:sz w:val="19"/>
                <w:szCs w:val="19"/>
              </w:rPr>
            </w:pPr>
          </w:p>
        </w:tc>
        <w:tc>
          <w:tcPr>
            <w:tcW w:w="1040" w:type="dxa"/>
            <w:vAlign w:val="bottom"/>
          </w:tcPr>
          <w:p w:rsidR="000728AD" w:rsidRDefault="000728AD">
            <w:pPr>
              <w:rPr>
                <w:sz w:val="19"/>
                <w:szCs w:val="19"/>
              </w:rPr>
            </w:pPr>
          </w:p>
        </w:tc>
        <w:tc>
          <w:tcPr>
            <w:tcW w:w="26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180" w:type="dxa"/>
            <w:vAlign w:val="bottom"/>
          </w:tcPr>
          <w:p w:rsidR="000728AD" w:rsidRDefault="000728AD">
            <w:pPr>
              <w:rPr>
                <w:sz w:val="19"/>
                <w:szCs w:val="19"/>
              </w:rPr>
            </w:pPr>
          </w:p>
        </w:tc>
        <w:tc>
          <w:tcPr>
            <w:tcW w:w="1120" w:type="dxa"/>
            <w:vAlign w:val="bottom"/>
          </w:tcPr>
          <w:p w:rsidR="000728AD" w:rsidRDefault="000561BE">
            <w:pPr>
              <w:jc w:val="right"/>
              <w:rPr>
                <w:sz w:val="20"/>
                <w:szCs w:val="20"/>
              </w:rPr>
            </w:pPr>
            <w:r>
              <w:rPr>
                <w:rFonts w:ascii="Arial" w:eastAsia="Arial" w:hAnsi="Arial" w:cs="Arial"/>
                <w:sz w:val="18"/>
                <w:szCs w:val="18"/>
              </w:rPr>
              <w:t>1,599</w:t>
            </w:r>
          </w:p>
        </w:tc>
        <w:tc>
          <w:tcPr>
            <w:tcW w:w="10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130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120" w:type="dxa"/>
            <w:vAlign w:val="bottom"/>
          </w:tcPr>
          <w:p w:rsidR="000728AD" w:rsidRDefault="000728AD">
            <w:pPr>
              <w:rPr>
                <w:sz w:val="19"/>
                <w:szCs w:val="19"/>
              </w:rPr>
            </w:pPr>
          </w:p>
        </w:tc>
        <w:tc>
          <w:tcPr>
            <w:tcW w:w="120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120" w:type="dxa"/>
            <w:vAlign w:val="bottom"/>
          </w:tcPr>
          <w:p w:rsidR="000728AD" w:rsidRDefault="000728AD">
            <w:pPr>
              <w:rPr>
                <w:sz w:val="19"/>
                <w:szCs w:val="19"/>
              </w:rPr>
            </w:pPr>
          </w:p>
        </w:tc>
        <w:tc>
          <w:tcPr>
            <w:tcW w:w="1200" w:type="dxa"/>
            <w:vAlign w:val="bottom"/>
          </w:tcPr>
          <w:p w:rsidR="000728AD" w:rsidRDefault="000561BE">
            <w:pPr>
              <w:jc w:val="right"/>
              <w:rPr>
                <w:sz w:val="20"/>
                <w:szCs w:val="20"/>
              </w:rPr>
            </w:pPr>
            <w:r>
              <w:rPr>
                <w:rFonts w:ascii="Arial" w:eastAsia="Arial" w:hAnsi="Arial" w:cs="Arial"/>
                <w:sz w:val="18"/>
                <w:szCs w:val="18"/>
              </w:rPr>
              <w:t>1,599</w:t>
            </w:r>
          </w:p>
        </w:tc>
        <w:tc>
          <w:tcPr>
            <w:tcW w:w="0" w:type="dxa"/>
            <w:vAlign w:val="bottom"/>
          </w:tcPr>
          <w:p w:rsidR="000728AD" w:rsidRDefault="000728AD">
            <w:pPr>
              <w:rPr>
                <w:sz w:val="1"/>
                <w:szCs w:val="1"/>
              </w:rPr>
            </w:pPr>
          </w:p>
        </w:tc>
      </w:tr>
      <w:tr w:rsidR="000728AD">
        <w:trPr>
          <w:trHeight w:val="230"/>
        </w:trPr>
        <w:tc>
          <w:tcPr>
            <w:tcW w:w="2800" w:type="dxa"/>
            <w:shd w:val="clear" w:color="auto" w:fill="CCEEFF"/>
            <w:vAlign w:val="bottom"/>
          </w:tcPr>
          <w:p w:rsidR="000728AD" w:rsidRDefault="000561BE">
            <w:pPr>
              <w:ind w:left="20"/>
              <w:rPr>
                <w:sz w:val="20"/>
                <w:szCs w:val="20"/>
              </w:rPr>
            </w:pPr>
            <w:r>
              <w:rPr>
                <w:rFonts w:ascii="Arial" w:eastAsia="Arial" w:hAnsi="Arial" w:cs="Arial"/>
                <w:sz w:val="18"/>
                <w:szCs w:val="18"/>
              </w:rPr>
              <w:t>Net loss</w:t>
            </w:r>
          </w:p>
        </w:tc>
        <w:tc>
          <w:tcPr>
            <w:tcW w:w="1320" w:type="dxa"/>
            <w:tcBorders>
              <w:bottom w:val="single" w:sz="8" w:space="0" w:color="auto"/>
            </w:tcBorders>
            <w:shd w:val="clear" w:color="auto" w:fill="CCEEFF"/>
            <w:vAlign w:val="bottom"/>
          </w:tcPr>
          <w:p w:rsidR="000728AD" w:rsidRDefault="000728AD">
            <w:pPr>
              <w:rPr>
                <w:sz w:val="19"/>
                <w:szCs w:val="19"/>
              </w:rPr>
            </w:pPr>
          </w:p>
        </w:tc>
        <w:tc>
          <w:tcPr>
            <w:tcW w:w="80" w:type="dxa"/>
            <w:shd w:val="clear" w:color="auto" w:fill="CCEEFF"/>
            <w:vAlign w:val="bottom"/>
          </w:tcPr>
          <w:p w:rsidR="000728AD" w:rsidRDefault="000728AD">
            <w:pPr>
              <w:rPr>
                <w:sz w:val="19"/>
                <w:szCs w:val="19"/>
              </w:rPr>
            </w:pPr>
          </w:p>
        </w:tc>
        <w:tc>
          <w:tcPr>
            <w:tcW w:w="1040" w:type="dxa"/>
            <w:tcBorders>
              <w:bottom w:val="single" w:sz="8" w:space="0" w:color="auto"/>
            </w:tcBorders>
            <w:shd w:val="clear" w:color="auto" w:fill="CCEEFF"/>
            <w:vAlign w:val="bottom"/>
          </w:tcPr>
          <w:p w:rsidR="000728AD" w:rsidRDefault="000728AD">
            <w:pPr>
              <w:rPr>
                <w:sz w:val="19"/>
                <w:szCs w:val="19"/>
              </w:rPr>
            </w:pPr>
          </w:p>
        </w:tc>
        <w:tc>
          <w:tcPr>
            <w:tcW w:w="260" w:type="dxa"/>
            <w:tcBorders>
              <w:bottom w:val="single" w:sz="8" w:space="0" w:color="auto"/>
            </w:tcBorders>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180" w:type="dxa"/>
            <w:tcBorders>
              <w:bottom w:val="single" w:sz="8" w:space="0" w:color="auto"/>
            </w:tcBorders>
            <w:shd w:val="clear" w:color="auto" w:fill="CCEEFF"/>
            <w:vAlign w:val="bottom"/>
          </w:tcPr>
          <w:p w:rsidR="000728AD" w:rsidRDefault="000728AD">
            <w:pPr>
              <w:rPr>
                <w:sz w:val="19"/>
                <w:szCs w:val="19"/>
              </w:rPr>
            </w:pPr>
          </w:p>
        </w:tc>
        <w:tc>
          <w:tcPr>
            <w:tcW w:w="1120" w:type="dxa"/>
            <w:tcBorders>
              <w:bottom w:val="single" w:sz="8" w:space="0" w:color="auto"/>
            </w:tcBorders>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100" w:type="dxa"/>
            <w:tcBorders>
              <w:bottom w:val="single" w:sz="8" w:space="0" w:color="auto"/>
            </w:tcBorders>
            <w:shd w:val="clear" w:color="auto" w:fill="CCEEFF"/>
            <w:vAlign w:val="bottom"/>
          </w:tcPr>
          <w:p w:rsidR="000728AD" w:rsidRDefault="000728AD">
            <w:pPr>
              <w:rPr>
                <w:sz w:val="19"/>
                <w:szCs w:val="19"/>
              </w:rPr>
            </w:pPr>
          </w:p>
        </w:tc>
        <w:tc>
          <w:tcPr>
            <w:tcW w:w="1300" w:type="dxa"/>
            <w:tcBorders>
              <w:bottom w:val="single" w:sz="8" w:space="0" w:color="auto"/>
            </w:tcBorders>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120" w:type="dxa"/>
            <w:tcBorders>
              <w:bottom w:val="single" w:sz="8" w:space="0" w:color="auto"/>
            </w:tcBorders>
            <w:shd w:val="clear" w:color="auto" w:fill="CCEEFF"/>
            <w:vAlign w:val="bottom"/>
          </w:tcPr>
          <w:p w:rsidR="000728AD" w:rsidRDefault="000728AD">
            <w:pPr>
              <w:rPr>
                <w:sz w:val="19"/>
                <w:szCs w:val="19"/>
              </w:rPr>
            </w:pPr>
          </w:p>
        </w:tc>
        <w:tc>
          <w:tcPr>
            <w:tcW w:w="120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18"/>
                <w:szCs w:val="18"/>
              </w:rPr>
              <w:t>(15,009)</w:t>
            </w:r>
          </w:p>
        </w:tc>
        <w:tc>
          <w:tcPr>
            <w:tcW w:w="100" w:type="dxa"/>
            <w:shd w:val="clear" w:color="auto" w:fill="CCEEFF"/>
            <w:vAlign w:val="bottom"/>
          </w:tcPr>
          <w:p w:rsidR="000728AD" w:rsidRDefault="000728AD">
            <w:pPr>
              <w:rPr>
                <w:sz w:val="19"/>
                <w:szCs w:val="19"/>
              </w:rPr>
            </w:pPr>
          </w:p>
        </w:tc>
        <w:tc>
          <w:tcPr>
            <w:tcW w:w="120" w:type="dxa"/>
            <w:tcBorders>
              <w:bottom w:val="single" w:sz="8" w:space="0" w:color="auto"/>
            </w:tcBorders>
            <w:shd w:val="clear" w:color="auto" w:fill="CCEEFF"/>
            <w:vAlign w:val="bottom"/>
          </w:tcPr>
          <w:p w:rsidR="000728AD" w:rsidRDefault="000728AD">
            <w:pPr>
              <w:rPr>
                <w:sz w:val="19"/>
                <w:szCs w:val="19"/>
              </w:rPr>
            </w:pPr>
          </w:p>
        </w:tc>
        <w:tc>
          <w:tcPr>
            <w:tcW w:w="120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18"/>
                <w:szCs w:val="18"/>
              </w:rPr>
              <w:t>(15,009)</w:t>
            </w:r>
          </w:p>
        </w:tc>
        <w:tc>
          <w:tcPr>
            <w:tcW w:w="0" w:type="dxa"/>
            <w:vAlign w:val="bottom"/>
          </w:tcPr>
          <w:p w:rsidR="000728AD" w:rsidRDefault="000728AD">
            <w:pPr>
              <w:rPr>
                <w:sz w:val="1"/>
                <w:szCs w:val="1"/>
              </w:rPr>
            </w:pPr>
          </w:p>
        </w:tc>
      </w:tr>
      <w:tr w:rsidR="000728AD">
        <w:trPr>
          <w:trHeight w:val="223"/>
        </w:trPr>
        <w:tc>
          <w:tcPr>
            <w:tcW w:w="2800" w:type="dxa"/>
            <w:vAlign w:val="bottom"/>
          </w:tcPr>
          <w:p w:rsidR="000728AD" w:rsidRDefault="000561BE">
            <w:pPr>
              <w:ind w:left="20"/>
              <w:rPr>
                <w:sz w:val="20"/>
                <w:szCs w:val="20"/>
              </w:rPr>
            </w:pPr>
            <w:r>
              <w:rPr>
                <w:rFonts w:ascii="Arial" w:eastAsia="Arial" w:hAnsi="Arial" w:cs="Arial"/>
                <w:b/>
                <w:bCs/>
                <w:sz w:val="18"/>
                <w:szCs w:val="18"/>
              </w:rPr>
              <w:t>BALANCE - March 31, 2020</w:t>
            </w:r>
          </w:p>
        </w:tc>
        <w:tc>
          <w:tcPr>
            <w:tcW w:w="1320" w:type="dxa"/>
            <w:tcBorders>
              <w:bottom w:val="single" w:sz="8" w:space="0" w:color="auto"/>
            </w:tcBorders>
            <w:vAlign w:val="bottom"/>
          </w:tcPr>
          <w:p w:rsidR="000728AD" w:rsidRDefault="000561BE">
            <w:pPr>
              <w:jc w:val="right"/>
              <w:rPr>
                <w:sz w:val="20"/>
                <w:szCs w:val="20"/>
              </w:rPr>
            </w:pPr>
            <w:r>
              <w:rPr>
                <w:rFonts w:ascii="Arial" w:eastAsia="Arial" w:hAnsi="Arial" w:cs="Arial"/>
                <w:sz w:val="18"/>
                <w:szCs w:val="18"/>
              </w:rPr>
              <w:t>23,607,797</w:t>
            </w:r>
          </w:p>
        </w:tc>
        <w:tc>
          <w:tcPr>
            <w:tcW w:w="80" w:type="dxa"/>
            <w:vAlign w:val="bottom"/>
          </w:tcPr>
          <w:p w:rsidR="000728AD" w:rsidRDefault="000728AD">
            <w:pPr>
              <w:rPr>
                <w:sz w:val="19"/>
                <w:szCs w:val="19"/>
              </w:rPr>
            </w:pPr>
          </w:p>
        </w:tc>
        <w:tc>
          <w:tcPr>
            <w:tcW w:w="1040" w:type="dxa"/>
            <w:tcBorders>
              <w:bottom w:val="single" w:sz="8" w:space="0" w:color="auto"/>
            </w:tcBorders>
            <w:vAlign w:val="bottom"/>
          </w:tcPr>
          <w:p w:rsidR="000728AD" w:rsidRDefault="000561BE">
            <w:pPr>
              <w:ind w:right="830"/>
              <w:jc w:val="right"/>
              <w:rPr>
                <w:sz w:val="20"/>
                <w:szCs w:val="20"/>
              </w:rPr>
            </w:pPr>
            <w:r>
              <w:rPr>
                <w:rFonts w:ascii="Arial" w:eastAsia="Arial" w:hAnsi="Arial" w:cs="Arial"/>
                <w:w w:val="99"/>
                <w:sz w:val="18"/>
                <w:szCs w:val="18"/>
              </w:rPr>
              <w:t>$</w:t>
            </w:r>
          </w:p>
        </w:tc>
        <w:tc>
          <w:tcPr>
            <w:tcW w:w="260" w:type="dxa"/>
            <w:tcBorders>
              <w:bottom w:val="single" w:sz="8" w:space="0" w:color="auto"/>
            </w:tcBorders>
            <w:vAlign w:val="bottom"/>
          </w:tcPr>
          <w:p w:rsidR="000728AD" w:rsidRDefault="000561BE">
            <w:pPr>
              <w:jc w:val="right"/>
              <w:rPr>
                <w:sz w:val="20"/>
                <w:szCs w:val="20"/>
              </w:rPr>
            </w:pPr>
            <w:r>
              <w:rPr>
                <w:rFonts w:ascii="Arial" w:eastAsia="Arial" w:hAnsi="Arial" w:cs="Arial"/>
                <w:w w:val="89"/>
                <w:sz w:val="18"/>
                <w:szCs w:val="18"/>
              </w:rPr>
              <w:t>24</w:t>
            </w:r>
          </w:p>
        </w:tc>
        <w:tc>
          <w:tcPr>
            <w:tcW w:w="100" w:type="dxa"/>
            <w:vAlign w:val="bottom"/>
          </w:tcPr>
          <w:p w:rsidR="000728AD" w:rsidRDefault="000728AD">
            <w:pPr>
              <w:rPr>
                <w:sz w:val="19"/>
                <w:szCs w:val="19"/>
              </w:rPr>
            </w:pPr>
          </w:p>
        </w:tc>
        <w:tc>
          <w:tcPr>
            <w:tcW w:w="180" w:type="dxa"/>
            <w:tcBorders>
              <w:bottom w:val="single" w:sz="8" w:space="0" w:color="auto"/>
            </w:tcBorders>
            <w:vAlign w:val="bottom"/>
          </w:tcPr>
          <w:p w:rsidR="000728AD" w:rsidRDefault="000561BE">
            <w:pPr>
              <w:jc w:val="right"/>
              <w:rPr>
                <w:sz w:val="20"/>
                <w:szCs w:val="20"/>
              </w:rPr>
            </w:pPr>
            <w:r>
              <w:rPr>
                <w:rFonts w:ascii="Arial" w:eastAsia="Arial" w:hAnsi="Arial" w:cs="Arial"/>
                <w:w w:val="79"/>
                <w:sz w:val="18"/>
                <w:szCs w:val="18"/>
              </w:rPr>
              <w:t>$</w:t>
            </w:r>
          </w:p>
        </w:tc>
        <w:tc>
          <w:tcPr>
            <w:tcW w:w="1120" w:type="dxa"/>
            <w:tcBorders>
              <w:bottom w:val="single" w:sz="8" w:space="0" w:color="auto"/>
            </w:tcBorders>
            <w:vAlign w:val="bottom"/>
          </w:tcPr>
          <w:p w:rsidR="000728AD" w:rsidRDefault="000561BE">
            <w:pPr>
              <w:jc w:val="right"/>
              <w:rPr>
                <w:sz w:val="20"/>
                <w:szCs w:val="20"/>
              </w:rPr>
            </w:pPr>
            <w:r>
              <w:rPr>
                <w:rFonts w:ascii="Arial" w:eastAsia="Arial" w:hAnsi="Arial" w:cs="Arial"/>
                <w:sz w:val="18"/>
                <w:szCs w:val="18"/>
              </w:rPr>
              <w:t>277,885</w:t>
            </w:r>
          </w:p>
        </w:tc>
        <w:tc>
          <w:tcPr>
            <w:tcW w:w="100" w:type="dxa"/>
            <w:vAlign w:val="bottom"/>
          </w:tcPr>
          <w:p w:rsidR="000728AD" w:rsidRDefault="000728AD">
            <w:pPr>
              <w:rPr>
                <w:sz w:val="19"/>
                <w:szCs w:val="19"/>
              </w:rPr>
            </w:pPr>
          </w:p>
        </w:tc>
        <w:tc>
          <w:tcPr>
            <w:tcW w:w="100" w:type="dxa"/>
            <w:tcBorders>
              <w:bottom w:val="single" w:sz="8" w:space="0" w:color="auto"/>
            </w:tcBorders>
            <w:vAlign w:val="bottom"/>
          </w:tcPr>
          <w:p w:rsidR="000728AD" w:rsidRDefault="000561BE">
            <w:pPr>
              <w:jc w:val="right"/>
              <w:rPr>
                <w:sz w:val="20"/>
                <w:szCs w:val="20"/>
              </w:rPr>
            </w:pPr>
            <w:r>
              <w:rPr>
                <w:rFonts w:ascii="Arial" w:eastAsia="Arial" w:hAnsi="Arial" w:cs="Arial"/>
                <w:w w:val="79"/>
                <w:sz w:val="18"/>
                <w:szCs w:val="18"/>
              </w:rPr>
              <w:t>$</w:t>
            </w:r>
          </w:p>
        </w:tc>
        <w:tc>
          <w:tcPr>
            <w:tcW w:w="1300" w:type="dxa"/>
            <w:tcBorders>
              <w:bottom w:val="single" w:sz="8" w:space="0" w:color="auto"/>
            </w:tcBorders>
            <w:vAlign w:val="bottom"/>
          </w:tcPr>
          <w:p w:rsidR="000728AD" w:rsidRDefault="000561BE">
            <w:pPr>
              <w:ind w:left="1060"/>
              <w:rPr>
                <w:sz w:val="20"/>
                <w:szCs w:val="20"/>
              </w:rPr>
            </w:pPr>
            <w:r>
              <w:rPr>
                <w:rFonts w:ascii="Arial" w:eastAsia="Arial" w:hAnsi="Arial" w:cs="Arial"/>
                <w:sz w:val="18"/>
                <w:szCs w:val="18"/>
              </w:rPr>
              <w:t>—</w:t>
            </w:r>
          </w:p>
        </w:tc>
        <w:tc>
          <w:tcPr>
            <w:tcW w:w="100" w:type="dxa"/>
            <w:vAlign w:val="bottom"/>
          </w:tcPr>
          <w:p w:rsidR="000728AD" w:rsidRDefault="000728AD">
            <w:pPr>
              <w:rPr>
                <w:sz w:val="19"/>
                <w:szCs w:val="19"/>
              </w:rPr>
            </w:pPr>
          </w:p>
        </w:tc>
        <w:tc>
          <w:tcPr>
            <w:tcW w:w="120" w:type="dxa"/>
            <w:tcBorders>
              <w:bottom w:val="single" w:sz="8" w:space="0" w:color="auto"/>
            </w:tcBorders>
            <w:vAlign w:val="bottom"/>
          </w:tcPr>
          <w:p w:rsidR="000728AD" w:rsidRDefault="000561BE">
            <w:pPr>
              <w:jc w:val="right"/>
              <w:rPr>
                <w:sz w:val="20"/>
                <w:szCs w:val="20"/>
              </w:rPr>
            </w:pPr>
            <w:r>
              <w:rPr>
                <w:rFonts w:ascii="Arial" w:eastAsia="Arial" w:hAnsi="Arial" w:cs="Arial"/>
                <w:w w:val="79"/>
                <w:sz w:val="18"/>
                <w:szCs w:val="18"/>
              </w:rPr>
              <w:t>$</w:t>
            </w:r>
          </w:p>
        </w:tc>
        <w:tc>
          <w:tcPr>
            <w:tcW w:w="1200" w:type="dxa"/>
            <w:tcBorders>
              <w:bottom w:val="single" w:sz="8" w:space="0" w:color="auto"/>
            </w:tcBorders>
            <w:vAlign w:val="bottom"/>
          </w:tcPr>
          <w:p w:rsidR="000728AD" w:rsidRDefault="000561BE">
            <w:pPr>
              <w:jc w:val="right"/>
              <w:rPr>
                <w:sz w:val="20"/>
                <w:szCs w:val="20"/>
              </w:rPr>
            </w:pPr>
            <w:r>
              <w:rPr>
                <w:rFonts w:ascii="Arial" w:eastAsia="Arial" w:hAnsi="Arial" w:cs="Arial"/>
                <w:sz w:val="18"/>
                <w:szCs w:val="18"/>
              </w:rPr>
              <w:t>(231,095)</w:t>
            </w:r>
          </w:p>
        </w:tc>
        <w:tc>
          <w:tcPr>
            <w:tcW w:w="100" w:type="dxa"/>
            <w:vAlign w:val="bottom"/>
          </w:tcPr>
          <w:p w:rsidR="000728AD" w:rsidRDefault="000728AD">
            <w:pPr>
              <w:rPr>
                <w:sz w:val="19"/>
                <w:szCs w:val="19"/>
              </w:rPr>
            </w:pPr>
          </w:p>
        </w:tc>
        <w:tc>
          <w:tcPr>
            <w:tcW w:w="120" w:type="dxa"/>
            <w:tcBorders>
              <w:bottom w:val="single" w:sz="8" w:space="0" w:color="auto"/>
            </w:tcBorders>
            <w:vAlign w:val="bottom"/>
          </w:tcPr>
          <w:p w:rsidR="000728AD" w:rsidRDefault="000561BE">
            <w:pPr>
              <w:jc w:val="right"/>
              <w:rPr>
                <w:sz w:val="20"/>
                <w:szCs w:val="20"/>
              </w:rPr>
            </w:pPr>
            <w:r>
              <w:rPr>
                <w:rFonts w:ascii="Arial" w:eastAsia="Arial" w:hAnsi="Arial" w:cs="Arial"/>
                <w:w w:val="79"/>
                <w:sz w:val="18"/>
                <w:szCs w:val="18"/>
              </w:rPr>
              <w:t>$</w:t>
            </w:r>
          </w:p>
        </w:tc>
        <w:tc>
          <w:tcPr>
            <w:tcW w:w="1200" w:type="dxa"/>
            <w:tcBorders>
              <w:bottom w:val="single" w:sz="8" w:space="0" w:color="auto"/>
            </w:tcBorders>
            <w:vAlign w:val="bottom"/>
          </w:tcPr>
          <w:p w:rsidR="000728AD" w:rsidRDefault="000561BE">
            <w:pPr>
              <w:jc w:val="right"/>
              <w:rPr>
                <w:sz w:val="20"/>
                <w:szCs w:val="20"/>
              </w:rPr>
            </w:pPr>
            <w:r>
              <w:rPr>
                <w:rFonts w:ascii="Arial" w:eastAsia="Arial" w:hAnsi="Arial" w:cs="Arial"/>
                <w:sz w:val="18"/>
                <w:szCs w:val="18"/>
              </w:rPr>
              <w:t>46,814</w:t>
            </w:r>
          </w:p>
        </w:tc>
        <w:tc>
          <w:tcPr>
            <w:tcW w:w="0" w:type="dxa"/>
            <w:vAlign w:val="bottom"/>
          </w:tcPr>
          <w:p w:rsidR="000728AD" w:rsidRDefault="000728AD">
            <w:pPr>
              <w:rPr>
                <w:sz w:val="1"/>
                <w:szCs w:val="1"/>
              </w:rPr>
            </w:pPr>
          </w:p>
        </w:tc>
      </w:tr>
      <w:tr w:rsidR="000728AD">
        <w:trPr>
          <w:trHeight w:val="20"/>
        </w:trPr>
        <w:tc>
          <w:tcPr>
            <w:tcW w:w="2800" w:type="dxa"/>
            <w:tcBorders>
              <w:bottom w:val="single" w:sz="8" w:space="0" w:color="CCEEFF"/>
            </w:tcBorders>
            <w:vAlign w:val="bottom"/>
          </w:tcPr>
          <w:p w:rsidR="000728AD" w:rsidRDefault="000728AD">
            <w:pPr>
              <w:spacing w:line="20" w:lineRule="exact"/>
              <w:rPr>
                <w:sz w:val="1"/>
                <w:szCs w:val="1"/>
              </w:rPr>
            </w:pPr>
          </w:p>
        </w:tc>
        <w:tc>
          <w:tcPr>
            <w:tcW w:w="1320" w:type="dxa"/>
            <w:tcBorders>
              <w:bottom w:val="single" w:sz="8" w:space="0" w:color="auto"/>
            </w:tcBorders>
            <w:vAlign w:val="bottom"/>
          </w:tcPr>
          <w:p w:rsidR="000728AD" w:rsidRDefault="000728AD">
            <w:pPr>
              <w:spacing w:line="20" w:lineRule="exact"/>
              <w:rPr>
                <w:sz w:val="1"/>
                <w:szCs w:val="1"/>
              </w:rPr>
            </w:pPr>
          </w:p>
        </w:tc>
        <w:tc>
          <w:tcPr>
            <w:tcW w:w="80" w:type="dxa"/>
            <w:tcBorders>
              <w:bottom w:val="single" w:sz="8" w:space="0" w:color="CCEEFF"/>
            </w:tcBorders>
            <w:vAlign w:val="bottom"/>
          </w:tcPr>
          <w:p w:rsidR="000728AD" w:rsidRDefault="000728AD">
            <w:pPr>
              <w:spacing w:line="20" w:lineRule="exact"/>
              <w:rPr>
                <w:sz w:val="1"/>
                <w:szCs w:val="1"/>
              </w:rPr>
            </w:pPr>
          </w:p>
        </w:tc>
        <w:tc>
          <w:tcPr>
            <w:tcW w:w="1040" w:type="dxa"/>
            <w:tcBorders>
              <w:bottom w:val="single" w:sz="8" w:space="0" w:color="auto"/>
            </w:tcBorders>
            <w:vAlign w:val="bottom"/>
          </w:tcPr>
          <w:p w:rsidR="000728AD" w:rsidRDefault="000728AD">
            <w:pPr>
              <w:spacing w:line="20" w:lineRule="exact"/>
              <w:rPr>
                <w:sz w:val="1"/>
                <w:szCs w:val="1"/>
              </w:rPr>
            </w:pPr>
          </w:p>
        </w:tc>
        <w:tc>
          <w:tcPr>
            <w:tcW w:w="260" w:type="dxa"/>
            <w:tcBorders>
              <w:bottom w:val="single" w:sz="8" w:space="0" w:color="auto"/>
            </w:tcBorders>
            <w:vAlign w:val="bottom"/>
          </w:tcPr>
          <w:p w:rsidR="000728AD" w:rsidRDefault="000728AD">
            <w:pPr>
              <w:spacing w:line="20" w:lineRule="exact"/>
              <w:rPr>
                <w:sz w:val="1"/>
                <w:szCs w:val="1"/>
              </w:rPr>
            </w:pPr>
          </w:p>
        </w:tc>
        <w:tc>
          <w:tcPr>
            <w:tcW w:w="100" w:type="dxa"/>
            <w:tcBorders>
              <w:bottom w:val="single" w:sz="8" w:space="0" w:color="CCEEFF"/>
            </w:tcBorders>
            <w:vAlign w:val="bottom"/>
          </w:tcPr>
          <w:p w:rsidR="000728AD" w:rsidRDefault="000728AD">
            <w:pPr>
              <w:spacing w:line="20" w:lineRule="exact"/>
              <w:rPr>
                <w:sz w:val="1"/>
                <w:szCs w:val="1"/>
              </w:rPr>
            </w:pPr>
          </w:p>
        </w:tc>
        <w:tc>
          <w:tcPr>
            <w:tcW w:w="180" w:type="dxa"/>
            <w:tcBorders>
              <w:bottom w:val="single" w:sz="8" w:space="0" w:color="auto"/>
            </w:tcBorders>
            <w:vAlign w:val="bottom"/>
          </w:tcPr>
          <w:p w:rsidR="000728AD" w:rsidRDefault="000728AD">
            <w:pPr>
              <w:spacing w:line="20" w:lineRule="exact"/>
              <w:rPr>
                <w:sz w:val="1"/>
                <w:szCs w:val="1"/>
              </w:rPr>
            </w:pPr>
          </w:p>
        </w:tc>
        <w:tc>
          <w:tcPr>
            <w:tcW w:w="1120" w:type="dxa"/>
            <w:tcBorders>
              <w:bottom w:val="single" w:sz="8" w:space="0" w:color="auto"/>
            </w:tcBorders>
            <w:vAlign w:val="bottom"/>
          </w:tcPr>
          <w:p w:rsidR="000728AD" w:rsidRDefault="000728AD">
            <w:pPr>
              <w:spacing w:line="20" w:lineRule="exact"/>
              <w:rPr>
                <w:sz w:val="1"/>
                <w:szCs w:val="1"/>
              </w:rPr>
            </w:pPr>
          </w:p>
        </w:tc>
        <w:tc>
          <w:tcPr>
            <w:tcW w:w="100" w:type="dxa"/>
            <w:tcBorders>
              <w:bottom w:val="single" w:sz="8" w:space="0" w:color="CCEEFF"/>
            </w:tcBorders>
            <w:vAlign w:val="bottom"/>
          </w:tcPr>
          <w:p w:rsidR="000728AD" w:rsidRDefault="000728AD">
            <w:pPr>
              <w:spacing w:line="20" w:lineRule="exact"/>
              <w:rPr>
                <w:sz w:val="1"/>
                <w:szCs w:val="1"/>
              </w:rPr>
            </w:pPr>
          </w:p>
        </w:tc>
        <w:tc>
          <w:tcPr>
            <w:tcW w:w="100" w:type="dxa"/>
            <w:tcBorders>
              <w:bottom w:val="single" w:sz="8" w:space="0" w:color="auto"/>
            </w:tcBorders>
            <w:vAlign w:val="bottom"/>
          </w:tcPr>
          <w:p w:rsidR="000728AD" w:rsidRDefault="000728AD">
            <w:pPr>
              <w:spacing w:line="20" w:lineRule="exact"/>
              <w:rPr>
                <w:sz w:val="1"/>
                <w:szCs w:val="1"/>
              </w:rPr>
            </w:pPr>
          </w:p>
        </w:tc>
        <w:tc>
          <w:tcPr>
            <w:tcW w:w="1300" w:type="dxa"/>
            <w:tcBorders>
              <w:bottom w:val="single" w:sz="8" w:space="0" w:color="auto"/>
            </w:tcBorders>
            <w:vAlign w:val="bottom"/>
          </w:tcPr>
          <w:p w:rsidR="000728AD" w:rsidRDefault="000728AD">
            <w:pPr>
              <w:spacing w:line="20" w:lineRule="exact"/>
              <w:rPr>
                <w:sz w:val="1"/>
                <w:szCs w:val="1"/>
              </w:rPr>
            </w:pPr>
          </w:p>
        </w:tc>
        <w:tc>
          <w:tcPr>
            <w:tcW w:w="100" w:type="dxa"/>
            <w:tcBorders>
              <w:bottom w:val="single" w:sz="8" w:space="0" w:color="CCEEFF"/>
            </w:tcBorders>
            <w:vAlign w:val="bottom"/>
          </w:tcPr>
          <w:p w:rsidR="000728AD" w:rsidRDefault="000728AD">
            <w:pPr>
              <w:spacing w:line="20" w:lineRule="exact"/>
              <w:rPr>
                <w:sz w:val="1"/>
                <w:szCs w:val="1"/>
              </w:rPr>
            </w:pPr>
          </w:p>
        </w:tc>
        <w:tc>
          <w:tcPr>
            <w:tcW w:w="120" w:type="dxa"/>
            <w:tcBorders>
              <w:bottom w:val="single" w:sz="8" w:space="0" w:color="auto"/>
            </w:tcBorders>
            <w:vAlign w:val="bottom"/>
          </w:tcPr>
          <w:p w:rsidR="000728AD" w:rsidRDefault="000728AD">
            <w:pPr>
              <w:spacing w:line="20" w:lineRule="exact"/>
              <w:rPr>
                <w:sz w:val="1"/>
                <w:szCs w:val="1"/>
              </w:rPr>
            </w:pPr>
          </w:p>
        </w:tc>
        <w:tc>
          <w:tcPr>
            <w:tcW w:w="1200" w:type="dxa"/>
            <w:tcBorders>
              <w:bottom w:val="single" w:sz="8" w:space="0" w:color="auto"/>
            </w:tcBorders>
            <w:vAlign w:val="bottom"/>
          </w:tcPr>
          <w:p w:rsidR="000728AD" w:rsidRDefault="000728AD">
            <w:pPr>
              <w:spacing w:line="20" w:lineRule="exact"/>
              <w:rPr>
                <w:sz w:val="1"/>
                <w:szCs w:val="1"/>
              </w:rPr>
            </w:pPr>
          </w:p>
        </w:tc>
        <w:tc>
          <w:tcPr>
            <w:tcW w:w="100" w:type="dxa"/>
            <w:tcBorders>
              <w:bottom w:val="single" w:sz="8" w:space="0" w:color="CCEEFF"/>
            </w:tcBorders>
            <w:vAlign w:val="bottom"/>
          </w:tcPr>
          <w:p w:rsidR="000728AD" w:rsidRDefault="000728AD">
            <w:pPr>
              <w:spacing w:line="20" w:lineRule="exact"/>
              <w:rPr>
                <w:sz w:val="1"/>
                <w:szCs w:val="1"/>
              </w:rPr>
            </w:pPr>
          </w:p>
        </w:tc>
        <w:tc>
          <w:tcPr>
            <w:tcW w:w="120" w:type="dxa"/>
            <w:tcBorders>
              <w:bottom w:val="single" w:sz="8" w:space="0" w:color="auto"/>
            </w:tcBorders>
            <w:vAlign w:val="bottom"/>
          </w:tcPr>
          <w:p w:rsidR="000728AD" w:rsidRDefault="000728AD">
            <w:pPr>
              <w:spacing w:line="20" w:lineRule="exact"/>
              <w:rPr>
                <w:sz w:val="1"/>
                <w:szCs w:val="1"/>
              </w:rPr>
            </w:pPr>
          </w:p>
        </w:tc>
        <w:tc>
          <w:tcPr>
            <w:tcW w:w="1200" w:type="dxa"/>
            <w:tcBorders>
              <w:bottom w:val="single" w:sz="8" w:space="0" w:color="auto"/>
            </w:tcBorders>
            <w:vAlign w:val="bottom"/>
          </w:tcPr>
          <w:p w:rsidR="000728AD" w:rsidRDefault="000728AD">
            <w:pPr>
              <w:spacing w:line="20" w:lineRule="exact"/>
              <w:rPr>
                <w:sz w:val="1"/>
                <w:szCs w:val="1"/>
              </w:rPr>
            </w:pPr>
          </w:p>
        </w:tc>
        <w:tc>
          <w:tcPr>
            <w:tcW w:w="0" w:type="dxa"/>
            <w:vAlign w:val="bottom"/>
          </w:tcPr>
          <w:p w:rsidR="000728AD" w:rsidRDefault="000728AD">
            <w:pPr>
              <w:spacing w:line="20" w:lineRule="exact"/>
              <w:rPr>
                <w:sz w:val="1"/>
                <w:szCs w:val="1"/>
              </w:rPr>
            </w:pPr>
          </w:p>
        </w:tc>
      </w:tr>
      <w:tr w:rsidR="000728AD">
        <w:trPr>
          <w:trHeight w:val="143"/>
        </w:trPr>
        <w:tc>
          <w:tcPr>
            <w:tcW w:w="2800" w:type="dxa"/>
            <w:shd w:val="clear" w:color="auto" w:fill="CCEEFF"/>
            <w:vAlign w:val="bottom"/>
          </w:tcPr>
          <w:p w:rsidR="000728AD" w:rsidRDefault="000561BE">
            <w:pPr>
              <w:spacing w:line="142" w:lineRule="exact"/>
              <w:ind w:left="20"/>
              <w:rPr>
                <w:sz w:val="20"/>
                <w:szCs w:val="20"/>
              </w:rPr>
            </w:pPr>
            <w:r>
              <w:rPr>
                <w:rFonts w:ascii="Arial" w:eastAsia="Arial" w:hAnsi="Arial" w:cs="Arial"/>
                <w:sz w:val="16"/>
                <w:szCs w:val="16"/>
              </w:rPr>
              <w:t>Issuance of common stock, net of</w:t>
            </w:r>
          </w:p>
        </w:tc>
        <w:tc>
          <w:tcPr>
            <w:tcW w:w="1320" w:type="dxa"/>
            <w:vMerge w:val="restart"/>
            <w:shd w:val="clear" w:color="auto" w:fill="CCEEFF"/>
            <w:vAlign w:val="bottom"/>
          </w:tcPr>
          <w:p w:rsidR="000728AD" w:rsidRDefault="000561BE">
            <w:pPr>
              <w:jc w:val="right"/>
              <w:rPr>
                <w:sz w:val="20"/>
                <w:szCs w:val="20"/>
              </w:rPr>
            </w:pPr>
            <w:r>
              <w:rPr>
                <w:rFonts w:ascii="Arial" w:eastAsia="Arial" w:hAnsi="Arial" w:cs="Arial"/>
                <w:sz w:val="18"/>
                <w:szCs w:val="18"/>
              </w:rPr>
              <w:t>13,055,264</w:t>
            </w:r>
          </w:p>
        </w:tc>
        <w:tc>
          <w:tcPr>
            <w:tcW w:w="80" w:type="dxa"/>
            <w:shd w:val="clear" w:color="auto" w:fill="CCEEFF"/>
            <w:vAlign w:val="bottom"/>
          </w:tcPr>
          <w:p w:rsidR="000728AD" w:rsidRDefault="000728AD">
            <w:pPr>
              <w:rPr>
                <w:sz w:val="12"/>
                <w:szCs w:val="12"/>
              </w:rPr>
            </w:pPr>
          </w:p>
        </w:tc>
        <w:tc>
          <w:tcPr>
            <w:tcW w:w="1040" w:type="dxa"/>
            <w:shd w:val="clear" w:color="auto" w:fill="CCEEFF"/>
            <w:vAlign w:val="bottom"/>
          </w:tcPr>
          <w:p w:rsidR="000728AD" w:rsidRDefault="000728AD">
            <w:pPr>
              <w:rPr>
                <w:sz w:val="12"/>
                <w:szCs w:val="12"/>
              </w:rPr>
            </w:pPr>
          </w:p>
        </w:tc>
        <w:tc>
          <w:tcPr>
            <w:tcW w:w="260" w:type="dxa"/>
            <w:vMerge w:val="restart"/>
            <w:shd w:val="clear" w:color="auto" w:fill="CCEEFF"/>
            <w:vAlign w:val="bottom"/>
          </w:tcPr>
          <w:p w:rsidR="000728AD" w:rsidRDefault="000561BE">
            <w:pPr>
              <w:jc w:val="right"/>
              <w:rPr>
                <w:sz w:val="20"/>
                <w:szCs w:val="20"/>
              </w:rPr>
            </w:pPr>
            <w:r>
              <w:rPr>
                <w:rFonts w:ascii="Arial" w:eastAsia="Arial" w:hAnsi="Arial" w:cs="Arial"/>
                <w:w w:val="89"/>
                <w:sz w:val="18"/>
                <w:szCs w:val="18"/>
              </w:rPr>
              <w:t>13</w:t>
            </w:r>
          </w:p>
        </w:tc>
        <w:tc>
          <w:tcPr>
            <w:tcW w:w="100" w:type="dxa"/>
            <w:shd w:val="clear" w:color="auto" w:fill="CCEEFF"/>
            <w:vAlign w:val="bottom"/>
          </w:tcPr>
          <w:p w:rsidR="000728AD" w:rsidRDefault="000728AD">
            <w:pPr>
              <w:rPr>
                <w:sz w:val="12"/>
                <w:szCs w:val="12"/>
              </w:rPr>
            </w:pPr>
          </w:p>
        </w:tc>
        <w:tc>
          <w:tcPr>
            <w:tcW w:w="180" w:type="dxa"/>
            <w:shd w:val="clear" w:color="auto" w:fill="CCEEFF"/>
            <w:vAlign w:val="bottom"/>
          </w:tcPr>
          <w:p w:rsidR="000728AD" w:rsidRDefault="000728AD">
            <w:pPr>
              <w:rPr>
                <w:sz w:val="12"/>
                <w:szCs w:val="12"/>
              </w:rPr>
            </w:pPr>
          </w:p>
        </w:tc>
        <w:tc>
          <w:tcPr>
            <w:tcW w:w="1120" w:type="dxa"/>
            <w:vMerge w:val="restart"/>
            <w:shd w:val="clear" w:color="auto" w:fill="CCEEFF"/>
            <w:vAlign w:val="bottom"/>
          </w:tcPr>
          <w:p w:rsidR="000728AD" w:rsidRDefault="000561BE">
            <w:pPr>
              <w:jc w:val="right"/>
              <w:rPr>
                <w:sz w:val="20"/>
                <w:szCs w:val="20"/>
              </w:rPr>
            </w:pPr>
            <w:r>
              <w:rPr>
                <w:rFonts w:ascii="Arial" w:eastAsia="Arial" w:hAnsi="Arial" w:cs="Arial"/>
                <w:sz w:val="18"/>
                <w:szCs w:val="18"/>
              </w:rPr>
              <w:t>58,072</w:t>
            </w:r>
          </w:p>
        </w:tc>
        <w:tc>
          <w:tcPr>
            <w:tcW w:w="100" w:type="dxa"/>
            <w:shd w:val="clear" w:color="auto" w:fill="CCEEFF"/>
            <w:vAlign w:val="bottom"/>
          </w:tcPr>
          <w:p w:rsidR="000728AD" w:rsidRDefault="000728AD">
            <w:pPr>
              <w:rPr>
                <w:sz w:val="12"/>
                <w:szCs w:val="12"/>
              </w:rPr>
            </w:pPr>
          </w:p>
        </w:tc>
        <w:tc>
          <w:tcPr>
            <w:tcW w:w="100" w:type="dxa"/>
            <w:shd w:val="clear" w:color="auto" w:fill="CCEEFF"/>
            <w:vAlign w:val="bottom"/>
          </w:tcPr>
          <w:p w:rsidR="000728AD" w:rsidRDefault="000728AD">
            <w:pPr>
              <w:rPr>
                <w:sz w:val="12"/>
                <w:szCs w:val="12"/>
              </w:rPr>
            </w:pPr>
          </w:p>
        </w:tc>
        <w:tc>
          <w:tcPr>
            <w:tcW w:w="1300" w:type="dxa"/>
            <w:shd w:val="clear" w:color="auto" w:fill="CCEEFF"/>
            <w:vAlign w:val="bottom"/>
          </w:tcPr>
          <w:p w:rsidR="000728AD" w:rsidRDefault="000728AD">
            <w:pPr>
              <w:rPr>
                <w:sz w:val="12"/>
                <w:szCs w:val="12"/>
              </w:rPr>
            </w:pPr>
          </w:p>
        </w:tc>
        <w:tc>
          <w:tcPr>
            <w:tcW w:w="100" w:type="dxa"/>
            <w:shd w:val="clear" w:color="auto" w:fill="CCEEFF"/>
            <w:vAlign w:val="bottom"/>
          </w:tcPr>
          <w:p w:rsidR="000728AD" w:rsidRDefault="000728AD">
            <w:pPr>
              <w:rPr>
                <w:sz w:val="12"/>
                <w:szCs w:val="12"/>
              </w:rPr>
            </w:pPr>
          </w:p>
        </w:tc>
        <w:tc>
          <w:tcPr>
            <w:tcW w:w="120" w:type="dxa"/>
            <w:shd w:val="clear" w:color="auto" w:fill="CCEEFF"/>
            <w:vAlign w:val="bottom"/>
          </w:tcPr>
          <w:p w:rsidR="000728AD" w:rsidRDefault="000728AD">
            <w:pPr>
              <w:rPr>
                <w:sz w:val="12"/>
                <w:szCs w:val="12"/>
              </w:rPr>
            </w:pPr>
          </w:p>
        </w:tc>
        <w:tc>
          <w:tcPr>
            <w:tcW w:w="1200" w:type="dxa"/>
            <w:shd w:val="clear" w:color="auto" w:fill="CCEEFF"/>
            <w:vAlign w:val="bottom"/>
          </w:tcPr>
          <w:p w:rsidR="000728AD" w:rsidRDefault="000728AD">
            <w:pPr>
              <w:rPr>
                <w:sz w:val="12"/>
                <w:szCs w:val="12"/>
              </w:rPr>
            </w:pPr>
          </w:p>
        </w:tc>
        <w:tc>
          <w:tcPr>
            <w:tcW w:w="100" w:type="dxa"/>
            <w:shd w:val="clear" w:color="auto" w:fill="CCEEFF"/>
            <w:vAlign w:val="bottom"/>
          </w:tcPr>
          <w:p w:rsidR="000728AD" w:rsidRDefault="000728AD">
            <w:pPr>
              <w:rPr>
                <w:sz w:val="12"/>
                <w:szCs w:val="12"/>
              </w:rPr>
            </w:pPr>
          </w:p>
        </w:tc>
        <w:tc>
          <w:tcPr>
            <w:tcW w:w="120" w:type="dxa"/>
            <w:shd w:val="clear" w:color="auto" w:fill="CCEEFF"/>
            <w:vAlign w:val="bottom"/>
          </w:tcPr>
          <w:p w:rsidR="000728AD" w:rsidRDefault="000728AD">
            <w:pPr>
              <w:rPr>
                <w:sz w:val="12"/>
                <w:szCs w:val="12"/>
              </w:rPr>
            </w:pPr>
          </w:p>
        </w:tc>
        <w:tc>
          <w:tcPr>
            <w:tcW w:w="1200" w:type="dxa"/>
            <w:vMerge w:val="restart"/>
            <w:shd w:val="clear" w:color="auto" w:fill="CCEEFF"/>
            <w:vAlign w:val="bottom"/>
          </w:tcPr>
          <w:p w:rsidR="000728AD" w:rsidRDefault="000561BE">
            <w:pPr>
              <w:jc w:val="right"/>
              <w:rPr>
                <w:sz w:val="20"/>
                <w:szCs w:val="20"/>
              </w:rPr>
            </w:pPr>
            <w:r>
              <w:rPr>
                <w:rFonts w:ascii="Arial" w:eastAsia="Arial" w:hAnsi="Arial" w:cs="Arial"/>
                <w:sz w:val="18"/>
                <w:szCs w:val="18"/>
              </w:rPr>
              <w:t>58,085</w:t>
            </w:r>
          </w:p>
        </w:tc>
        <w:tc>
          <w:tcPr>
            <w:tcW w:w="0" w:type="dxa"/>
            <w:vAlign w:val="bottom"/>
          </w:tcPr>
          <w:p w:rsidR="000728AD" w:rsidRDefault="000728AD">
            <w:pPr>
              <w:rPr>
                <w:sz w:val="1"/>
                <w:szCs w:val="1"/>
              </w:rPr>
            </w:pPr>
          </w:p>
        </w:tc>
      </w:tr>
      <w:tr w:rsidR="000728AD">
        <w:trPr>
          <w:trHeight w:val="230"/>
        </w:trPr>
        <w:tc>
          <w:tcPr>
            <w:tcW w:w="2800" w:type="dxa"/>
            <w:shd w:val="clear" w:color="auto" w:fill="CCEEFF"/>
            <w:vAlign w:val="bottom"/>
          </w:tcPr>
          <w:p w:rsidR="000728AD" w:rsidRDefault="000561BE">
            <w:pPr>
              <w:ind w:left="20"/>
              <w:rPr>
                <w:sz w:val="20"/>
                <w:szCs w:val="20"/>
              </w:rPr>
            </w:pPr>
            <w:r>
              <w:rPr>
                <w:rFonts w:ascii="Arial" w:eastAsia="Arial" w:hAnsi="Arial" w:cs="Arial"/>
                <w:sz w:val="18"/>
                <w:szCs w:val="18"/>
              </w:rPr>
              <w:t>issuance costs of $4,338</w:t>
            </w:r>
          </w:p>
        </w:tc>
        <w:tc>
          <w:tcPr>
            <w:tcW w:w="1320" w:type="dxa"/>
            <w:vMerge/>
            <w:shd w:val="clear" w:color="auto" w:fill="CCEEFF"/>
            <w:vAlign w:val="bottom"/>
          </w:tcPr>
          <w:p w:rsidR="000728AD" w:rsidRDefault="000728AD">
            <w:pPr>
              <w:rPr>
                <w:sz w:val="19"/>
                <w:szCs w:val="19"/>
              </w:rPr>
            </w:pPr>
          </w:p>
        </w:tc>
        <w:tc>
          <w:tcPr>
            <w:tcW w:w="80" w:type="dxa"/>
            <w:shd w:val="clear" w:color="auto" w:fill="CCEEFF"/>
            <w:vAlign w:val="bottom"/>
          </w:tcPr>
          <w:p w:rsidR="000728AD" w:rsidRDefault="000728AD">
            <w:pPr>
              <w:rPr>
                <w:sz w:val="19"/>
                <w:szCs w:val="19"/>
              </w:rPr>
            </w:pPr>
          </w:p>
        </w:tc>
        <w:tc>
          <w:tcPr>
            <w:tcW w:w="1040" w:type="dxa"/>
            <w:shd w:val="clear" w:color="auto" w:fill="CCEEFF"/>
            <w:vAlign w:val="bottom"/>
          </w:tcPr>
          <w:p w:rsidR="000728AD" w:rsidRDefault="000728AD">
            <w:pPr>
              <w:rPr>
                <w:sz w:val="19"/>
                <w:szCs w:val="19"/>
              </w:rPr>
            </w:pPr>
          </w:p>
        </w:tc>
        <w:tc>
          <w:tcPr>
            <w:tcW w:w="260" w:type="dxa"/>
            <w:vMerge/>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180" w:type="dxa"/>
            <w:shd w:val="clear" w:color="auto" w:fill="CCEEFF"/>
            <w:vAlign w:val="bottom"/>
          </w:tcPr>
          <w:p w:rsidR="000728AD" w:rsidRDefault="000728AD">
            <w:pPr>
              <w:rPr>
                <w:sz w:val="19"/>
                <w:szCs w:val="19"/>
              </w:rPr>
            </w:pPr>
          </w:p>
        </w:tc>
        <w:tc>
          <w:tcPr>
            <w:tcW w:w="1120" w:type="dxa"/>
            <w:vMerge/>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1300" w:type="dxa"/>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120" w:type="dxa"/>
            <w:shd w:val="clear" w:color="auto" w:fill="CCEEFF"/>
            <w:vAlign w:val="bottom"/>
          </w:tcPr>
          <w:p w:rsidR="000728AD" w:rsidRDefault="000728AD">
            <w:pPr>
              <w:rPr>
                <w:sz w:val="19"/>
                <w:szCs w:val="19"/>
              </w:rPr>
            </w:pPr>
          </w:p>
        </w:tc>
        <w:tc>
          <w:tcPr>
            <w:tcW w:w="1200" w:type="dxa"/>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120" w:type="dxa"/>
            <w:shd w:val="clear" w:color="auto" w:fill="CCEEFF"/>
            <w:vAlign w:val="bottom"/>
          </w:tcPr>
          <w:p w:rsidR="000728AD" w:rsidRDefault="000728AD">
            <w:pPr>
              <w:rPr>
                <w:sz w:val="19"/>
                <w:szCs w:val="19"/>
              </w:rPr>
            </w:pPr>
          </w:p>
        </w:tc>
        <w:tc>
          <w:tcPr>
            <w:tcW w:w="1200" w:type="dxa"/>
            <w:vMerge/>
            <w:shd w:val="clear" w:color="auto" w:fill="CCEEFF"/>
            <w:vAlign w:val="bottom"/>
          </w:tcPr>
          <w:p w:rsidR="000728AD" w:rsidRDefault="000728AD">
            <w:pPr>
              <w:rPr>
                <w:sz w:val="19"/>
                <w:szCs w:val="19"/>
              </w:rPr>
            </w:pPr>
          </w:p>
        </w:tc>
        <w:tc>
          <w:tcPr>
            <w:tcW w:w="0" w:type="dxa"/>
            <w:vAlign w:val="bottom"/>
          </w:tcPr>
          <w:p w:rsidR="000728AD" w:rsidRDefault="000728AD">
            <w:pPr>
              <w:rPr>
                <w:sz w:val="1"/>
                <w:szCs w:val="1"/>
              </w:rPr>
            </w:pPr>
          </w:p>
        </w:tc>
      </w:tr>
    </w:tbl>
    <w:p w:rsidR="000728AD" w:rsidRDefault="000728AD">
      <w:pPr>
        <w:spacing w:line="1" w:lineRule="exact"/>
        <w:rPr>
          <w:sz w:val="20"/>
          <w:szCs w:val="20"/>
        </w:rPr>
      </w:pPr>
    </w:p>
    <w:p w:rsidR="000728AD" w:rsidRDefault="000728AD">
      <w:pPr>
        <w:sectPr w:rsidR="000728AD">
          <w:pgSz w:w="11900" w:h="16838"/>
          <w:pgMar w:top="125" w:right="339" w:bottom="1440" w:left="320" w:header="0" w:footer="0" w:gutter="0"/>
          <w:cols w:space="720" w:equalWidth="0">
            <w:col w:w="11240"/>
          </w:cols>
        </w:sectPr>
      </w:pPr>
    </w:p>
    <w:p w:rsidR="000728AD" w:rsidRDefault="000561BE">
      <w:pPr>
        <w:ind w:left="20"/>
        <w:rPr>
          <w:sz w:val="20"/>
          <w:szCs w:val="20"/>
        </w:rPr>
      </w:pPr>
      <w:r>
        <w:rPr>
          <w:rFonts w:ascii="Arial" w:eastAsia="Arial" w:hAnsi="Arial" w:cs="Arial"/>
          <w:sz w:val="16"/>
          <w:szCs w:val="16"/>
        </w:rPr>
        <w:t>Exercise of common stock options</w:t>
      </w:r>
    </w:p>
    <w:p w:rsidR="000728AD" w:rsidRDefault="000728AD">
      <w:pPr>
        <w:spacing w:line="46" w:lineRule="exact"/>
        <w:rPr>
          <w:sz w:val="20"/>
          <w:szCs w:val="20"/>
        </w:rPr>
      </w:pPr>
    </w:p>
    <w:p w:rsidR="000728AD" w:rsidRDefault="000561BE">
      <w:pPr>
        <w:ind w:left="20"/>
        <w:rPr>
          <w:sz w:val="20"/>
          <w:szCs w:val="20"/>
        </w:rPr>
      </w:pPr>
      <w:r>
        <w:rPr>
          <w:rFonts w:ascii="Arial" w:eastAsia="Arial" w:hAnsi="Arial" w:cs="Arial"/>
          <w:sz w:val="18"/>
          <w:szCs w:val="18"/>
        </w:rPr>
        <w:t>Stock-based compensation</w:t>
      </w:r>
    </w:p>
    <w:p w:rsidR="000728AD" w:rsidRDefault="000728AD">
      <w:pPr>
        <w:spacing w:line="23" w:lineRule="exact"/>
        <w:rPr>
          <w:sz w:val="20"/>
          <w:szCs w:val="20"/>
        </w:rPr>
      </w:pPr>
    </w:p>
    <w:p w:rsidR="000728AD" w:rsidRDefault="000561BE">
      <w:pPr>
        <w:ind w:left="20"/>
        <w:rPr>
          <w:sz w:val="20"/>
          <w:szCs w:val="20"/>
        </w:rPr>
      </w:pPr>
      <w:r>
        <w:rPr>
          <w:rFonts w:ascii="Arial" w:eastAsia="Arial" w:hAnsi="Arial" w:cs="Arial"/>
          <w:sz w:val="18"/>
          <w:szCs w:val="18"/>
        </w:rPr>
        <w:t>Net loss</w:t>
      </w:r>
    </w:p>
    <w:p w:rsidR="000728AD" w:rsidRDefault="000728AD">
      <w:pPr>
        <w:spacing w:line="58" w:lineRule="exact"/>
        <w:rPr>
          <w:sz w:val="20"/>
          <w:szCs w:val="20"/>
        </w:rPr>
      </w:pPr>
    </w:p>
    <w:p w:rsidR="000728AD" w:rsidRDefault="000561BE">
      <w:pPr>
        <w:ind w:left="20"/>
        <w:rPr>
          <w:sz w:val="20"/>
          <w:szCs w:val="20"/>
        </w:rPr>
      </w:pPr>
      <w:r>
        <w:rPr>
          <w:rFonts w:ascii="Arial" w:eastAsia="Arial" w:hAnsi="Arial" w:cs="Arial"/>
          <w:b/>
          <w:bCs/>
          <w:sz w:val="18"/>
          <w:szCs w:val="18"/>
        </w:rPr>
        <w:t>BALANCE - June 30, 2020</w:t>
      </w:r>
    </w:p>
    <w:p w:rsidR="000728AD" w:rsidRDefault="000561BE">
      <w:pPr>
        <w:spacing w:line="20" w:lineRule="exact"/>
        <w:rPr>
          <w:sz w:val="20"/>
          <w:szCs w:val="20"/>
        </w:rPr>
      </w:pPr>
      <w:r>
        <w:rPr>
          <w:sz w:val="20"/>
          <w:szCs w:val="20"/>
        </w:rPr>
        <w:br w:type="column"/>
      </w:r>
    </w:p>
    <w:p w:rsidR="000728AD" w:rsidRDefault="000728AD">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320"/>
        <w:gridCol w:w="80"/>
        <w:gridCol w:w="580"/>
        <w:gridCol w:w="720"/>
        <w:gridCol w:w="100"/>
        <w:gridCol w:w="380"/>
        <w:gridCol w:w="920"/>
        <w:gridCol w:w="100"/>
        <w:gridCol w:w="640"/>
        <w:gridCol w:w="760"/>
        <w:gridCol w:w="100"/>
        <w:gridCol w:w="340"/>
        <w:gridCol w:w="980"/>
        <w:gridCol w:w="100"/>
        <w:gridCol w:w="400"/>
        <w:gridCol w:w="920"/>
      </w:tblGrid>
      <w:tr w:rsidR="000728AD">
        <w:trPr>
          <w:trHeight w:val="229"/>
        </w:trPr>
        <w:tc>
          <w:tcPr>
            <w:tcW w:w="1320" w:type="dxa"/>
            <w:vAlign w:val="bottom"/>
          </w:tcPr>
          <w:p w:rsidR="000728AD" w:rsidRDefault="000561BE">
            <w:pPr>
              <w:jc w:val="right"/>
              <w:rPr>
                <w:sz w:val="20"/>
                <w:szCs w:val="20"/>
              </w:rPr>
            </w:pPr>
            <w:r>
              <w:rPr>
                <w:rFonts w:ascii="Arial" w:eastAsia="Arial" w:hAnsi="Arial" w:cs="Arial"/>
                <w:sz w:val="18"/>
                <w:szCs w:val="18"/>
              </w:rPr>
              <w:t>3,166</w:t>
            </w:r>
          </w:p>
        </w:tc>
        <w:tc>
          <w:tcPr>
            <w:tcW w:w="80" w:type="dxa"/>
            <w:vAlign w:val="bottom"/>
          </w:tcPr>
          <w:p w:rsidR="000728AD" w:rsidRDefault="000728AD">
            <w:pPr>
              <w:rPr>
                <w:sz w:val="19"/>
                <w:szCs w:val="19"/>
              </w:rPr>
            </w:pPr>
          </w:p>
        </w:tc>
        <w:tc>
          <w:tcPr>
            <w:tcW w:w="580" w:type="dxa"/>
            <w:vAlign w:val="bottom"/>
          </w:tcPr>
          <w:p w:rsidR="000728AD" w:rsidRDefault="000728AD">
            <w:pPr>
              <w:rPr>
                <w:sz w:val="19"/>
                <w:szCs w:val="19"/>
              </w:rPr>
            </w:pPr>
          </w:p>
        </w:tc>
        <w:tc>
          <w:tcPr>
            <w:tcW w:w="820" w:type="dxa"/>
            <w:gridSpan w:val="2"/>
            <w:vAlign w:val="bottom"/>
          </w:tcPr>
          <w:p w:rsidR="000728AD" w:rsidRDefault="000561BE">
            <w:pPr>
              <w:ind w:left="480"/>
              <w:rPr>
                <w:sz w:val="20"/>
                <w:szCs w:val="20"/>
              </w:rPr>
            </w:pPr>
            <w:r>
              <w:rPr>
                <w:rFonts w:ascii="Arial" w:eastAsia="Arial" w:hAnsi="Arial" w:cs="Arial"/>
                <w:sz w:val="18"/>
                <w:szCs w:val="18"/>
              </w:rPr>
              <w:t>—</w:t>
            </w:r>
          </w:p>
        </w:tc>
        <w:tc>
          <w:tcPr>
            <w:tcW w:w="380" w:type="dxa"/>
            <w:vAlign w:val="bottom"/>
          </w:tcPr>
          <w:p w:rsidR="000728AD" w:rsidRDefault="000728AD">
            <w:pPr>
              <w:rPr>
                <w:sz w:val="19"/>
                <w:szCs w:val="19"/>
              </w:rPr>
            </w:pPr>
          </w:p>
        </w:tc>
        <w:tc>
          <w:tcPr>
            <w:tcW w:w="92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640" w:type="dxa"/>
            <w:vAlign w:val="bottom"/>
          </w:tcPr>
          <w:p w:rsidR="000728AD" w:rsidRDefault="000728AD">
            <w:pPr>
              <w:rPr>
                <w:sz w:val="19"/>
                <w:szCs w:val="19"/>
              </w:rPr>
            </w:pPr>
          </w:p>
        </w:tc>
        <w:tc>
          <w:tcPr>
            <w:tcW w:w="76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340" w:type="dxa"/>
            <w:vAlign w:val="bottom"/>
          </w:tcPr>
          <w:p w:rsidR="000728AD" w:rsidRDefault="000728AD">
            <w:pPr>
              <w:rPr>
                <w:sz w:val="19"/>
                <w:szCs w:val="19"/>
              </w:rPr>
            </w:pPr>
          </w:p>
        </w:tc>
        <w:tc>
          <w:tcPr>
            <w:tcW w:w="98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400" w:type="dxa"/>
            <w:vAlign w:val="bottom"/>
          </w:tcPr>
          <w:p w:rsidR="000728AD" w:rsidRDefault="000728AD">
            <w:pPr>
              <w:rPr>
                <w:sz w:val="19"/>
                <w:szCs w:val="19"/>
              </w:rPr>
            </w:pPr>
          </w:p>
        </w:tc>
        <w:tc>
          <w:tcPr>
            <w:tcW w:w="920" w:type="dxa"/>
            <w:vAlign w:val="bottom"/>
          </w:tcPr>
          <w:p w:rsidR="000728AD" w:rsidRDefault="000561BE">
            <w:pPr>
              <w:jc w:val="right"/>
              <w:rPr>
                <w:sz w:val="20"/>
                <w:szCs w:val="20"/>
              </w:rPr>
            </w:pPr>
            <w:r>
              <w:rPr>
                <w:rFonts w:ascii="Arial" w:eastAsia="Arial" w:hAnsi="Arial" w:cs="Arial"/>
                <w:sz w:val="18"/>
                <w:szCs w:val="18"/>
              </w:rPr>
              <w:t>—</w:t>
            </w:r>
          </w:p>
        </w:tc>
      </w:tr>
      <w:tr w:rsidR="000728AD">
        <w:trPr>
          <w:trHeight w:val="229"/>
        </w:trPr>
        <w:tc>
          <w:tcPr>
            <w:tcW w:w="1320" w:type="dxa"/>
            <w:vAlign w:val="bottom"/>
          </w:tcPr>
          <w:p w:rsidR="000728AD" w:rsidRDefault="000728AD">
            <w:pPr>
              <w:rPr>
                <w:sz w:val="19"/>
                <w:szCs w:val="19"/>
              </w:rPr>
            </w:pPr>
          </w:p>
        </w:tc>
        <w:tc>
          <w:tcPr>
            <w:tcW w:w="80" w:type="dxa"/>
            <w:vAlign w:val="bottom"/>
          </w:tcPr>
          <w:p w:rsidR="000728AD" w:rsidRDefault="000728AD">
            <w:pPr>
              <w:rPr>
                <w:sz w:val="19"/>
                <w:szCs w:val="19"/>
              </w:rPr>
            </w:pPr>
          </w:p>
        </w:tc>
        <w:tc>
          <w:tcPr>
            <w:tcW w:w="580" w:type="dxa"/>
            <w:vAlign w:val="bottom"/>
          </w:tcPr>
          <w:p w:rsidR="000728AD" w:rsidRDefault="000728AD">
            <w:pPr>
              <w:rPr>
                <w:sz w:val="19"/>
                <w:szCs w:val="19"/>
              </w:rPr>
            </w:pPr>
          </w:p>
        </w:tc>
        <w:tc>
          <w:tcPr>
            <w:tcW w:w="72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380" w:type="dxa"/>
            <w:vAlign w:val="bottom"/>
          </w:tcPr>
          <w:p w:rsidR="000728AD" w:rsidRDefault="000728AD">
            <w:pPr>
              <w:rPr>
                <w:sz w:val="19"/>
                <w:szCs w:val="19"/>
              </w:rPr>
            </w:pPr>
          </w:p>
        </w:tc>
        <w:tc>
          <w:tcPr>
            <w:tcW w:w="920" w:type="dxa"/>
            <w:vAlign w:val="bottom"/>
          </w:tcPr>
          <w:p w:rsidR="000728AD" w:rsidRDefault="000561BE">
            <w:pPr>
              <w:jc w:val="right"/>
              <w:rPr>
                <w:sz w:val="20"/>
                <w:szCs w:val="20"/>
              </w:rPr>
            </w:pPr>
            <w:r>
              <w:rPr>
                <w:rFonts w:ascii="Arial" w:eastAsia="Arial" w:hAnsi="Arial" w:cs="Arial"/>
                <w:sz w:val="18"/>
                <w:szCs w:val="18"/>
              </w:rPr>
              <w:t>1,956</w:t>
            </w:r>
          </w:p>
        </w:tc>
        <w:tc>
          <w:tcPr>
            <w:tcW w:w="100" w:type="dxa"/>
            <w:vAlign w:val="bottom"/>
          </w:tcPr>
          <w:p w:rsidR="000728AD" w:rsidRDefault="000728AD">
            <w:pPr>
              <w:rPr>
                <w:sz w:val="19"/>
                <w:szCs w:val="19"/>
              </w:rPr>
            </w:pPr>
          </w:p>
        </w:tc>
        <w:tc>
          <w:tcPr>
            <w:tcW w:w="640" w:type="dxa"/>
            <w:vAlign w:val="bottom"/>
          </w:tcPr>
          <w:p w:rsidR="000728AD" w:rsidRDefault="000728AD">
            <w:pPr>
              <w:rPr>
                <w:sz w:val="19"/>
                <w:szCs w:val="19"/>
              </w:rPr>
            </w:pPr>
          </w:p>
        </w:tc>
        <w:tc>
          <w:tcPr>
            <w:tcW w:w="76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340" w:type="dxa"/>
            <w:vAlign w:val="bottom"/>
          </w:tcPr>
          <w:p w:rsidR="000728AD" w:rsidRDefault="000728AD">
            <w:pPr>
              <w:rPr>
                <w:sz w:val="19"/>
                <w:szCs w:val="19"/>
              </w:rPr>
            </w:pPr>
          </w:p>
        </w:tc>
        <w:tc>
          <w:tcPr>
            <w:tcW w:w="98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400" w:type="dxa"/>
            <w:vAlign w:val="bottom"/>
          </w:tcPr>
          <w:p w:rsidR="000728AD" w:rsidRDefault="000728AD">
            <w:pPr>
              <w:rPr>
                <w:sz w:val="19"/>
                <w:szCs w:val="19"/>
              </w:rPr>
            </w:pPr>
          </w:p>
        </w:tc>
        <w:tc>
          <w:tcPr>
            <w:tcW w:w="920" w:type="dxa"/>
            <w:vAlign w:val="bottom"/>
          </w:tcPr>
          <w:p w:rsidR="000728AD" w:rsidRDefault="000561BE">
            <w:pPr>
              <w:jc w:val="right"/>
              <w:rPr>
                <w:sz w:val="20"/>
                <w:szCs w:val="20"/>
              </w:rPr>
            </w:pPr>
            <w:r>
              <w:rPr>
                <w:rFonts w:ascii="Arial" w:eastAsia="Arial" w:hAnsi="Arial" w:cs="Arial"/>
                <w:sz w:val="18"/>
                <w:szCs w:val="18"/>
              </w:rPr>
              <w:t>1,956</w:t>
            </w:r>
          </w:p>
        </w:tc>
      </w:tr>
      <w:tr w:rsidR="000728AD">
        <w:trPr>
          <w:trHeight w:val="230"/>
        </w:trPr>
        <w:tc>
          <w:tcPr>
            <w:tcW w:w="1320" w:type="dxa"/>
            <w:tcBorders>
              <w:bottom w:val="single" w:sz="8" w:space="0" w:color="auto"/>
            </w:tcBorders>
            <w:vAlign w:val="bottom"/>
          </w:tcPr>
          <w:p w:rsidR="000728AD" w:rsidRDefault="000728AD">
            <w:pPr>
              <w:rPr>
                <w:sz w:val="20"/>
                <w:szCs w:val="20"/>
              </w:rPr>
            </w:pPr>
          </w:p>
        </w:tc>
        <w:tc>
          <w:tcPr>
            <w:tcW w:w="80" w:type="dxa"/>
            <w:vAlign w:val="bottom"/>
          </w:tcPr>
          <w:p w:rsidR="000728AD" w:rsidRDefault="000728AD">
            <w:pPr>
              <w:rPr>
                <w:sz w:val="20"/>
                <w:szCs w:val="20"/>
              </w:rPr>
            </w:pPr>
          </w:p>
        </w:tc>
        <w:tc>
          <w:tcPr>
            <w:tcW w:w="580" w:type="dxa"/>
            <w:tcBorders>
              <w:bottom w:val="single" w:sz="8" w:space="0" w:color="auto"/>
            </w:tcBorders>
            <w:vAlign w:val="bottom"/>
          </w:tcPr>
          <w:p w:rsidR="000728AD" w:rsidRDefault="000728AD">
            <w:pPr>
              <w:rPr>
                <w:sz w:val="20"/>
                <w:szCs w:val="20"/>
              </w:rPr>
            </w:pPr>
          </w:p>
        </w:tc>
        <w:tc>
          <w:tcPr>
            <w:tcW w:w="720" w:type="dxa"/>
            <w:tcBorders>
              <w:bottom w:val="single" w:sz="8" w:space="0" w:color="auto"/>
            </w:tcBorders>
            <w:vAlign w:val="bottom"/>
          </w:tcPr>
          <w:p w:rsidR="000728AD" w:rsidRDefault="000728AD">
            <w:pPr>
              <w:rPr>
                <w:sz w:val="20"/>
                <w:szCs w:val="20"/>
              </w:rPr>
            </w:pPr>
          </w:p>
        </w:tc>
        <w:tc>
          <w:tcPr>
            <w:tcW w:w="100" w:type="dxa"/>
            <w:vAlign w:val="bottom"/>
          </w:tcPr>
          <w:p w:rsidR="000728AD" w:rsidRDefault="000728AD">
            <w:pPr>
              <w:rPr>
                <w:sz w:val="20"/>
                <w:szCs w:val="20"/>
              </w:rPr>
            </w:pPr>
          </w:p>
        </w:tc>
        <w:tc>
          <w:tcPr>
            <w:tcW w:w="380" w:type="dxa"/>
            <w:tcBorders>
              <w:bottom w:val="single" w:sz="8" w:space="0" w:color="auto"/>
            </w:tcBorders>
            <w:vAlign w:val="bottom"/>
          </w:tcPr>
          <w:p w:rsidR="000728AD" w:rsidRDefault="000728AD">
            <w:pPr>
              <w:rPr>
                <w:sz w:val="20"/>
                <w:szCs w:val="20"/>
              </w:rPr>
            </w:pPr>
          </w:p>
        </w:tc>
        <w:tc>
          <w:tcPr>
            <w:tcW w:w="920" w:type="dxa"/>
            <w:tcBorders>
              <w:bottom w:val="single" w:sz="8" w:space="0" w:color="auto"/>
            </w:tcBorders>
            <w:vAlign w:val="bottom"/>
          </w:tcPr>
          <w:p w:rsidR="000728AD" w:rsidRDefault="000728AD">
            <w:pPr>
              <w:rPr>
                <w:sz w:val="20"/>
                <w:szCs w:val="20"/>
              </w:rPr>
            </w:pPr>
          </w:p>
        </w:tc>
        <w:tc>
          <w:tcPr>
            <w:tcW w:w="100" w:type="dxa"/>
            <w:vAlign w:val="bottom"/>
          </w:tcPr>
          <w:p w:rsidR="000728AD" w:rsidRDefault="000728AD">
            <w:pPr>
              <w:rPr>
                <w:sz w:val="20"/>
                <w:szCs w:val="20"/>
              </w:rPr>
            </w:pPr>
          </w:p>
        </w:tc>
        <w:tc>
          <w:tcPr>
            <w:tcW w:w="640" w:type="dxa"/>
            <w:tcBorders>
              <w:bottom w:val="single" w:sz="8" w:space="0" w:color="auto"/>
            </w:tcBorders>
            <w:vAlign w:val="bottom"/>
          </w:tcPr>
          <w:p w:rsidR="000728AD" w:rsidRDefault="000728AD">
            <w:pPr>
              <w:rPr>
                <w:sz w:val="20"/>
                <w:szCs w:val="20"/>
              </w:rPr>
            </w:pPr>
          </w:p>
        </w:tc>
        <w:tc>
          <w:tcPr>
            <w:tcW w:w="760" w:type="dxa"/>
            <w:tcBorders>
              <w:bottom w:val="single" w:sz="8" w:space="0" w:color="auto"/>
            </w:tcBorders>
            <w:vAlign w:val="bottom"/>
          </w:tcPr>
          <w:p w:rsidR="000728AD" w:rsidRDefault="000728AD">
            <w:pPr>
              <w:rPr>
                <w:sz w:val="20"/>
                <w:szCs w:val="20"/>
              </w:rPr>
            </w:pPr>
          </w:p>
        </w:tc>
        <w:tc>
          <w:tcPr>
            <w:tcW w:w="100" w:type="dxa"/>
            <w:vAlign w:val="bottom"/>
          </w:tcPr>
          <w:p w:rsidR="000728AD" w:rsidRDefault="000728AD">
            <w:pPr>
              <w:rPr>
                <w:sz w:val="20"/>
                <w:szCs w:val="20"/>
              </w:rPr>
            </w:pPr>
          </w:p>
        </w:tc>
        <w:tc>
          <w:tcPr>
            <w:tcW w:w="340" w:type="dxa"/>
            <w:tcBorders>
              <w:bottom w:val="single" w:sz="8" w:space="0" w:color="auto"/>
            </w:tcBorders>
            <w:vAlign w:val="bottom"/>
          </w:tcPr>
          <w:p w:rsidR="000728AD" w:rsidRDefault="000728AD">
            <w:pPr>
              <w:rPr>
                <w:sz w:val="20"/>
                <w:szCs w:val="20"/>
              </w:rPr>
            </w:pPr>
          </w:p>
        </w:tc>
        <w:tc>
          <w:tcPr>
            <w:tcW w:w="980" w:type="dxa"/>
            <w:tcBorders>
              <w:bottom w:val="single" w:sz="8" w:space="0" w:color="auto"/>
            </w:tcBorders>
            <w:vAlign w:val="bottom"/>
          </w:tcPr>
          <w:p w:rsidR="000728AD" w:rsidRDefault="000561BE">
            <w:pPr>
              <w:jc w:val="right"/>
              <w:rPr>
                <w:sz w:val="20"/>
                <w:szCs w:val="20"/>
              </w:rPr>
            </w:pPr>
            <w:r>
              <w:rPr>
                <w:rFonts w:ascii="Arial" w:eastAsia="Arial" w:hAnsi="Arial" w:cs="Arial"/>
                <w:sz w:val="18"/>
                <w:szCs w:val="18"/>
              </w:rPr>
              <w:t>(13,892)</w:t>
            </w:r>
          </w:p>
        </w:tc>
        <w:tc>
          <w:tcPr>
            <w:tcW w:w="100" w:type="dxa"/>
            <w:vAlign w:val="bottom"/>
          </w:tcPr>
          <w:p w:rsidR="000728AD" w:rsidRDefault="000728AD">
            <w:pPr>
              <w:rPr>
                <w:sz w:val="20"/>
                <w:szCs w:val="20"/>
              </w:rPr>
            </w:pPr>
          </w:p>
        </w:tc>
        <w:tc>
          <w:tcPr>
            <w:tcW w:w="400" w:type="dxa"/>
            <w:tcBorders>
              <w:bottom w:val="single" w:sz="8" w:space="0" w:color="auto"/>
            </w:tcBorders>
            <w:vAlign w:val="bottom"/>
          </w:tcPr>
          <w:p w:rsidR="000728AD" w:rsidRDefault="000728AD">
            <w:pPr>
              <w:rPr>
                <w:sz w:val="20"/>
                <w:szCs w:val="20"/>
              </w:rPr>
            </w:pPr>
          </w:p>
        </w:tc>
        <w:tc>
          <w:tcPr>
            <w:tcW w:w="920" w:type="dxa"/>
            <w:tcBorders>
              <w:bottom w:val="single" w:sz="8" w:space="0" w:color="auto"/>
            </w:tcBorders>
            <w:vAlign w:val="bottom"/>
          </w:tcPr>
          <w:p w:rsidR="000728AD" w:rsidRDefault="000561BE">
            <w:pPr>
              <w:jc w:val="right"/>
              <w:rPr>
                <w:sz w:val="20"/>
                <w:szCs w:val="20"/>
              </w:rPr>
            </w:pPr>
            <w:r>
              <w:rPr>
                <w:rFonts w:ascii="Arial" w:eastAsia="Arial" w:hAnsi="Arial" w:cs="Arial"/>
                <w:sz w:val="18"/>
                <w:szCs w:val="18"/>
              </w:rPr>
              <w:t>(13,892)</w:t>
            </w:r>
          </w:p>
        </w:tc>
      </w:tr>
      <w:tr w:rsidR="000728AD">
        <w:trPr>
          <w:trHeight w:val="223"/>
        </w:trPr>
        <w:tc>
          <w:tcPr>
            <w:tcW w:w="1320" w:type="dxa"/>
            <w:tcBorders>
              <w:bottom w:val="single" w:sz="8" w:space="0" w:color="auto"/>
            </w:tcBorders>
            <w:vAlign w:val="bottom"/>
          </w:tcPr>
          <w:p w:rsidR="000728AD" w:rsidRDefault="000561BE">
            <w:pPr>
              <w:jc w:val="right"/>
              <w:rPr>
                <w:sz w:val="20"/>
                <w:szCs w:val="20"/>
              </w:rPr>
            </w:pPr>
            <w:r>
              <w:rPr>
                <w:rFonts w:ascii="Arial" w:eastAsia="Arial" w:hAnsi="Arial" w:cs="Arial"/>
                <w:sz w:val="18"/>
                <w:szCs w:val="18"/>
              </w:rPr>
              <w:t>36,666,227</w:t>
            </w:r>
          </w:p>
        </w:tc>
        <w:tc>
          <w:tcPr>
            <w:tcW w:w="80" w:type="dxa"/>
            <w:vAlign w:val="bottom"/>
          </w:tcPr>
          <w:p w:rsidR="000728AD" w:rsidRDefault="000728AD">
            <w:pPr>
              <w:rPr>
                <w:sz w:val="19"/>
                <w:szCs w:val="19"/>
              </w:rPr>
            </w:pPr>
          </w:p>
        </w:tc>
        <w:tc>
          <w:tcPr>
            <w:tcW w:w="580" w:type="dxa"/>
            <w:tcBorders>
              <w:bottom w:val="single" w:sz="8" w:space="0" w:color="auto"/>
            </w:tcBorders>
            <w:vAlign w:val="bottom"/>
          </w:tcPr>
          <w:p w:rsidR="000728AD" w:rsidRDefault="000561BE">
            <w:pPr>
              <w:ind w:right="370"/>
              <w:jc w:val="right"/>
              <w:rPr>
                <w:sz w:val="20"/>
                <w:szCs w:val="20"/>
              </w:rPr>
            </w:pPr>
            <w:r>
              <w:rPr>
                <w:rFonts w:ascii="Arial" w:eastAsia="Arial" w:hAnsi="Arial" w:cs="Arial"/>
                <w:w w:val="99"/>
                <w:sz w:val="18"/>
                <w:szCs w:val="18"/>
              </w:rPr>
              <w:t>$</w:t>
            </w:r>
          </w:p>
        </w:tc>
        <w:tc>
          <w:tcPr>
            <w:tcW w:w="720" w:type="dxa"/>
            <w:tcBorders>
              <w:bottom w:val="single" w:sz="8" w:space="0" w:color="auto"/>
            </w:tcBorders>
            <w:vAlign w:val="bottom"/>
          </w:tcPr>
          <w:p w:rsidR="000728AD" w:rsidRDefault="000561BE">
            <w:pPr>
              <w:ind w:left="480"/>
              <w:rPr>
                <w:sz w:val="20"/>
                <w:szCs w:val="20"/>
              </w:rPr>
            </w:pPr>
            <w:r>
              <w:rPr>
                <w:rFonts w:ascii="Arial" w:eastAsia="Arial" w:hAnsi="Arial" w:cs="Arial"/>
                <w:sz w:val="18"/>
                <w:szCs w:val="18"/>
              </w:rPr>
              <w:t>37</w:t>
            </w:r>
          </w:p>
        </w:tc>
        <w:tc>
          <w:tcPr>
            <w:tcW w:w="100" w:type="dxa"/>
            <w:vAlign w:val="bottom"/>
          </w:tcPr>
          <w:p w:rsidR="000728AD" w:rsidRDefault="000728AD">
            <w:pPr>
              <w:rPr>
                <w:sz w:val="19"/>
                <w:szCs w:val="19"/>
              </w:rPr>
            </w:pPr>
          </w:p>
        </w:tc>
        <w:tc>
          <w:tcPr>
            <w:tcW w:w="380" w:type="dxa"/>
            <w:tcBorders>
              <w:bottom w:val="single" w:sz="8" w:space="0" w:color="auto"/>
            </w:tcBorders>
            <w:vAlign w:val="bottom"/>
          </w:tcPr>
          <w:p w:rsidR="000728AD" w:rsidRDefault="000561BE">
            <w:pPr>
              <w:ind w:right="190"/>
              <w:jc w:val="right"/>
              <w:rPr>
                <w:sz w:val="20"/>
                <w:szCs w:val="20"/>
              </w:rPr>
            </w:pPr>
            <w:r>
              <w:rPr>
                <w:rFonts w:ascii="Arial" w:eastAsia="Arial" w:hAnsi="Arial" w:cs="Arial"/>
                <w:w w:val="79"/>
                <w:sz w:val="18"/>
                <w:szCs w:val="18"/>
              </w:rPr>
              <w:t>$</w:t>
            </w:r>
          </w:p>
        </w:tc>
        <w:tc>
          <w:tcPr>
            <w:tcW w:w="920" w:type="dxa"/>
            <w:tcBorders>
              <w:bottom w:val="single" w:sz="8" w:space="0" w:color="auto"/>
            </w:tcBorders>
            <w:vAlign w:val="bottom"/>
          </w:tcPr>
          <w:p w:rsidR="000728AD" w:rsidRDefault="000561BE">
            <w:pPr>
              <w:jc w:val="right"/>
              <w:rPr>
                <w:sz w:val="20"/>
                <w:szCs w:val="20"/>
              </w:rPr>
            </w:pPr>
            <w:r>
              <w:rPr>
                <w:rFonts w:ascii="Arial" w:eastAsia="Arial" w:hAnsi="Arial" w:cs="Arial"/>
                <w:sz w:val="18"/>
                <w:szCs w:val="18"/>
              </w:rPr>
              <w:t>337,913</w:t>
            </w:r>
          </w:p>
        </w:tc>
        <w:tc>
          <w:tcPr>
            <w:tcW w:w="100" w:type="dxa"/>
            <w:vAlign w:val="bottom"/>
          </w:tcPr>
          <w:p w:rsidR="000728AD" w:rsidRDefault="000728AD">
            <w:pPr>
              <w:rPr>
                <w:sz w:val="19"/>
                <w:szCs w:val="19"/>
              </w:rPr>
            </w:pPr>
          </w:p>
        </w:tc>
        <w:tc>
          <w:tcPr>
            <w:tcW w:w="640" w:type="dxa"/>
            <w:tcBorders>
              <w:bottom w:val="single" w:sz="8" w:space="0" w:color="auto"/>
            </w:tcBorders>
            <w:vAlign w:val="bottom"/>
          </w:tcPr>
          <w:p w:rsidR="000728AD" w:rsidRDefault="000561BE">
            <w:pPr>
              <w:ind w:right="450"/>
              <w:jc w:val="right"/>
              <w:rPr>
                <w:sz w:val="20"/>
                <w:szCs w:val="20"/>
              </w:rPr>
            </w:pPr>
            <w:r>
              <w:rPr>
                <w:rFonts w:ascii="Arial" w:eastAsia="Arial" w:hAnsi="Arial" w:cs="Arial"/>
                <w:w w:val="79"/>
                <w:sz w:val="18"/>
                <w:szCs w:val="18"/>
              </w:rPr>
              <w:t>$</w:t>
            </w:r>
          </w:p>
        </w:tc>
        <w:tc>
          <w:tcPr>
            <w:tcW w:w="760" w:type="dxa"/>
            <w:tcBorders>
              <w:bottom w:val="single" w:sz="8" w:space="0" w:color="auto"/>
            </w:tcBorders>
            <w:vAlign w:val="bottom"/>
          </w:tcPr>
          <w:p w:rsidR="000728AD" w:rsidRDefault="000561BE">
            <w:pPr>
              <w:ind w:left="520"/>
              <w:rPr>
                <w:sz w:val="20"/>
                <w:szCs w:val="20"/>
              </w:rPr>
            </w:pPr>
            <w:r>
              <w:rPr>
                <w:rFonts w:ascii="Arial" w:eastAsia="Arial" w:hAnsi="Arial" w:cs="Arial"/>
                <w:sz w:val="18"/>
                <w:szCs w:val="18"/>
              </w:rPr>
              <w:t>—</w:t>
            </w:r>
          </w:p>
        </w:tc>
        <w:tc>
          <w:tcPr>
            <w:tcW w:w="100" w:type="dxa"/>
            <w:vAlign w:val="bottom"/>
          </w:tcPr>
          <w:p w:rsidR="000728AD" w:rsidRDefault="000728AD">
            <w:pPr>
              <w:rPr>
                <w:sz w:val="19"/>
                <w:szCs w:val="19"/>
              </w:rPr>
            </w:pPr>
          </w:p>
        </w:tc>
        <w:tc>
          <w:tcPr>
            <w:tcW w:w="340" w:type="dxa"/>
            <w:tcBorders>
              <w:bottom w:val="single" w:sz="8" w:space="0" w:color="auto"/>
            </w:tcBorders>
            <w:vAlign w:val="bottom"/>
          </w:tcPr>
          <w:p w:rsidR="000728AD" w:rsidRDefault="000561BE">
            <w:pPr>
              <w:ind w:right="150"/>
              <w:jc w:val="right"/>
              <w:rPr>
                <w:sz w:val="20"/>
                <w:szCs w:val="20"/>
              </w:rPr>
            </w:pPr>
            <w:r>
              <w:rPr>
                <w:rFonts w:ascii="Arial" w:eastAsia="Arial" w:hAnsi="Arial" w:cs="Arial"/>
                <w:w w:val="79"/>
                <w:sz w:val="18"/>
                <w:szCs w:val="18"/>
              </w:rPr>
              <w:t>$</w:t>
            </w:r>
          </w:p>
        </w:tc>
        <w:tc>
          <w:tcPr>
            <w:tcW w:w="980" w:type="dxa"/>
            <w:tcBorders>
              <w:bottom w:val="single" w:sz="8" w:space="0" w:color="auto"/>
            </w:tcBorders>
            <w:vAlign w:val="bottom"/>
          </w:tcPr>
          <w:p w:rsidR="000728AD" w:rsidRDefault="000561BE">
            <w:pPr>
              <w:jc w:val="right"/>
              <w:rPr>
                <w:sz w:val="20"/>
                <w:szCs w:val="20"/>
              </w:rPr>
            </w:pPr>
            <w:r>
              <w:rPr>
                <w:rFonts w:ascii="Arial" w:eastAsia="Arial" w:hAnsi="Arial" w:cs="Arial"/>
                <w:sz w:val="18"/>
                <w:szCs w:val="18"/>
              </w:rPr>
              <w:t>(244,987)</w:t>
            </w:r>
          </w:p>
        </w:tc>
        <w:tc>
          <w:tcPr>
            <w:tcW w:w="100" w:type="dxa"/>
            <w:vAlign w:val="bottom"/>
          </w:tcPr>
          <w:p w:rsidR="000728AD" w:rsidRDefault="000728AD">
            <w:pPr>
              <w:rPr>
                <w:sz w:val="19"/>
                <w:szCs w:val="19"/>
              </w:rPr>
            </w:pPr>
          </w:p>
        </w:tc>
        <w:tc>
          <w:tcPr>
            <w:tcW w:w="400" w:type="dxa"/>
            <w:tcBorders>
              <w:bottom w:val="single" w:sz="8" w:space="0" w:color="auto"/>
            </w:tcBorders>
            <w:vAlign w:val="bottom"/>
          </w:tcPr>
          <w:p w:rsidR="000728AD" w:rsidRDefault="000561BE">
            <w:pPr>
              <w:ind w:right="210"/>
              <w:jc w:val="right"/>
              <w:rPr>
                <w:sz w:val="20"/>
                <w:szCs w:val="20"/>
              </w:rPr>
            </w:pPr>
            <w:r>
              <w:rPr>
                <w:rFonts w:ascii="Arial" w:eastAsia="Arial" w:hAnsi="Arial" w:cs="Arial"/>
                <w:w w:val="79"/>
                <w:sz w:val="18"/>
                <w:szCs w:val="18"/>
              </w:rPr>
              <w:t>$</w:t>
            </w:r>
          </w:p>
        </w:tc>
        <w:tc>
          <w:tcPr>
            <w:tcW w:w="920" w:type="dxa"/>
            <w:tcBorders>
              <w:bottom w:val="single" w:sz="8" w:space="0" w:color="auto"/>
            </w:tcBorders>
            <w:vAlign w:val="bottom"/>
          </w:tcPr>
          <w:p w:rsidR="000728AD" w:rsidRDefault="000561BE">
            <w:pPr>
              <w:jc w:val="right"/>
              <w:rPr>
                <w:sz w:val="20"/>
                <w:szCs w:val="20"/>
              </w:rPr>
            </w:pPr>
            <w:r>
              <w:rPr>
                <w:rFonts w:ascii="Arial" w:eastAsia="Arial" w:hAnsi="Arial" w:cs="Arial"/>
                <w:sz w:val="18"/>
                <w:szCs w:val="18"/>
              </w:rPr>
              <w:t>92,963</w:t>
            </w:r>
          </w:p>
        </w:tc>
      </w:tr>
      <w:tr w:rsidR="000728AD">
        <w:trPr>
          <w:trHeight w:val="21"/>
        </w:trPr>
        <w:tc>
          <w:tcPr>
            <w:tcW w:w="1320" w:type="dxa"/>
            <w:tcBorders>
              <w:bottom w:val="single" w:sz="8" w:space="0" w:color="auto"/>
            </w:tcBorders>
            <w:vAlign w:val="bottom"/>
          </w:tcPr>
          <w:p w:rsidR="000728AD" w:rsidRDefault="000728AD">
            <w:pPr>
              <w:spacing w:line="20" w:lineRule="exact"/>
              <w:rPr>
                <w:sz w:val="1"/>
                <w:szCs w:val="1"/>
              </w:rPr>
            </w:pPr>
          </w:p>
        </w:tc>
        <w:tc>
          <w:tcPr>
            <w:tcW w:w="80" w:type="dxa"/>
            <w:vAlign w:val="bottom"/>
          </w:tcPr>
          <w:p w:rsidR="000728AD" w:rsidRDefault="000728AD">
            <w:pPr>
              <w:spacing w:line="20" w:lineRule="exact"/>
              <w:rPr>
                <w:sz w:val="1"/>
                <w:szCs w:val="1"/>
              </w:rPr>
            </w:pPr>
          </w:p>
        </w:tc>
        <w:tc>
          <w:tcPr>
            <w:tcW w:w="580" w:type="dxa"/>
            <w:tcBorders>
              <w:bottom w:val="single" w:sz="8" w:space="0" w:color="auto"/>
            </w:tcBorders>
            <w:vAlign w:val="bottom"/>
          </w:tcPr>
          <w:p w:rsidR="000728AD" w:rsidRDefault="000728AD">
            <w:pPr>
              <w:spacing w:line="20" w:lineRule="exact"/>
              <w:rPr>
                <w:sz w:val="1"/>
                <w:szCs w:val="1"/>
              </w:rPr>
            </w:pPr>
          </w:p>
        </w:tc>
        <w:tc>
          <w:tcPr>
            <w:tcW w:w="720" w:type="dxa"/>
            <w:tcBorders>
              <w:bottom w:val="single" w:sz="8" w:space="0" w:color="auto"/>
            </w:tcBorders>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380" w:type="dxa"/>
            <w:tcBorders>
              <w:bottom w:val="single" w:sz="8" w:space="0" w:color="auto"/>
            </w:tcBorders>
            <w:vAlign w:val="bottom"/>
          </w:tcPr>
          <w:p w:rsidR="000728AD" w:rsidRDefault="000728AD">
            <w:pPr>
              <w:spacing w:line="20" w:lineRule="exact"/>
              <w:rPr>
                <w:sz w:val="1"/>
                <w:szCs w:val="1"/>
              </w:rPr>
            </w:pPr>
          </w:p>
        </w:tc>
        <w:tc>
          <w:tcPr>
            <w:tcW w:w="920" w:type="dxa"/>
            <w:tcBorders>
              <w:bottom w:val="single" w:sz="8" w:space="0" w:color="auto"/>
            </w:tcBorders>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640" w:type="dxa"/>
            <w:tcBorders>
              <w:bottom w:val="single" w:sz="8" w:space="0" w:color="auto"/>
            </w:tcBorders>
            <w:vAlign w:val="bottom"/>
          </w:tcPr>
          <w:p w:rsidR="000728AD" w:rsidRDefault="000728AD">
            <w:pPr>
              <w:spacing w:line="20" w:lineRule="exact"/>
              <w:rPr>
                <w:sz w:val="1"/>
                <w:szCs w:val="1"/>
              </w:rPr>
            </w:pPr>
          </w:p>
        </w:tc>
        <w:tc>
          <w:tcPr>
            <w:tcW w:w="760" w:type="dxa"/>
            <w:tcBorders>
              <w:bottom w:val="single" w:sz="8" w:space="0" w:color="auto"/>
            </w:tcBorders>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340" w:type="dxa"/>
            <w:tcBorders>
              <w:bottom w:val="single" w:sz="8" w:space="0" w:color="auto"/>
            </w:tcBorders>
            <w:vAlign w:val="bottom"/>
          </w:tcPr>
          <w:p w:rsidR="000728AD" w:rsidRDefault="000728AD">
            <w:pPr>
              <w:spacing w:line="20" w:lineRule="exact"/>
              <w:rPr>
                <w:sz w:val="1"/>
                <w:szCs w:val="1"/>
              </w:rPr>
            </w:pPr>
          </w:p>
        </w:tc>
        <w:tc>
          <w:tcPr>
            <w:tcW w:w="980" w:type="dxa"/>
            <w:tcBorders>
              <w:bottom w:val="single" w:sz="8" w:space="0" w:color="auto"/>
            </w:tcBorders>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400" w:type="dxa"/>
            <w:tcBorders>
              <w:bottom w:val="single" w:sz="8" w:space="0" w:color="auto"/>
            </w:tcBorders>
            <w:vAlign w:val="bottom"/>
          </w:tcPr>
          <w:p w:rsidR="000728AD" w:rsidRDefault="000728AD">
            <w:pPr>
              <w:spacing w:line="20" w:lineRule="exact"/>
              <w:rPr>
                <w:sz w:val="1"/>
                <w:szCs w:val="1"/>
              </w:rPr>
            </w:pPr>
          </w:p>
        </w:tc>
        <w:tc>
          <w:tcPr>
            <w:tcW w:w="920" w:type="dxa"/>
            <w:tcBorders>
              <w:bottom w:val="single" w:sz="8" w:space="0" w:color="auto"/>
            </w:tcBorders>
            <w:vAlign w:val="bottom"/>
          </w:tcPr>
          <w:p w:rsidR="000728AD" w:rsidRDefault="000728AD">
            <w:pPr>
              <w:spacing w:line="20" w:lineRule="exact"/>
              <w:rPr>
                <w:sz w:val="1"/>
                <w:szCs w:val="1"/>
              </w:rPr>
            </w:pPr>
          </w:p>
        </w:tc>
      </w:tr>
    </w:tbl>
    <w:p w:rsidR="000728AD" w:rsidRDefault="000561BE">
      <w:pPr>
        <w:spacing w:line="20" w:lineRule="exact"/>
        <w:rPr>
          <w:sz w:val="20"/>
          <w:szCs w:val="20"/>
        </w:rPr>
      </w:pPr>
      <w:r>
        <w:rPr>
          <w:noProof/>
          <w:sz w:val="20"/>
          <w:szCs w:val="20"/>
        </w:rPr>
        <w:drawing>
          <wp:anchor distT="0" distB="0" distL="114300" distR="114300" simplePos="0" relativeHeight="251610112" behindDoc="1" locked="0" layoutInCell="0" allowOverlap="1">
            <wp:simplePos x="0" y="0"/>
            <wp:positionH relativeFrom="column">
              <wp:posOffset>-1772285</wp:posOffset>
            </wp:positionH>
            <wp:positionV relativeFrom="paragraph">
              <wp:posOffset>-479425</wp:posOffset>
            </wp:positionV>
            <wp:extent cx="7132320" cy="1454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7132320" cy="145415"/>
                    </a:xfrm>
                    <a:prstGeom prst="rect">
                      <a:avLst/>
                    </a:prstGeom>
                    <a:noFill/>
                  </pic:spPr>
                </pic:pic>
              </a:graphicData>
            </a:graphic>
          </wp:anchor>
        </w:drawing>
      </w:r>
      <w:r>
        <w:rPr>
          <w:noProof/>
          <w:sz w:val="20"/>
          <w:szCs w:val="20"/>
        </w:rPr>
        <w:drawing>
          <wp:anchor distT="0" distB="0" distL="114300" distR="114300" simplePos="0" relativeHeight="251611136" behindDoc="1" locked="0" layoutInCell="0" allowOverlap="1">
            <wp:simplePos x="0" y="0"/>
            <wp:positionH relativeFrom="column">
              <wp:posOffset>-1772285</wp:posOffset>
            </wp:positionH>
            <wp:positionV relativeFrom="paragraph">
              <wp:posOffset>-187960</wp:posOffset>
            </wp:positionV>
            <wp:extent cx="7132320" cy="1714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7132320" cy="171450"/>
                    </a:xfrm>
                    <a:prstGeom prst="rect">
                      <a:avLst/>
                    </a:prstGeom>
                    <a:noFill/>
                  </pic:spPr>
                </pic:pic>
              </a:graphicData>
            </a:graphic>
          </wp:anchor>
        </w:drawing>
      </w:r>
    </w:p>
    <w:p w:rsidR="000728AD" w:rsidRDefault="000728AD">
      <w:pPr>
        <w:spacing w:line="200" w:lineRule="exact"/>
        <w:rPr>
          <w:sz w:val="20"/>
          <w:szCs w:val="20"/>
        </w:rPr>
      </w:pPr>
    </w:p>
    <w:p w:rsidR="000728AD" w:rsidRDefault="000728AD">
      <w:pPr>
        <w:sectPr w:rsidR="000728AD">
          <w:type w:val="continuous"/>
          <w:pgSz w:w="11900" w:h="16838"/>
          <w:pgMar w:top="125" w:right="339" w:bottom="1440" w:left="320" w:header="0" w:footer="0" w:gutter="0"/>
          <w:cols w:num="2" w:space="720" w:equalWidth="0">
            <w:col w:w="2520" w:space="280"/>
            <w:col w:w="8440"/>
          </w:cols>
        </w:sectPr>
      </w:pPr>
    </w:p>
    <w:p w:rsidR="000728AD" w:rsidRDefault="000728AD">
      <w:pPr>
        <w:spacing w:line="200" w:lineRule="exact"/>
        <w:rPr>
          <w:sz w:val="20"/>
          <w:szCs w:val="20"/>
        </w:rPr>
      </w:pPr>
    </w:p>
    <w:p w:rsidR="000728AD" w:rsidRDefault="000728AD">
      <w:pPr>
        <w:spacing w:line="274" w:lineRule="exact"/>
        <w:rPr>
          <w:sz w:val="20"/>
          <w:szCs w:val="20"/>
        </w:rPr>
      </w:pPr>
    </w:p>
    <w:p w:rsidR="000728AD" w:rsidRDefault="000561BE">
      <w:pPr>
        <w:jc w:val="center"/>
        <w:rPr>
          <w:sz w:val="20"/>
          <w:szCs w:val="20"/>
        </w:rPr>
      </w:pPr>
      <w:r>
        <w:rPr>
          <w:rFonts w:ascii="Arial" w:eastAsia="Arial" w:hAnsi="Arial" w:cs="Arial"/>
          <w:sz w:val="13"/>
          <w:szCs w:val="13"/>
        </w:rPr>
        <w:t>8</w:t>
      </w:r>
    </w:p>
    <w:p w:rsidR="000728AD" w:rsidRDefault="000561BE">
      <w:pPr>
        <w:spacing w:line="20" w:lineRule="exact"/>
        <w:rPr>
          <w:sz w:val="20"/>
          <w:szCs w:val="20"/>
        </w:rPr>
      </w:pPr>
      <w:r>
        <w:rPr>
          <w:noProof/>
          <w:sz w:val="20"/>
          <w:szCs w:val="20"/>
        </w:rPr>
        <w:drawing>
          <wp:anchor distT="0" distB="0" distL="114300" distR="114300" simplePos="0" relativeHeight="251612160" behindDoc="1" locked="0" layoutInCell="0" allowOverlap="1">
            <wp:simplePos x="0" y="0"/>
            <wp:positionH relativeFrom="column">
              <wp:posOffset>-6985</wp:posOffset>
            </wp:positionH>
            <wp:positionV relativeFrom="paragraph">
              <wp:posOffset>107315</wp:posOffset>
            </wp:positionV>
            <wp:extent cx="7157720" cy="425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type w:val="continuous"/>
          <w:pgSz w:w="11900" w:h="16838"/>
          <w:pgMar w:top="125" w:right="339" w:bottom="1440" w:left="320" w:header="0" w:footer="0" w:gutter="0"/>
          <w:cols w:space="720" w:equalWidth="0">
            <w:col w:w="11240"/>
          </w:cols>
        </w:sectPr>
      </w:pPr>
    </w:p>
    <w:bookmarkStart w:id="9" w:name="page9"/>
    <w:bookmarkEnd w:id="9"/>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395" w:lineRule="exact"/>
        <w:rPr>
          <w:sz w:val="20"/>
          <w:szCs w:val="20"/>
        </w:rPr>
      </w:pPr>
    </w:p>
    <w:p w:rsidR="000728AD" w:rsidRDefault="000561BE">
      <w:pPr>
        <w:jc w:val="center"/>
        <w:rPr>
          <w:sz w:val="20"/>
          <w:szCs w:val="20"/>
        </w:rPr>
      </w:pPr>
      <w:r>
        <w:rPr>
          <w:rFonts w:ascii="Arial" w:eastAsia="Arial" w:hAnsi="Arial" w:cs="Arial"/>
          <w:b/>
          <w:bCs/>
          <w:sz w:val="20"/>
          <w:szCs w:val="20"/>
        </w:rPr>
        <w:t>AXCELLA HEALTH INC.</w:t>
      </w:r>
    </w:p>
    <w:p w:rsidR="000728AD" w:rsidRDefault="000728AD">
      <w:pPr>
        <w:spacing w:line="21" w:lineRule="exact"/>
        <w:rPr>
          <w:sz w:val="20"/>
          <w:szCs w:val="20"/>
        </w:rPr>
      </w:pPr>
    </w:p>
    <w:p w:rsidR="000728AD" w:rsidRDefault="000561BE">
      <w:pPr>
        <w:jc w:val="center"/>
        <w:rPr>
          <w:sz w:val="20"/>
          <w:szCs w:val="20"/>
        </w:rPr>
      </w:pPr>
      <w:r>
        <w:rPr>
          <w:rFonts w:ascii="Arial" w:eastAsia="Arial" w:hAnsi="Arial" w:cs="Arial"/>
          <w:b/>
          <w:bCs/>
          <w:sz w:val="20"/>
          <w:szCs w:val="20"/>
        </w:rPr>
        <w:t xml:space="preserve">Condensed </w:t>
      </w:r>
      <w:r>
        <w:rPr>
          <w:rFonts w:ascii="Arial" w:eastAsia="Arial" w:hAnsi="Arial" w:cs="Arial"/>
          <w:b/>
          <w:bCs/>
          <w:sz w:val="20"/>
          <w:szCs w:val="20"/>
        </w:rPr>
        <w:t>Consolidated Statements of Stockholders' Equity (Unaudited)</w:t>
      </w:r>
    </w:p>
    <w:p w:rsidR="000728AD" w:rsidRDefault="000561BE">
      <w:pPr>
        <w:jc w:val="center"/>
        <w:rPr>
          <w:sz w:val="20"/>
          <w:szCs w:val="20"/>
        </w:rPr>
      </w:pPr>
      <w:r>
        <w:rPr>
          <w:rFonts w:ascii="Arial" w:eastAsia="Arial" w:hAnsi="Arial" w:cs="Arial"/>
          <w:b/>
          <w:bCs/>
          <w:sz w:val="20"/>
          <w:szCs w:val="20"/>
        </w:rPr>
        <w:t>(in thousands, except share data)</w:t>
      </w:r>
    </w:p>
    <w:p w:rsidR="000728AD" w:rsidRDefault="000728AD">
      <w:pPr>
        <w:spacing w:line="23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00"/>
        <w:gridCol w:w="1320"/>
        <w:gridCol w:w="80"/>
        <w:gridCol w:w="1040"/>
        <w:gridCol w:w="260"/>
        <w:gridCol w:w="100"/>
        <w:gridCol w:w="180"/>
        <w:gridCol w:w="1120"/>
        <w:gridCol w:w="100"/>
        <w:gridCol w:w="120"/>
        <w:gridCol w:w="1280"/>
        <w:gridCol w:w="100"/>
        <w:gridCol w:w="120"/>
        <w:gridCol w:w="1200"/>
        <w:gridCol w:w="100"/>
        <w:gridCol w:w="120"/>
        <w:gridCol w:w="1200"/>
        <w:gridCol w:w="20"/>
      </w:tblGrid>
      <w:tr w:rsidR="000728AD">
        <w:trPr>
          <w:trHeight w:val="234"/>
        </w:trPr>
        <w:tc>
          <w:tcPr>
            <w:tcW w:w="2800" w:type="dxa"/>
            <w:vAlign w:val="bottom"/>
          </w:tcPr>
          <w:p w:rsidR="000728AD" w:rsidRDefault="000728AD">
            <w:pPr>
              <w:rPr>
                <w:sz w:val="20"/>
                <w:szCs w:val="20"/>
              </w:rPr>
            </w:pPr>
          </w:p>
        </w:tc>
        <w:tc>
          <w:tcPr>
            <w:tcW w:w="1320" w:type="dxa"/>
            <w:tcBorders>
              <w:bottom w:val="single" w:sz="8" w:space="0" w:color="auto"/>
            </w:tcBorders>
            <w:vAlign w:val="bottom"/>
          </w:tcPr>
          <w:p w:rsidR="000728AD" w:rsidRDefault="000728AD">
            <w:pPr>
              <w:rPr>
                <w:sz w:val="20"/>
                <w:szCs w:val="20"/>
              </w:rPr>
            </w:pPr>
          </w:p>
        </w:tc>
        <w:tc>
          <w:tcPr>
            <w:tcW w:w="80" w:type="dxa"/>
            <w:tcBorders>
              <w:bottom w:val="single" w:sz="8" w:space="0" w:color="auto"/>
            </w:tcBorders>
            <w:vAlign w:val="bottom"/>
          </w:tcPr>
          <w:p w:rsidR="000728AD" w:rsidRDefault="000728AD">
            <w:pPr>
              <w:rPr>
                <w:sz w:val="20"/>
                <w:szCs w:val="20"/>
              </w:rPr>
            </w:pPr>
          </w:p>
        </w:tc>
        <w:tc>
          <w:tcPr>
            <w:tcW w:w="1040" w:type="dxa"/>
            <w:tcBorders>
              <w:bottom w:val="single" w:sz="8" w:space="0" w:color="auto"/>
            </w:tcBorders>
            <w:vAlign w:val="bottom"/>
          </w:tcPr>
          <w:p w:rsidR="000728AD" w:rsidRDefault="000728AD">
            <w:pPr>
              <w:rPr>
                <w:sz w:val="20"/>
                <w:szCs w:val="20"/>
              </w:rPr>
            </w:pPr>
          </w:p>
        </w:tc>
        <w:tc>
          <w:tcPr>
            <w:tcW w:w="4680" w:type="dxa"/>
            <w:gridSpan w:val="11"/>
            <w:tcBorders>
              <w:bottom w:val="single" w:sz="8" w:space="0" w:color="auto"/>
            </w:tcBorders>
            <w:vAlign w:val="bottom"/>
          </w:tcPr>
          <w:p w:rsidR="000728AD" w:rsidRDefault="000561BE">
            <w:pPr>
              <w:ind w:right="1080"/>
              <w:jc w:val="center"/>
              <w:rPr>
                <w:sz w:val="20"/>
                <w:szCs w:val="20"/>
              </w:rPr>
            </w:pPr>
            <w:r>
              <w:rPr>
                <w:rFonts w:ascii="Arial" w:eastAsia="Arial" w:hAnsi="Arial" w:cs="Arial"/>
                <w:b/>
                <w:bCs/>
                <w:w w:val="91"/>
                <w:sz w:val="18"/>
                <w:szCs w:val="18"/>
              </w:rPr>
              <w:t>Three and Six Months Ended June 30, 2021</w:t>
            </w:r>
          </w:p>
        </w:tc>
        <w:tc>
          <w:tcPr>
            <w:tcW w:w="120" w:type="dxa"/>
            <w:tcBorders>
              <w:bottom w:val="single" w:sz="8" w:space="0" w:color="auto"/>
            </w:tcBorders>
            <w:vAlign w:val="bottom"/>
          </w:tcPr>
          <w:p w:rsidR="000728AD" w:rsidRDefault="000728AD">
            <w:pPr>
              <w:rPr>
                <w:sz w:val="20"/>
                <w:szCs w:val="20"/>
              </w:rPr>
            </w:pPr>
          </w:p>
        </w:tc>
        <w:tc>
          <w:tcPr>
            <w:tcW w:w="1200" w:type="dxa"/>
            <w:tcBorders>
              <w:bottom w:val="single" w:sz="8" w:space="0" w:color="auto"/>
            </w:tcBorders>
            <w:vAlign w:val="bottom"/>
          </w:tcPr>
          <w:p w:rsidR="000728AD" w:rsidRDefault="000728AD">
            <w:pPr>
              <w:rPr>
                <w:sz w:val="20"/>
                <w:szCs w:val="20"/>
              </w:rPr>
            </w:pPr>
          </w:p>
        </w:tc>
        <w:tc>
          <w:tcPr>
            <w:tcW w:w="0" w:type="dxa"/>
            <w:vAlign w:val="bottom"/>
          </w:tcPr>
          <w:p w:rsidR="000728AD" w:rsidRDefault="000728AD">
            <w:pPr>
              <w:rPr>
                <w:sz w:val="1"/>
                <w:szCs w:val="1"/>
              </w:rPr>
            </w:pPr>
          </w:p>
        </w:tc>
      </w:tr>
      <w:tr w:rsidR="000728AD">
        <w:trPr>
          <w:trHeight w:val="196"/>
        </w:trPr>
        <w:tc>
          <w:tcPr>
            <w:tcW w:w="2800" w:type="dxa"/>
            <w:vAlign w:val="bottom"/>
          </w:tcPr>
          <w:p w:rsidR="000728AD" w:rsidRDefault="000728AD">
            <w:pPr>
              <w:rPr>
                <w:sz w:val="17"/>
                <w:szCs w:val="17"/>
              </w:rPr>
            </w:pPr>
          </w:p>
        </w:tc>
        <w:tc>
          <w:tcPr>
            <w:tcW w:w="1320" w:type="dxa"/>
            <w:vAlign w:val="bottom"/>
          </w:tcPr>
          <w:p w:rsidR="000728AD" w:rsidRDefault="000728AD">
            <w:pPr>
              <w:rPr>
                <w:sz w:val="17"/>
                <w:szCs w:val="17"/>
              </w:rPr>
            </w:pPr>
          </w:p>
        </w:tc>
        <w:tc>
          <w:tcPr>
            <w:tcW w:w="80" w:type="dxa"/>
            <w:vAlign w:val="bottom"/>
          </w:tcPr>
          <w:p w:rsidR="000728AD" w:rsidRDefault="000728AD">
            <w:pPr>
              <w:rPr>
                <w:sz w:val="17"/>
                <w:szCs w:val="17"/>
              </w:rPr>
            </w:pPr>
          </w:p>
        </w:tc>
        <w:tc>
          <w:tcPr>
            <w:tcW w:w="1040" w:type="dxa"/>
            <w:vAlign w:val="bottom"/>
          </w:tcPr>
          <w:p w:rsidR="000728AD" w:rsidRDefault="000728AD">
            <w:pPr>
              <w:rPr>
                <w:sz w:val="17"/>
                <w:szCs w:val="17"/>
              </w:rPr>
            </w:pPr>
          </w:p>
        </w:tc>
        <w:tc>
          <w:tcPr>
            <w:tcW w:w="260" w:type="dxa"/>
            <w:vAlign w:val="bottom"/>
          </w:tcPr>
          <w:p w:rsidR="000728AD" w:rsidRDefault="000728AD">
            <w:pPr>
              <w:rPr>
                <w:sz w:val="17"/>
                <w:szCs w:val="17"/>
              </w:rPr>
            </w:pPr>
          </w:p>
        </w:tc>
        <w:tc>
          <w:tcPr>
            <w:tcW w:w="100" w:type="dxa"/>
            <w:vAlign w:val="bottom"/>
          </w:tcPr>
          <w:p w:rsidR="000728AD" w:rsidRDefault="000728AD">
            <w:pPr>
              <w:rPr>
                <w:sz w:val="17"/>
                <w:szCs w:val="17"/>
              </w:rPr>
            </w:pPr>
          </w:p>
        </w:tc>
        <w:tc>
          <w:tcPr>
            <w:tcW w:w="180" w:type="dxa"/>
            <w:vAlign w:val="bottom"/>
          </w:tcPr>
          <w:p w:rsidR="000728AD" w:rsidRDefault="000728AD">
            <w:pPr>
              <w:rPr>
                <w:sz w:val="17"/>
                <w:szCs w:val="17"/>
              </w:rPr>
            </w:pPr>
          </w:p>
        </w:tc>
        <w:tc>
          <w:tcPr>
            <w:tcW w:w="1120" w:type="dxa"/>
            <w:vAlign w:val="bottom"/>
          </w:tcPr>
          <w:p w:rsidR="000728AD" w:rsidRDefault="000728AD">
            <w:pPr>
              <w:rPr>
                <w:sz w:val="17"/>
                <w:szCs w:val="17"/>
              </w:rPr>
            </w:pPr>
          </w:p>
        </w:tc>
        <w:tc>
          <w:tcPr>
            <w:tcW w:w="100" w:type="dxa"/>
            <w:vAlign w:val="bottom"/>
          </w:tcPr>
          <w:p w:rsidR="000728AD" w:rsidRDefault="000728AD">
            <w:pPr>
              <w:rPr>
                <w:sz w:val="17"/>
                <w:szCs w:val="17"/>
              </w:rPr>
            </w:pPr>
          </w:p>
        </w:tc>
        <w:tc>
          <w:tcPr>
            <w:tcW w:w="120" w:type="dxa"/>
            <w:vAlign w:val="bottom"/>
          </w:tcPr>
          <w:p w:rsidR="000728AD" w:rsidRDefault="000728AD">
            <w:pPr>
              <w:rPr>
                <w:sz w:val="17"/>
                <w:szCs w:val="17"/>
              </w:rPr>
            </w:pPr>
          </w:p>
        </w:tc>
        <w:tc>
          <w:tcPr>
            <w:tcW w:w="1380" w:type="dxa"/>
            <w:gridSpan w:val="2"/>
            <w:vAlign w:val="bottom"/>
          </w:tcPr>
          <w:p w:rsidR="000728AD" w:rsidRDefault="000561BE">
            <w:pPr>
              <w:spacing w:line="196" w:lineRule="exact"/>
              <w:ind w:right="200"/>
              <w:jc w:val="center"/>
              <w:rPr>
                <w:sz w:val="20"/>
                <w:szCs w:val="20"/>
              </w:rPr>
            </w:pPr>
            <w:r>
              <w:rPr>
                <w:rFonts w:ascii="Arial" w:eastAsia="Arial" w:hAnsi="Arial" w:cs="Arial"/>
                <w:b/>
                <w:bCs/>
                <w:w w:val="90"/>
                <w:sz w:val="18"/>
                <w:szCs w:val="18"/>
              </w:rPr>
              <w:t>Accumulated</w:t>
            </w:r>
          </w:p>
        </w:tc>
        <w:tc>
          <w:tcPr>
            <w:tcW w:w="120" w:type="dxa"/>
            <w:vAlign w:val="bottom"/>
          </w:tcPr>
          <w:p w:rsidR="000728AD" w:rsidRDefault="000728AD">
            <w:pPr>
              <w:rPr>
                <w:sz w:val="17"/>
                <w:szCs w:val="17"/>
              </w:rPr>
            </w:pPr>
          </w:p>
        </w:tc>
        <w:tc>
          <w:tcPr>
            <w:tcW w:w="1200" w:type="dxa"/>
            <w:vAlign w:val="bottom"/>
          </w:tcPr>
          <w:p w:rsidR="000728AD" w:rsidRDefault="000728AD">
            <w:pPr>
              <w:rPr>
                <w:sz w:val="17"/>
                <w:szCs w:val="17"/>
              </w:rPr>
            </w:pPr>
          </w:p>
        </w:tc>
        <w:tc>
          <w:tcPr>
            <w:tcW w:w="100" w:type="dxa"/>
            <w:vAlign w:val="bottom"/>
          </w:tcPr>
          <w:p w:rsidR="000728AD" w:rsidRDefault="000728AD">
            <w:pPr>
              <w:rPr>
                <w:sz w:val="17"/>
                <w:szCs w:val="17"/>
              </w:rPr>
            </w:pPr>
          </w:p>
        </w:tc>
        <w:tc>
          <w:tcPr>
            <w:tcW w:w="120" w:type="dxa"/>
            <w:vAlign w:val="bottom"/>
          </w:tcPr>
          <w:p w:rsidR="000728AD" w:rsidRDefault="000728AD">
            <w:pPr>
              <w:rPr>
                <w:sz w:val="17"/>
                <w:szCs w:val="17"/>
              </w:rPr>
            </w:pPr>
          </w:p>
        </w:tc>
        <w:tc>
          <w:tcPr>
            <w:tcW w:w="1200" w:type="dxa"/>
            <w:vMerge w:val="restart"/>
            <w:vAlign w:val="bottom"/>
          </w:tcPr>
          <w:p w:rsidR="000728AD" w:rsidRDefault="000561BE">
            <w:pPr>
              <w:ind w:right="30"/>
              <w:jc w:val="center"/>
              <w:rPr>
                <w:sz w:val="20"/>
                <w:szCs w:val="20"/>
              </w:rPr>
            </w:pPr>
            <w:r>
              <w:rPr>
                <w:rFonts w:ascii="Arial" w:eastAsia="Arial" w:hAnsi="Arial" w:cs="Arial"/>
                <w:b/>
                <w:bCs/>
                <w:w w:val="92"/>
                <w:sz w:val="18"/>
                <w:szCs w:val="18"/>
              </w:rPr>
              <w:t>Total</w:t>
            </w:r>
          </w:p>
        </w:tc>
        <w:tc>
          <w:tcPr>
            <w:tcW w:w="0" w:type="dxa"/>
            <w:vAlign w:val="bottom"/>
          </w:tcPr>
          <w:p w:rsidR="000728AD" w:rsidRDefault="000728AD">
            <w:pPr>
              <w:rPr>
                <w:sz w:val="1"/>
                <w:szCs w:val="1"/>
              </w:rPr>
            </w:pPr>
          </w:p>
        </w:tc>
      </w:tr>
      <w:tr w:rsidR="000728AD">
        <w:trPr>
          <w:trHeight w:val="175"/>
        </w:trPr>
        <w:tc>
          <w:tcPr>
            <w:tcW w:w="2800" w:type="dxa"/>
            <w:vAlign w:val="bottom"/>
          </w:tcPr>
          <w:p w:rsidR="000728AD" w:rsidRDefault="000728AD">
            <w:pPr>
              <w:rPr>
                <w:sz w:val="15"/>
                <w:szCs w:val="15"/>
              </w:rPr>
            </w:pPr>
          </w:p>
        </w:tc>
        <w:tc>
          <w:tcPr>
            <w:tcW w:w="2440" w:type="dxa"/>
            <w:gridSpan w:val="3"/>
            <w:vMerge w:val="restart"/>
            <w:vAlign w:val="bottom"/>
          </w:tcPr>
          <w:p w:rsidR="000728AD" w:rsidRDefault="000561BE">
            <w:pPr>
              <w:ind w:right="430"/>
              <w:jc w:val="right"/>
              <w:rPr>
                <w:sz w:val="20"/>
                <w:szCs w:val="20"/>
              </w:rPr>
            </w:pPr>
            <w:r>
              <w:rPr>
                <w:rFonts w:ascii="Arial" w:eastAsia="Arial" w:hAnsi="Arial" w:cs="Arial"/>
                <w:b/>
                <w:bCs/>
                <w:sz w:val="18"/>
                <w:szCs w:val="18"/>
              </w:rPr>
              <w:t>Common stock</w:t>
            </w:r>
          </w:p>
        </w:tc>
        <w:tc>
          <w:tcPr>
            <w:tcW w:w="260" w:type="dxa"/>
            <w:vAlign w:val="bottom"/>
          </w:tcPr>
          <w:p w:rsidR="000728AD" w:rsidRDefault="000728AD">
            <w:pPr>
              <w:rPr>
                <w:sz w:val="15"/>
                <w:szCs w:val="15"/>
              </w:rPr>
            </w:pPr>
          </w:p>
        </w:tc>
        <w:tc>
          <w:tcPr>
            <w:tcW w:w="100" w:type="dxa"/>
            <w:vAlign w:val="bottom"/>
          </w:tcPr>
          <w:p w:rsidR="000728AD" w:rsidRDefault="000728AD">
            <w:pPr>
              <w:rPr>
                <w:sz w:val="15"/>
                <w:szCs w:val="15"/>
              </w:rPr>
            </w:pPr>
          </w:p>
        </w:tc>
        <w:tc>
          <w:tcPr>
            <w:tcW w:w="180" w:type="dxa"/>
            <w:vAlign w:val="bottom"/>
          </w:tcPr>
          <w:p w:rsidR="000728AD" w:rsidRDefault="000728AD">
            <w:pPr>
              <w:rPr>
                <w:sz w:val="15"/>
                <w:szCs w:val="15"/>
              </w:rPr>
            </w:pPr>
          </w:p>
        </w:tc>
        <w:tc>
          <w:tcPr>
            <w:tcW w:w="1120" w:type="dxa"/>
            <w:vAlign w:val="bottom"/>
          </w:tcPr>
          <w:p w:rsidR="000728AD" w:rsidRDefault="000728AD">
            <w:pPr>
              <w:rPr>
                <w:sz w:val="15"/>
                <w:szCs w:val="15"/>
              </w:rPr>
            </w:pPr>
          </w:p>
        </w:tc>
        <w:tc>
          <w:tcPr>
            <w:tcW w:w="100" w:type="dxa"/>
            <w:vAlign w:val="bottom"/>
          </w:tcPr>
          <w:p w:rsidR="000728AD" w:rsidRDefault="000728AD">
            <w:pPr>
              <w:rPr>
                <w:sz w:val="15"/>
                <w:szCs w:val="15"/>
              </w:rPr>
            </w:pPr>
          </w:p>
        </w:tc>
        <w:tc>
          <w:tcPr>
            <w:tcW w:w="120" w:type="dxa"/>
            <w:vAlign w:val="bottom"/>
          </w:tcPr>
          <w:p w:rsidR="000728AD" w:rsidRDefault="000728AD">
            <w:pPr>
              <w:rPr>
                <w:sz w:val="15"/>
                <w:szCs w:val="15"/>
              </w:rPr>
            </w:pPr>
          </w:p>
        </w:tc>
        <w:tc>
          <w:tcPr>
            <w:tcW w:w="1380" w:type="dxa"/>
            <w:gridSpan w:val="2"/>
            <w:vAlign w:val="bottom"/>
          </w:tcPr>
          <w:p w:rsidR="000728AD" w:rsidRDefault="000561BE">
            <w:pPr>
              <w:spacing w:line="176" w:lineRule="exact"/>
              <w:ind w:right="220"/>
              <w:jc w:val="center"/>
              <w:rPr>
                <w:sz w:val="20"/>
                <w:szCs w:val="20"/>
              </w:rPr>
            </w:pPr>
            <w:r>
              <w:rPr>
                <w:rFonts w:ascii="Arial" w:eastAsia="Arial" w:hAnsi="Arial" w:cs="Arial"/>
                <w:b/>
                <w:bCs/>
                <w:w w:val="88"/>
                <w:sz w:val="18"/>
                <w:szCs w:val="18"/>
              </w:rPr>
              <w:t>other</w:t>
            </w:r>
          </w:p>
        </w:tc>
        <w:tc>
          <w:tcPr>
            <w:tcW w:w="120" w:type="dxa"/>
            <w:vAlign w:val="bottom"/>
          </w:tcPr>
          <w:p w:rsidR="000728AD" w:rsidRDefault="000728AD">
            <w:pPr>
              <w:rPr>
                <w:sz w:val="15"/>
                <w:szCs w:val="15"/>
              </w:rPr>
            </w:pPr>
          </w:p>
        </w:tc>
        <w:tc>
          <w:tcPr>
            <w:tcW w:w="1200" w:type="dxa"/>
            <w:vAlign w:val="bottom"/>
          </w:tcPr>
          <w:p w:rsidR="000728AD" w:rsidRDefault="000728AD">
            <w:pPr>
              <w:rPr>
                <w:sz w:val="15"/>
                <w:szCs w:val="15"/>
              </w:rPr>
            </w:pPr>
          </w:p>
        </w:tc>
        <w:tc>
          <w:tcPr>
            <w:tcW w:w="100" w:type="dxa"/>
            <w:vAlign w:val="bottom"/>
          </w:tcPr>
          <w:p w:rsidR="000728AD" w:rsidRDefault="000728AD">
            <w:pPr>
              <w:rPr>
                <w:sz w:val="15"/>
                <w:szCs w:val="15"/>
              </w:rPr>
            </w:pPr>
          </w:p>
        </w:tc>
        <w:tc>
          <w:tcPr>
            <w:tcW w:w="120" w:type="dxa"/>
            <w:vAlign w:val="bottom"/>
          </w:tcPr>
          <w:p w:rsidR="000728AD" w:rsidRDefault="000728AD">
            <w:pPr>
              <w:rPr>
                <w:sz w:val="15"/>
                <w:szCs w:val="15"/>
              </w:rPr>
            </w:pPr>
          </w:p>
        </w:tc>
        <w:tc>
          <w:tcPr>
            <w:tcW w:w="1200" w:type="dxa"/>
            <w:vMerge/>
            <w:vAlign w:val="bottom"/>
          </w:tcPr>
          <w:p w:rsidR="000728AD" w:rsidRDefault="000728AD">
            <w:pPr>
              <w:rPr>
                <w:sz w:val="15"/>
                <w:szCs w:val="15"/>
              </w:rPr>
            </w:pPr>
          </w:p>
        </w:tc>
        <w:tc>
          <w:tcPr>
            <w:tcW w:w="0" w:type="dxa"/>
            <w:vAlign w:val="bottom"/>
          </w:tcPr>
          <w:p w:rsidR="000728AD" w:rsidRDefault="000728AD">
            <w:pPr>
              <w:rPr>
                <w:sz w:val="1"/>
                <w:szCs w:val="1"/>
              </w:rPr>
            </w:pPr>
          </w:p>
        </w:tc>
      </w:tr>
      <w:tr w:rsidR="000728AD">
        <w:trPr>
          <w:trHeight w:val="149"/>
        </w:trPr>
        <w:tc>
          <w:tcPr>
            <w:tcW w:w="2800" w:type="dxa"/>
            <w:vAlign w:val="bottom"/>
          </w:tcPr>
          <w:p w:rsidR="000728AD" w:rsidRDefault="000728AD">
            <w:pPr>
              <w:rPr>
                <w:sz w:val="12"/>
                <w:szCs w:val="12"/>
              </w:rPr>
            </w:pPr>
          </w:p>
        </w:tc>
        <w:tc>
          <w:tcPr>
            <w:tcW w:w="2440" w:type="dxa"/>
            <w:gridSpan w:val="3"/>
            <w:vMerge/>
            <w:tcBorders>
              <w:bottom w:val="single" w:sz="8" w:space="0" w:color="auto"/>
            </w:tcBorders>
            <w:vAlign w:val="bottom"/>
          </w:tcPr>
          <w:p w:rsidR="000728AD" w:rsidRDefault="000728AD">
            <w:pPr>
              <w:rPr>
                <w:sz w:val="12"/>
                <w:szCs w:val="12"/>
              </w:rPr>
            </w:pPr>
          </w:p>
        </w:tc>
        <w:tc>
          <w:tcPr>
            <w:tcW w:w="260" w:type="dxa"/>
            <w:tcBorders>
              <w:bottom w:val="single" w:sz="8" w:space="0" w:color="auto"/>
            </w:tcBorders>
            <w:vAlign w:val="bottom"/>
          </w:tcPr>
          <w:p w:rsidR="000728AD" w:rsidRDefault="000728AD">
            <w:pPr>
              <w:rPr>
                <w:sz w:val="12"/>
                <w:szCs w:val="12"/>
              </w:rPr>
            </w:pPr>
          </w:p>
        </w:tc>
        <w:tc>
          <w:tcPr>
            <w:tcW w:w="100" w:type="dxa"/>
            <w:vAlign w:val="bottom"/>
          </w:tcPr>
          <w:p w:rsidR="000728AD" w:rsidRDefault="000728AD">
            <w:pPr>
              <w:rPr>
                <w:sz w:val="12"/>
                <w:szCs w:val="12"/>
              </w:rPr>
            </w:pPr>
          </w:p>
        </w:tc>
        <w:tc>
          <w:tcPr>
            <w:tcW w:w="180" w:type="dxa"/>
            <w:vAlign w:val="bottom"/>
          </w:tcPr>
          <w:p w:rsidR="000728AD" w:rsidRDefault="000728AD">
            <w:pPr>
              <w:rPr>
                <w:sz w:val="12"/>
                <w:szCs w:val="12"/>
              </w:rPr>
            </w:pPr>
          </w:p>
        </w:tc>
        <w:tc>
          <w:tcPr>
            <w:tcW w:w="1220" w:type="dxa"/>
            <w:gridSpan w:val="2"/>
            <w:vAlign w:val="bottom"/>
          </w:tcPr>
          <w:p w:rsidR="000728AD" w:rsidRDefault="000561BE">
            <w:pPr>
              <w:spacing w:line="149" w:lineRule="exact"/>
              <w:ind w:right="280"/>
              <w:jc w:val="center"/>
              <w:rPr>
                <w:sz w:val="20"/>
                <w:szCs w:val="20"/>
              </w:rPr>
            </w:pPr>
            <w:r>
              <w:rPr>
                <w:rFonts w:ascii="Arial" w:eastAsia="Arial" w:hAnsi="Arial" w:cs="Arial"/>
                <w:b/>
                <w:bCs/>
                <w:w w:val="98"/>
                <w:sz w:val="17"/>
                <w:szCs w:val="17"/>
              </w:rPr>
              <w:t>Additional</w:t>
            </w:r>
          </w:p>
        </w:tc>
        <w:tc>
          <w:tcPr>
            <w:tcW w:w="120" w:type="dxa"/>
            <w:vAlign w:val="bottom"/>
          </w:tcPr>
          <w:p w:rsidR="000728AD" w:rsidRDefault="000728AD">
            <w:pPr>
              <w:rPr>
                <w:sz w:val="12"/>
                <w:szCs w:val="12"/>
              </w:rPr>
            </w:pPr>
          </w:p>
        </w:tc>
        <w:tc>
          <w:tcPr>
            <w:tcW w:w="1380" w:type="dxa"/>
            <w:gridSpan w:val="2"/>
            <w:vAlign w:val="bottom"/>
          </w:tcPr>
          <w:p w:rsidR="000728AD" w:rsidRDefault="000561BE">
            <w:pPr>
              <w:spacing w:line="149" w:lineRule="exact"/>
              <w:ind w:right="220"/>
              <w:jc w:val="center"/>
              <w:rPr>
                <w:sz w:val="20"/>
                <w:szCs w:val="20"/>
              </w:rPr>
            </w:pPr>
            <w:r>
              <w:rPr>
                <w:rFonts w:ascii="Arial" w:eastAsia="Arial" w:hAnsi="Arial" w:cs="Arial"/>
                <w:b/>
                <w:bCs/>
                <w:w w:val="92"/>
                <w:sz w:val="17"/>
                <w:szCs w:val="17"/>
              </w:rPr>
              <w:t>comprehensive</w:t>
            </w:r>
          </w:p>
        </w:tc>
        <w:tc>
          <w:tcPr>
            <w:tcW w:w="120" w:type="dxa"/>
            <w:vAlign w:val="bottom"/>
          </w:tcPr>
          <w:p w:rsidR="000728AD" w:rsidRDefault="000728AD">
            <w:pPr>
              <w:rPr>
                <w:sz w:val="12"/>
                <w:szCs w:val="12"/>
              </w:rPr>
            </w:pPr>
          </w:p>
        </w:tc>
        <w:tc>
          <w:tcPr>
            <w:tcW w:w="1300" w:type="dxa"/>
            <w:gridSpan w:val="2"/>
            <w:vAlign w:val="bottom"/>
          </w:tcPr>
          <w:p w:rsidR="000728AD" w:rsidRDefault="000561BE">
            <w:pPr>
              <w:spacing w:line="149" w:lineRule="exact"/>
              <w:ind w:right="200"/>
              <w:jc w:val="center"/>
              <w:rPr>
                <w:sz w:val="20"/>
                <w:szCs w:val="20"/>
              </w:rPr>
            </w:pPr>
            <w:r>
              <w:rPr>
                <w:rFonts w:ascii="Arial" w:eastAsia="Arial" w:hAnsi="Arial" w:cs="Arial"/>
                <w:b/>
                <w:bCs/>
                <w:w w:val="95"/>
                <w:sz w:val="17"/>
                <w:szCs w:val="17"/>
              </w:rPr>
              <w:t>Accumulated</w:t>
            </w:r>
          </w:p>
        </w:tc>
        <w:tc>
          <w:tcPr>
            <w:tcW w:w="120" w:type="dxa"/>
            <w:vAlign w:val="bottom"/>
          </w:tcPr>
          <w:p w:rsidR="000728AD" w:rsidRDefault="000728AD">
            <w:pPr>
              <w:rPr>
                <w:sz w:val="12"/>
                <w:szCs w:val="12"/>
              </w:rPr>
            </w:pPr>
          </w:p>
        </w:tc>
        <w:tc>
          <w:tcPr>
            <w:tcW w:w="1200" w:type="dxa"/>
            <w:vAlign w:val="bottom"/>
          </w:tcPr>
          <w:p w:rsidR="000728AD" w:rsidRDefault="000561BE">
            <w:pPr>
              <w:spacing w:line="149" w:lineRule="exact"/>
              <w:ind w:right="30"/>
              <w:jc w:val="center"/>
              <w:rPr>
                <w:sz w:val="20"/>
                <w:szCs w:val="20"/>
              </w:rPr>
            </w:pPr>
            <w:r>
              <w:rPr>
                <w:rFonts w:ascii="Arial" w:eastAsia="Arial" w:hAnsi="Arial" w:cs="Arial"/>
                <w:b/>
                <w:bCs/>
                <w:w w:val="94"/>
                <w:sz w:val="17"/>
                <w:szCs w:val="17"/>
              </w:rPr>
              <w:t>stockholders’</w:t>
            </w:r>
          </w:p>
        </w:tc>
        <w:tc>
          <w:tcPr>
            <w:tcW w:w="0" w:type="dxa"/>
            <w:vAlign w:val="bottom"/>
          </w:tcPr>
          <w:p w:rsidR="000728AD" w:rsidRDefault="000728AD">
            <w:pPr>
              <w:rPr>
                <w:sz w:val="1"/>
                <w:szCs w:val="1"/>
              </w:rPr>
            </w:pPr>
          </w:p>
        </w:tc>
      </w:tr>
      <w:tr w:rsidR="000728AD">
        <w:trPr>
          <w:trHeight w:val="236"/>
        </w:trPr>
        <w:tc>
          <w:tcPr>
            <w:tcW w:w="2800" w:type="dxa"/>
            <w:vAlign w:val="bottom"/>
          </w:tcPr>
          <w:p w:rsidR="000728AD" w:rsidRDefault="000728AD">
            <w:pPr>
              <w:rPr>
                <w:sz w:val="20"/>
                <w:szCs w:val="20"/>
              </w:rPr>
            </w:pPr>
          </w:p>
        </w:tc>
        <w:tc>
          <w:tcPr>
            <w:tcW w:w="1400" w:type="dxa"/>
            <w:gridSpan w:val="2"/>
            <w:vAlign w:val="bottom"/>
          </w:tcPr>
          <w:p w:rsidR="000728AD" w:rsidRDefault="000561BE">
            <w:pPr>
              <w:ind w:left="400"/>
              <w:rPr>
                <w:sz w:val="20"/>
                <w:szCs w:val="20"/>
              </w:rPr>
            </w:pPr>
            <w:r>
              <w:rPr>
                <w:rFonts w:ascii="Arial" w:eastAsia="Arial" w:hAnsi="Arial" w:cs="Arial"/>
                <w:b/>
                <w:bCs/>
                <w:sz w:val="18"/>
                <w:szCs w:val="18"/>
              </w:rPr>
              <w:t>Shares</w:t>
            </w:r>
          </w:p>
        </w:tc>
        <w:tc>
          <w:tcPr>
            <w:tcW w:w="1040" w:type="dxa"/>
            <w:vAlign w:val="bottom"/>
          </w:tcPr>
          <w:p w:rsidR="000728AD" w:rsidRDefault="000561BE">
            <w:pPr>
              <w:jc w:val="right"/>
              <w:rPr>
                <w:sz w:val="20"/>
                <w:szCs w:val="20"/>
              </w:rPr>
            </w:pPr>
            <w:r>
              <w:rPr>
                <w:rFonts w:ascii="Arial" w:eastAsia="Arial" w:hAnsi="Arial" w:cs="Arial"/>
                <w:b/>
                <w:bCs/>
                <w:sz w:val="18"/>
                <w:szCs w:val="18"/>
              </w:rPr>
              <w:t>Par Value</w:t>
            </w:r>
          </w:p>
        </w:tc>
        <w:tc>
          <w:tcPr>
            <w:tcW w:w="260" w:type="dxa"/>
            <w:vAlign w:val="bottom"/>
          </w:tcPr>
          <w:p w:rsidR="000728AD" w:rsidRDefault="000728AD">
            <w:pPr>
              <w:rPr>
                <w:sz w:val="20"/>
                <w:szCs w:val="20"/>
              </w:rPr>
            </w:pPr>
          </w:p>
        </w:tc>
        <w:tc>
          <w:tcPr>
            <w:tcW w:w="100" w:type="dxa"/>
            <w:vAlign w:val="bottom"/>
          </w:tcPr>
          <w:p w:rsidR="000728AD" w:rsidRDefault="000728AD">
            <w:pPr>
              <w:rPr>
                <w:sz w:val="20"/>
                <w:szCs w:val="20"/>
              </w:rPr>
            </w:pPr>
          </w:p>
        </w:tc>
        <w:tc>
          <w:tcPr>
            <w:tcW w:w="1400" w:type="dxa"/>
            <w:gridSpan w:val="3"/>
            <w:vAlign w:val="bottom"/>
          </w:tcPr>
          <w:p w:rsidR="000728AD" w:rsidRDefault="000561BE">
            <w:pPr>
              <w:ind w:right="100"/>
              <w:jc w:val="center"/>
              <w:rPr>
                <w:sz w:val="20"/>
                <w:szCs w:val="20"/>
              </w:rPr>
            </w:pPr>
            <w:r>
              <w:rPr>
                <w:rFonts w:ascii="Arial" w:eastAsia="Arial" w:hAnsi="Arial" w:cs="Arial"/>
                <w:b/>
                <w:bCs/>
                <w:w w:val="90"/>
                <w:sz w:val="18"/>
                <w:szCs w:val="18"/>
              </w:rPr>
              <w:t>paid-in capital</w:t>
            </w:r>
          </w:p>
        </w:tc>
        <w:tc>
          <w:tcPr>
            <w:tcW w:w="120" w:type="dxa"/>
            <w:vAlign w:val="bottom"/>
          </w:tcPr>
          <w:p w:rsidR="000728AD" w:rsidRDefault="000728AD">
            <w:pPr>
              <w:rPr>
                <w:sz w:val="20"/>
                <w:szCs w:val="20"/>
              </w:rPr>
            </w:pPr>
          </w:p>
        </w:tc>
        <w:tc>
          <w:tcPr>
            <w:tcW w:w="1380" w:type="dxa"/>
            <w:gridSpan w:val="2"/>
            <w:vAlign w:val="bottom"/>
          </w:tcPr>
          <w:p w:rsidR="000728AD" w:rsidRDefault="000561BE">
            <w:pPr>
              <w:ind w:right="180"/>
              <w:jc w:val="center"/>
              <w:rPr>
                <w:sz w:val="20"/>
                <w:szCs w:val="20"/>
              </w:rPr>
            </w:pPr>
            <w:r>
              <w:rPr>
                <w:rFonts w:ascii="Arial" w:eastAsia="Arial" w:hAnsi="Arial" w:cs="Arial"/>
                <w:b/>
                <w:bCs/>
                <w:w w:val="86"/>
                <w:sz w:val="18"/>
                <w:szCs w:val="18"/>
              </w:rPr>
              <w:t>income (loss)</w:t>
            </w:r>
          </w:p>
        </w:tc>
        <w:tc>
          <w:tcPr>
            <w:tcW w:w="120" w:type="dxa"/>
            <w:vAlign w:val="bottom"/>
          </w:tcPr>
          <w:p w:rsidR="000728AD" w:rsidRDefault="000728AD">
            <w:pPr>
              <w:rPr>
                <w:sz w:val="20"/>
                <w:szCs w:val="20"/>
              </w:rPr>
            </w:pPr>
          </w:p>
        </w:tc>
        <w:tc>
          <w:tcPr>
            <w:tcW w:w="1300" w:type="dxa"/>
            <w:gridSpan w:val="2"/>
            <w:vAlign w:val="bottom"/>
          </w:tcPr>
          <w:p w:rsidR="000728AD" w:rsidRDefault="000561BE">
            <w:pPr>
              <w:ind w:right="220"/>
              <w:jc w:val="center"/>
              <w:rPr>
                <w:sz w:val="20"/>
                <w:szCs w:val="20"/>
              </w:rPr>
            </w:pPr>
            <w:r>
              <w:rPr>
                <w:rFonts w:ascii="Arial" w:eastAsia="Arial" w:hAnsi="Arial" w:cs="Arial"/>
                <w:b/>
                <w:bCs/>
                <w:w w:val="90"/>
                <w:sz w:val="18"/>
                <w:szCs w:val="18"/>
              </w:rPr>
              <w:t>deficit</w:t>
            </w:r>
          </w:p>
        </w:tc>
        <w:tc>
          <w:tcPr>
            <w:tcW w:w="120" w:type="dxa"/>
            <w:vAlign w:val="bottom"/>
          </w:tcPr>
          <w:p w:rsidR="000728AD" w:rsidRDefault="000728AD">
            <w:pPr>
              <w:rPr>
                <w:sz w:val="20"/>
                <w:szCs w:val="20"/>
              </w:rPr>
            </w:pPr>
          </w:p>
        </w:tc>
        <w:tc>
          <w:tcPr>
            <w:tcW w:w="1200" w:type="dxa"/>
            <w:vAlign w:val="bottom"/>
          </w:tcPr>
          <w:p w:rsidR="000728AD" w:rsidRDefault="000561BE">
            <w:pPr>
              <w:ind w:right="30"/>
              <w:jc w:val="center"/>
              <w:rPr>
                <w:sz w:val="20"/>
                <w:szCs w:val="20"/>
              </w:rPr>
            </w:pPr>
            <w:r>
              <w:rPr>
                <w:rFonts w:ascii="Arial" w:eastAsia="Arial" w:hAnsi="Arial" w:cs="Arial"/>
                <w:b/>
                <w:bCs/>
                <w:w w:val="90"/>
                <w:sz w:val="18"/>
                <w:szCs w:val="18"/>
              </w:rPr>
              <w:t>equity</w:t>
            </w:r>
          </w:p>
        </w:tc>
        <w:tc>
          <w:tcPr>
            <w:tcW w:w="0" w:type="dxa"/>
            <w:vAlign w:val="bottom"/>
          </w:tcPr>
          <w:p w:rsidR="000728AD" w:rsidRDefault="000728AD">
            <w:pPr>
              <w:rPr>
                <w:sz w:val="1"/>
                <w:szCs w:val="1"/>
              </w:rPr>
            </w:pPr>
          </w:p>
        </w:tc>
      </w:tr>
      <w:tr w:rsidR="000728AD">
        <w:trPr>
          <w:trHeight w:val="223"/>
        </w:trPr>
        <w:tc>
          <w:tcPr>
            <w:tcW w:w="2800" w:type="dxa"/>
            <w:tcBorders>
              <w:top w:val="single" w:sz="8" w:space="0" w:color="CCEEFF"/>
            </w:tcBorders>
            <w:shd w:val="clear" w:color="auto" w:fill="CCEEFF"/>
            <w:vAlign w:val="bottom"/>
          </w:tcPr>
          <w:p w:rsidR="000728AD" w:rsidRDefault="000561BE">
            <w:pPr>
              <w:ind w:left="20"/>
              <w:rPr>
                <w:sz w:val="20"/>
                <w:szCs w:val="20"/>
              </w:rPr>
            </w:pPr>
            <w:r>
              <w:rPr>
                <w:rFonts w:ascii="Arial" w:eastAsia="Arial" w:hAnsi="Arial" w:cs="Arial"/>
                <w:b/>
                <w:bCs/>
                <w:sz w:val="18"/>
                <w:szCs w:val="18"/>
              </w:rPr>
              <w:t>BALANCE - January 1, 2021</w:t>
            </w:r>
          </w:p>
        </w:tc>
        <w:tc>
          <w:tcPr>
            <w:tcW w:w="132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18"/>
                <w:szCs w:val="18"/>
              </w:rPr>
              <w:t>38,022,273</w:t>
            </w:r>
          </w:p>
        </w:tc>
        <w:tc>
          <w:tcPr>
            <w:tcW w:w="80" w:type="dxa"/>
            <w:tcBorders>
              <w:top w:val="single" w:sz="8" w:space="0" w:color="CCEEFF"/>
            </w:tcBorders>
            <w:shd w:val="clear" w:color="auto" w:fill="CCEEFF"/>
            <w:vAlign w:val="bottom"/>
          </w:tcPr>
          <w:p w:rsidR="000728AD" w:rsidRDefault="000728AD">
            <w:pPr>
              <w:rPr>
                <w:sz w:val="19"/>
                <w:szCs w:val="19"/>
              </w:rPr>
            </w:pPr>
          </w:p>
        </w:tc>
        <w:tc>
          <w:tcPr>
            <w:tcW w:w="1040" w:type="dxa"/>
            <w:tcBorders>
              <w:top w:val="single" w:sz="8" w:space="0" w:color="auto"/>
            </w:tcBorders>
            <w:shd w:val="clear" w:color="auto" w:fill="CCEEFF"/>
            <w:vAlign w:val="bottom"/>
          </w:tcPr>
          <w:p w:rsidR="000728AD" w:rsidRDefault="000561BE">
            <w:pPr>
              <w:ind w:right="830"/>
              <w:jc w:val="right"/>
              <w:rPr>
                <w:sz w:val="20"/>
                <w:szCs w:val="20"/>
              </w:rPr>
            </w:pPr>
            <w:r>
              <w:rPr>
                <w:rFonts w:ascii="Arial" w:eastAsia="Arial" w:hAnsi="Arial" w:cs="Arial"/>
                <w:w w:val="99"/>
                <w:sz w:val="18"/>
                <w:szCs w:val="18"/>
              </w:rPr>
              <w:t>$</w:t>
            </w:r>
          </w:p>
        </w:tc>
        <w:tc>
          <w:tcPr>
            <w:tcW w:w="26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w w:val="89"/>
                <w:sz w:val="18"/>
                <w:szCs w:val="18"/>
              </w:rPr>
              <w:t>38</w:t>
            </w:r>
          </w:p>
        </w:tc>
        <w:tc>
          <w:tcPr>
            <w:tcW w:w="100" w:type="dxa"/>
            <w:tcBorders>
              <w:top w:val="single" w:sz="8" w:space="0" w:color="CCEEFF"/>
            </w:tcBorders>
            <w:shd w:val="clear" w:color="auto" w:fill="CCEEFF"/>
            <w:vAlign w:val="bottom"/>
          </w:tcPr>
          <w:p w:rsidR="000728AD" w:rsidRDefault="000728AD">
            <w:pPr>
              <w:rPr>
                <w:sz w:val="19"/>
                <w:szCs w:val="19"/>
              </w:rPr>
            </w:pPr>
          </w:p>
        </w:tc>
        <w:tc>
          <w:tcPr>
            <w:tcW w:w="18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w w:val="79"/>
                <w:sz w:val="18"/>
                <w:szCs w:val="18"/>
              </w:rPr>
              <w:t>$</w:t>
            </w:r>
          </w:p>
        </w:tc>
        <w:tc>
          <w:tcPr>
            <w:tcW w:w="112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18"/>
                <w:szCs w:val="18"/>
              </w:rPr>
              <w:t>347,990</w:t>
            </w:r>
          </w:p>
        </w:tc>
        <w:tc>
          <w:tcPr>
            <w:tcW w:w="100" w:type="dxa"/>
            <w:tcBorders>
              <w:top w:val="single" w:sz="8" w:space="0" w:color="CCEEFF"/>
            </w:tcBorders>
            <w:shd w:val="clear" w:color="auto" w:fill="CCEEFF"/>
            <w:vAlign w:val="bottom"/>
          </w:tcPr>
          <w:p w:rsidR="000728AD" w:rsidRDefault="000728AD">
            <w:pPr>
              <w:rPr>
                <w:sz w:val="19"/>
                <w:szCs w:val="19"/>
              </w:rPr>
            </w:pPr>
          </w:p>
        </w:tc>
        <w:tc>
          <w:tcPr>
            <w:tcW w:w="120" w:type="dxa"/>
            <w:tcBorders>
              <w:top w:val="single" w:sz="8" w:space="0" w:color="auto"/>
            </w:tcBorders>
            <w:shd w:val="clear" w:color="auto" w:fill="CCEEFF"/>
            <w:vAlign w:val="bottom"/>
          </w:tcPr>
          <w:p w:rsidR="000728AD" w:rsidRDefault="000561BE">
            <w:pPr>
              <w:jc w:val="center"/>
              <w:rPr>
                <w:sz w:val="20"/>
                <w:szCs w:val="20"/>
              </w:rPr>
            </w:pPr>
            <w:r>
              <w:rPr>
                <w:rFonts w:ascii="Arial" w:eastAsia="Arial" w:hAnsi="Arial" w:cs="Arial"/>
                <w:w w:val="79"/>
                <w:sz w:val="18"/>
                <w:szCs w:val="18"/>
              </w:rPr>
              <w:t>$</w:t>
            </w:r>
          </w:p>
        </w:tc>
        <w:tc>
          <w:tcPr>
            <w:tcW w:w="128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18"/>
                <w:szCs w:val="18"/>
              </w:rPr>
              <w:t>(34)</w:t>
            </w:r>
          </w:p>
        </w:tc>
        <w:tc>
          <w:tcPr>
            <w:tcW w:w="100" w:type="dxa"/>
            <w:tcBorders>
              <w:top w:val="single" w:sz="8" w:space="0" w:color="CCEEFF"/>
            </w:tcBorders>
            <w:shd w:val="clear" w:color="auto" w:fill="CCEEFF"/>
            <w:vAlign w:val="bottom"/>
          </w:tcPr>
          <w:p w:rsidR="000728AD" w:rsidRDefault="000728AD">
            <w:pPr>
              <w:rPr>
                <w:sz w:val="19"/>
                <w:szCs w:val="19"/>
              </w:rPr>
            </w:pPr>
          </w:p>
        </w:tc>
        <w:tc>
          <w:tcPr>
            <w:tcW w:w="12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w w:val="79"/>
                <w:sz w:val="18"/>
                <w:szCs w:val="18"/>
              </w:rPr>
              <w:t>$</w:t>
            </w:r>
          </w:p>
        </w:tc>
        <w:tc>
          <w:tcPr>
            <w:tcW w:w="120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18"/>
                <w:szCs w:val="18"/>
              </w:rPr>
              <w:t>(272,613)</w:t>
            </w:r>
          </w:p>
        </w:tc>
        <w:tc>
          <w:tcPr>
            <w:tcW w:w="100" w:type="dxa"/>
            <w:tcBorders>
              <w:top w:val="single" w:sz="8" w:space="0" w:color="CCEEFF"/>
            </w:tcBorders>
            <w:shd w:val="clear" w:color="auto" w:fill="CCEEFF"/>
            <w:vAlign w:val="bottom"/>
          </w:tcPr>
          <w:p w:rsidR="000728AD" w:rsidRDefault="000728AD">
            <w:pPr>
              <w:rPr>
                <w:sz w:val="19"/>
                <w:szCs w:val="19"/>
              </w:rPr>
            </w:pPr>
          </w:p>
        </w:tc>
        <w:tc>
          <w:tcPr>
            <w:tcW w:w="12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w w:val="79"/>
                <w:sz w:val="18"/>
                <w:szCs w:val="18"/>
              </w:rPr>
              <w:t>$</w:t>
            </w:r>
          </w:p>
        </w:tc>
        <w:tc>
          <w:tcPr>
            <w:tcW w:w="120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18"/>
                <w:szCs w:val="18"/>
              </w:rPr>
              <w:t>75,381</w:t>
            </w:r>
          </w:p>
        </w:tc>
        <w:tc>
          <w:tcPr>
            <w:tcW w:w="0" w:type="dxa"/>
            <w:vAlign w:val="bottom"/>
          </w:tcPr>
          <w:p w:rsidR="000728AD" w:rsidRDefault="000728AD">
            <w:pPr>
              <w:rPr>
                <w:sz w:val="1"/>
                <w:szCs w:val="1"/>
              </w:rPr>
            </w:pPr>
          </w:p>
        </w:tc>
      </w:tr>
      <w:tr w:rsidR="000728AD">
        <w:trPr>
          <w:trHeight w:val="175"/>
        </w:trPr>
        <w:tc>
          <w:tcPr>
            <w:tcW w:w="2800" w:type="dxa"/>
            <w:vAlign w:val="bottom"/>
          </w:tcPr>
          <w:p w:rsidR="000728AD" w:rsidRDefault="000561BE">
            <w:pPr>
              <w:spacing w:line="176" w:lineRule="exact"/>
              <w:ind w:left="20"/>
              <w:rPr>
                <w:sz w:val="20"/>
                <w:szCs w:val="20"/>
              </w:rPr>
            </w:pPr>
            <w:r>
              <w:rPr>
                <w:rFonts w:ascii="Arial" w:eastAsia="Arial" w:hAnsi="Arial" w:cs="Arial"/>
                <w:sz w:val="18"/>
                <w:szCs w:val="18"/>
              </w:rPr>
              <w:t>Costs incurred for the issuance of</w:t>
            </w:r>
          </w:p>
        </w:tc>
        <w:tc>
          <w:tcPr>
            <w:tcW w:w="1320" w:type="dxa"/>
            <w:vAlign w:val="bottom"/>
          </w:tcPr>
          <w:p w:rsidR="000728AD" w:rsidRDefault="000728AD">
            <w:pPr>
              <w:rPr>
                <w:sz w:val="15"/>
                <w:szCs w:val="15"/>
              </w:rPr>
            </w:pPr>
          </w:p>
        </w:tc>
        <w:tc>
          <w:tcPr>
            <w:tcW w:w="80" w:type="dxa"/>
            <w:vAlign w:val="bottom"/>
          </w:tcPr>
          <w:p w:rsidR="000728AD" w:rsidRDefault="000728AD">
            <w:pPr>
              <w:rPr>
                <w:sz w:val="15"/>
                <w:szCs w:val="15"/>
              </w:rPr>
            </w:pPr>
          </w:p>
        </w:tc>
        <w:tc>
          <w:tcPr>
            <w:tcW w:w="1040" w:type="dxa"/>
            <w:vAlign w:val="bottom"/>
          </w:tcPr>
          <w:p w:rsidR="000728AD" w:rsidRDefault="000728AD">
            <w:pPr>
              <w:rPr>
                <w:sz w:val="15"/>
                <w:szCs w:val="15"/>
              </w:rPr>
            </w:pPr>
          </w:p>
        </w:tc>
        <w:tc>
          <w:tcPr>
            <w:tcW w:w="260" w:type="dxa"/>
            <w:vAlign w:val="bottom"/>
          </w:tcPr>
          <w:p w:rsidR="000728AD" w:rsidRDefault="000728AD">
            <w:pPr>
              <w:rPr>
                <w:sz w:val="15"/>
                <w:szCs w:val="15"/>
              </w:rPr>
            </w:pPr>
          </w:p>
        </w:tc>
        <w:tc>
          <w:tcPr>
            <w:tcW w:w="100" w:type="dxa"/>
            <w:vAlign w:val="bottom"/>
          </w:tcPr>
          <w:p w:rsidR="000728AD" w:rsidRDefault="000728AD">
            <w:pPr>
              <w:rPr>
                <w:sz w:val="15"/>
                <w:szCs w:val="15"/>
              </w:rPr>
            </w:pPr>
          </w:p>
        </w:tc>
        <w:tc>
          <w:tcPr>
            <w:tcW w:w="180" w:type="dxa"/>
            <w:vAlign w:val="bottom"/>
          </w:tcPr>
          <w:p w:rsidR="000728AD" w:rsidRDefault="000728AD">
            <w:pPr>
              <w:rPr>
                <w:sz w:val="15"/>
                <w:szCs w:val="15"/>
              </w:rPr>
            </w:pPr>
          </w:p>
        </w:tc>
        <w:tc>
          <w:tcPr>
            <w:tcW w:w="1120" w:type="dxa"/>
            <w:vMerge w:val="restart"/>
            <w:vAlign w:val="bottom"/>
          </w:tcPr>
          <w:p w:rsidR="000728AD" w:rsidRDefault="000561BE">
            <w:pPr>
              <w:jc w:val="right"/>
              <w:rPr>
                <w:sz w:val="20"/>
                <w:szCs w:val="20"/>
              </w:rPr>
            </w:pPr>
            <w:r>
              <w:rPr>
                <w:rFonts w:ascii="Arial" w:eastAsia="Arial" w:hAnsi="Arial" w:cs="Arial"/>
                <w:sz w:val="18"/>
                <w:szCs w:val="18"/>
              </w:rPr>
              <w:t>4</w:t>
            </w:r>
          </w:p>
        </w:tc>
        <w:tc>
          <w:tcPr>
            <w:tcW w:w="100" w:type="dxa"/>
            <w:vAlign w:val="bottom"/>
          </w:tcPr>
          <w:p w:rsidR="000728AD" w:rsidRDefault="000728AD">
            <w:pPr>
              <w:rPr>
                <w:sz w:val="15"/>
                <w:szCs w:val="15"/>
              </w:rPr>
            </w:pPr>
          </w:p>
        </w:tc>
        <w:tc>
          <w:tcPr>
            <w:tcW w:w="120" w:type="dxa"/>
            <w:vAlign w:val="bottom"/>
          </w:tcPr>
          <w:p w:rsidR="000728AD" w:rsidRDefault="000728AD">
            <w:pPr>
              <w:rPr>
                <w:sz w:val="15"/>
                <w:szCs w:val="15"/>
              </w:rPr>
            </w:pPr>
          </w:p>
        </w:tc>
        <w:tc>
          <w:tcPr>
            <w:tcW w:w="1280" w:type="dxa"/>
            <w:vAlign w:val="bottom"/>
          </w:tcPr>
          <w:p w:rsidR="000728AD" w:rsidRDefault="000728AD">
            <w:pPr>
              <w:rPr>
                <w:sz w:val="15"/>
                <w:szCs w:val="15"/>
              </w:rPr>
            </w:pPr>
          </w:p>
        </w:tc>
        <w:tc>
          <w:tcPr>
            <w:tcW w:w="100" w:type="dxa"/>
            <w:vAlign w:val="bottom"/>
          </w:tcPr>
          <w:p w:rsidR="000728AD" w:rsidRDefault="000728AD">
            <w:pPr>
              <w:rPr>
                <w:sz w:val="15"/>
                <w:szCs w:val="15"/>
              </w:rPr>
            </w:pPr>
          </w:p>
        </w:tc>
        <w:tc>
          <w:tcPr>
            <w:tcW w:w="120" w:type="dxa"/>
            <w:vAlign w:val="bottom"/>
          </w:tcPr>
          <w:p w:rsidR="000728AD" w:rsidRDefault="000728AD">
            <w:pPr>
              <w:rPr>
                <w:sz w:val="15"/>
                <w:szCs w:val="15"/>
              </w:rPr>
            </w:pPr>
          </w:p>
        </w:tc>
        <w:tc>
          <w:tcPr>
            <w:tcW w:w="1200" w:type="dxa"/>
            <w:vAlign w:val="bottom"/>
          </w:tcPr>
          <w:p w:rsidR="000728AD" w:rsidRDefault="000728AD">
            <w:pPr>
              <w:rPr>
                <w:sz w:val="15"/>
                <w:szCs w:val="15"/>
              </w:rPr>
            </w:pPr>
          </w:p>
        </w:tc>
        <w:tc>
          <w:tcPr>
            <w:tcW w:w="100" w:type="dxa"/>
            <w:vAlign w:val="bottom"/>
          </w:tcPr>
          <w:p w:rsidR="000728AD" w:rsidRDefault="000728AD">
            <w:pPr>
              <w:rPr>
                <w:sz w:val="15"/>
                <w:szCs w:val="15"/>
              </w:rPr>
            </w:pPr>
          </w:p>
        </w:tc>
        <w:tc>
          <w:tcPr>
            <w:tcW w:w="120" w:type="dxa"/>
            <w:vAlign w:val="bottom"/>
          </w:tcPr>
          <w:p w:rsidR="000728AD" w:rsidRDefault="000728AD">
            <w:pPr>
              <w:rPr>
                <w:sz w:val="15"/>
                <w:szCs w:val="15"/>
              </w:rPr>
            </w:pPr>
          </w:p>
        </w:tc>
        <w:tc>
          <w:tcPr>
            <w:tcW w:w="1200" w:type="dxa"/>
            <w:vMerge w:val="restart"/>
            <w:vAlign w:val="bottom"/>
          </w:tcPr>
          <w:p w:rsidR="000728AD" w:rsidRDefault="000561BE">
            <w:pPr>
              <w:jc w:val="right"/>
              <w:rPr>
                <w:sz w:val="20"/>
                <w:szCs w:val="20"/>
              </w:rPr>
            </w:pPr>
            <w:r>
              <w:rPr>
                <w:rFonts w:ascii="Arial" w:eastAsia="Arial" w:hAnsi="Arial" w:cs="Arial"/>
                <w:sz w:val="18"/>
                <w:szCs w:val="18"/>
              </w:rPr>
              <w:t>4</w:t>
            </w:r>
          </w:p>
        </w:tc>
        <w:tc>
          <w:tcPr>
            <w:tcW w:w="0" w:type="dxa"/>
            <w:vAlign w:val="bottom"/>
          </w:tcPr>
          <w:p w:rsidR="000728AD" w:rsidRDefault="000728AD">
            <w:pPr>
              <w:rPr>
                <w:sz w:val="1"/>
                <w:szCs w:val="1"/>
              </w:rPr>
            </w:pPr>
          </w:p>
        </w:tc>
      </w:tr>
      <w:tr w:rsidR="000728AD">
        <w:trPr>
          <w:trHeight w:val="230"/>
        </w:trPr>
        <w:tc>
          <w:tcPr>
            <w:tcW w:w="2800" w:type="dxa"/>
            <w:vAlign w:val="bottom"/>
          </w:tcPr>
          <w:p w:rsidR="000728AD" w:rsidRDefault="000561BE">
            <w:pPr>
              <w:ind w:left="20"/>
              <w:rPr>
                <w:sz w:val="20"/>
                <w:szCs w:val="20"/>
              </w:rPr>
            </w:pPr>
            <w:r>
              <w:rPr>
                <w:rFonts w:ascii="Arial" w:eastAsia="Arial" w:hAnsi="Arial" w:cs="Arial"/>
                <w:sz w:val="18"/>
                <w:szCs w:val="18"/>
              </w:rPr>
              <w:t>common stock</w:t>
            </w:r>
          </w:p>
        </w:tc>
        <w:tc>
          <w:tcPr>
            <w:tcW w:w="1320" w:type="dxa"/>
            <w:vAlign w:val="bottom"/>
          </w:tcPr>
          <w:p w:rsidR="000728AD" w:rsidRDefault="000728AD">
            <w:pPr>
              <w:rPr>
                <w:sz w:val="19"/>
                <w:szCs w:val="19"/>
              </w:rPr>
            </w:pPr>
          </w:p>
        </w:tc>
        <w:tc>
          <w:tcPr>
            <w:tcW w:w="80" w:type="dxa"/>
            <w:vAlign w:val="bottom"/>
          </w:tcPr>
          <w:p w:rsidR="000728AD" w:rsidRDefault="000728AD">
            <w:pPr>
              <w:rPr>
                <w:sz w:val="19"/>
                <w:szCs w:val="19"/>
              </w:rPr>
            </w:pPr>
          </w:p>
        </w:tc>
        <w:tc>
          <w:tcPr>
            <w:tcW w:w="1040" w:type="dxa"/>
            <w:vAlign w:val="bottom"/>
          </w:tcPr>
          <w:p w:rsidR="000728AD" w:rsidRDefault="000728AD">
            <w:pPr>
              <w:rPr>
                <w:sz w:val="19"/>
                <w:szCs w:val="19"/>
              </w:rPr>
            </w:pPr>
          </w:p>
        </w:tc>
        <w:tc>
          <w:tcPr>
            <w:tcW w:w="26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180" w:type="dxa"/>
            <w:vAlign w:val="bottom"/>
          </w:tcPr>
          <w:p w:rsidR="000728AD" w:rsidRDefault="000728AD">
            <w:pPr>
              <w:rPr>
                <w:sz w:val="19"/>
                <w:szCs w:val="19"/>
              </w:rPr>
            </w:pPr>
          </w:p>
        </w:tc>
        <w:tc>
          <w:tcPr>
            <w:tcW w:w="1120" w:type="dxa"/>
            <w:vMerge/>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120" w:type="dxa"/>
            <w:vAlign w:val="bottom"/>
          </w:tcPr>
          <w:p w:rsidR="000728AD" w:rsidRDefault="000728AD">
            <w:pPr>
              <w:rPr>
                <w:sz w:val="19"/>
                <w:szCs w:val="19"/>
              </w:rPr>
            </w:pPr>
          </w:p>
        </w:tc>
        <w:tc>
          <w:tcPr>
            <w:tcW w:w="128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120" w:type="dxa"/>
            <w:vAlign w:val="bottom"/>
          </w:tcPr>
          <w:p w:rsidR="000728AD" w:rsidRDefault="000728AD">
            <w:pPr>
              <w:rPr>
                <w:sz w:val="19"/>
                <w:szCs w:val="19"/>
              </w:rPr>
            </w:pPr>
          </w:p>
        </w:tc>
        <w:tc>
          <w:tcPr>
            <w:tcW w:w="120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120" w:type="dxa"/>
            <w:vAlign w:val="bottom"/>
          </w:tcPr>
          <w:p w:rsidR="000728AD" w:rsidRDefault="000728AD">
            <w:pPr>
              <w:rPr>
                <w:sz w:val="19"/>
                <w:szCs w:val="19"/>
              </w:rPr>
            </w:pPr>
          </w:p>
        </w:tc>
        <w:tc>
          <w:tcPr>
            <w:tcW w:w="1200" w:type="dxa"/>
            <w:vMerge/>
            <w:vAlign w:val="bottom"/>
          </w:tcPr>
          <w:p w:rsidR="000728AD" w:rsidRDefault="000728AD">
            <w:pPr>
              <w:rPr>
                <w:sz w:val="19"/>
                <w:szCs w:val="19"/>
              </w:rPr>
            </w:pPr>
          </w:p>
        </w:tc>
        <w:tc>
          <w:tcPr>
            <w:tcW w:w="0" w:type="dxa"/>
            <w:vAlign w:val="bottom"/>
          </w:tcPr>
          <w:p w:rsidR="000728AD" w:rsidRDefault="000728AD">
            <w:pPr>
              <w:rPr>
                <w:sz w:val="1"/>
                <w:szCs w:val="1"/>
              </w:rPr>
            </w:pPr>
          </w:p>
        </w:tc>
      </w:tr>
      <w:tr w:rsidR="000728AD">
        <w:trPr>
          <w:trHeight w:val="229"/>
        </w:trPr>
        <w:tc>
          <w:tcPr>
            <w:tcW w:w="2800" w:type="dxa"/>
            <w:shd w:val="clear" w:color="auto" w:fill="CCEEFF"/>
            <w:vAlign w:val="bottom"/>
          </w:tcPr>
          <w:p w:rsidR="000728AD" w:rsidRDefault="000561BE">
            <w:pPr>
              <w:ind w:left="20"/>
              <w:rPr>
                <w:sz w:val="20"/>
                <w:szCs w:val="20"/>
              </w:rPr>
            </w:pPr>
            <w:r>
              <w:rPr>
                <w:rFonts w:ascii="Arial" w:eastAsia="Arial" w:hAnsi="Arial" w:cs="Arial"/>
                <w:sz w:val="18"/>
                <w:szCs w:val="18"/>
              </w:rPr>
              <w:t>Exercise of common stock options</w:t>
            </w:r>
          </w:p>
        </w:tc>
        <w:tc>
          <w:tcPr>
            <w:tcW w:w="1320" w:type="dxa"/>
            <w:shd w:val="clear" w:color="auto" w:fill="CCEEFF"/>
            <w:vAlign w:val="bottom"/>
          </w:tcPr>
          <w:p w:rsidR="000728AD" w:rsidRDefault="000561BE">
            <w:pPr>
              <w:jc w:val="right"/>
              <w:rPr>
                <w:sz w:val="20"/>
                <w:szCs w:val="20"/>
              </w:rPr>
            </w:pPr>
            <w:r>
              <w:rPr>
                <w:rFonts w:ascii="Arial" w:eastAsia="Arial" w:hAnsi="Arial" w:cs="Arial"/>
                <w:sz w:val="18"/>
                <w:szCs w:val="18"/>
              </w:rPr>
              <w:t>27,143</w:t>
            </w:r>
          </w:p>
        </w:tc>
        <w:tc>
          <w:tcPr>
            <w:tcW w:w="80" w:type="dxa"/>
            <w:shd w:val="clear" w:color="auto" w:fill="CCEEFF"/>
            <w:vAlign w:val="bottom"/>
          </w:tcPr>
          <w:p w:rsidR="000728AD" w:rsidRDefault="000728AD">
            <w:pPr>
              <w:rPr>
                <w:sz w:val="19"/>
                <w:szCs w:val="19"/>
              </w:rPr>
            </w:pPr>
          </w:p>
        </w:tc>
        <w:tc>
          <w:tcPr>
            <w:tcW w:w="1040" w:type="dxa"/>
            <w:shd w:val="clear" w:color="auto" w:fill="CCEEFF"/>
            <w:vAlign w:val="bottom"/>
          </w:tcPr>
          <w:p w:rsidR="000728AD" w:rsidRDefault="000728AD">
            <w:pPr>
              <w:rPr>
                <w:sz w:val="19"/>
                <w:szCs w:val="19"/>
              </w:rPr>
            </w:pPr>
          </w:p>
        </w:tc>
        <w:tc>
          <w:tcPr>
            <w:tcW w:w="360" w:type="dxa"/>
            <w:gridSpan w:val="2"/>
            <w:shd w:val="clear" w:color="auto" w:fill="CCEEFF"/>
            <w:vAlign w:val="bottom"/>
          </w:tcPr>
          <w:p w:rsidR="000728AD" w:rsidRDefault="000561BE">
            <w:pPr>
              <w:ind w:right="160"/>
              <w:jc w:val="right"/>
              <w:rPr>
                <w:sz w:val="20"/>
                <w:szCs w:val="20"/>
              </w:rPr>
            </w:pPr>
            <w:r>
              <w:rPr>
                <w:rFonts w:ascii="Arial" w:eastAsia="Arial" w:hAnsi="Arial" w:cs="Arial"/>
                <w:w w:val="99"/>
                <w:sz w:val="18"/>
                <w:szCs w:val="18"/>
              </w:rPr>
              <w:t>—</w:t>
            </w:r>
          </w:p>
        </w:tc>
        <w:tc>
          <w:tcPr>
            <w:tcW w:w="180" w:type="dxa"/>
            <w:shd w:val="clear" w:color="auto" w:fill="CCEEFF"/>
            <w:vAlign w:val="bottom"/>
          </w:tcPr>
          <w:p w:rsidR="000728AD" w:rsidRDefault="000728AD">
            <w:pPr>
              <w:rPr>
                <w:sz w:val="19"/>
                <w:szCs w:val="19"/>
              </w:rPr>
            </w:pPr>
          </w:p>
        </w:tc>
        <w:tc>
          <w:tcPr>
            <w:tcW w:w="1120" w:type="dxa"/>
            <w:shd w:val="clear" w:color="auto" w:fill="CCEEFF"/>
            <w:vAlign w:val="bottom"/>
          </w:tcPr>
          <w:p w:rsidR="000728AD" w:rsidRDefault="000561BE">
            <w:pPr>
              <w:jc w:val="right"/>
              <w:rPr>
                <w:sz w:val="20"/>
                <w:szCs w:val="20"/>
              </w:rPr>
            </w:pPr>
            <w:r>
              <w:rPr>
                <w:rFonts w:ascii="Arial" w:eastAsia="Arial" w:hAnsi="Arial" w:cs="Arial"/>
                <w:sz w:val="18"/>
                <w:szCs w:val="18"/>
              </w:rPr>
              <w:t>27</w:t>
            </w:r>
          </w:p>
        </w:tc>
        <w:tc>
          <w:tcPr>
            <w:tcW w:w="100" w:type="dxa"/>
            <w:shd w:val="clear" w:color="auto" w:fill="CCEEFF"/>
            <w:vAlign w:val="bottom"/>
          </w:tcPr>
          <w:p w:rsidR="000728AD" w:rsidRDefault="000728AD">
            <w:pPr>
              <w:rPr>
                <w:sz w:val="19"/>
                <w:szCs w:val="19"/>
              </w:rPr>
            </w:pPr>
          </w:p>
        </w:tc>
        <w:tc>
          <w:tcPr>
            <w:tcW w:w="120" w:type="dxa"/>
            <w:shd w:val="clear" w:color="auto" w:fill="CCEEFF"/>
            <w:vAlign w:val="bottom"/>
          </w:tcPr>
          <w:p w:rsidR="000728AD" w:rsidRDefault="000728AD">
            <w:pPr>
              <w:rPr>
                <w:sz w:val="19"/>
                <w:szCs w:val="19"/>
              </w:rPr>
            </w:pPr>
          </w:p>
        </w:tc>
        <w:tc>
          <w:tcPr>
            <w:tcW w:w="1280" w:type="dxa"/>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120" w:type="dxa"/>
            <w:shd w:val="clear" w:color="auto" w:fill="CCEEFF"/>
            <w:vAlign w:val="bottom"/>
          </w:tcPr>
          <w:p w:rsidR="000728AD" w:rsidRDefault="000728AD">
            <w:pPr>
              <w:rPr>
                <w:sz w:val="19"/>
                <w:szCs w:val="19"/>
              </w:rPr>
            </w:pPr>
          </w:p>
        </w:tc>
        <w:tc>
          <w:tcPr>
            <w:tcW w:w="1200" w:type="dxa"/>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120" w:type="dxa"/>
            <w:shd w:val="clear" w:color="auto" w:fill="CCEEFF"/>
            <w:vAlign w:val="bottom"/>
          </w:tcPr>
          <w:p w:rsidR="000728AD" w:rsidRDefault="000728AD">
            <w:pPr>
              <w:rPr>
                <w:sz w:val="19"/>
                <w:szCs w:val="19"/>
              </w:rPr>
            </w:pPr>
          </w:p>
        </w:tc>
        <w:tc>
          <w:tcPr>
            <w:tcW w:w="1200" w:type="dxa"/>
            <w:shd w:val="clear" w:color="auto" w:fill="CCEEFF"/>
            <w:vAlign w:val="bottom"/>
          </w:tcPr>
          <w:p w:rsidR="000728AD" w:rsidRDefault="000561BE">
            <w:pPr>
              <w:jc w:val="right"/>
              <w:rPr>
                <w:sz w:val="20"/>
                <w:szCs w:val="20"/>
              </w:rPr>
            </w:pPr>
            <w:r>
              <w:rPr>
                <w:rFonts w:ascii="Arial" w:eastAsia="Arial" w:hAnsi="Arial" w:cs="Arial"/>
                <w:sz w:val="18"/>
                <w:szCs w:val="18"/>
              </w:rPr>
              <w:t>27</w:t>
            </w:r>
          </w:p>
        </w:tc>
        <w:tc>
          <w:tcPr>
            <w:tcW w:w="0" w:type="dxa"/>
            <w:vAlign w:val="bottom"/>
          </w:tcPr>
          <w:p w:rsidR="000728AD" w:rsidRDefault="000728AD">
            <w:pPr>
              <w:rPr>
                <w:sz w:val="1"/>
                <w:szCs w:val="1"/>
              </w:rPr>
            </w:pPr>
          </w:p>
        </w:tc>
      </w:tr>
      <w:tr w:rsidR="000728AD">
        <w:trPr>
          <w:trHeight w:val="230"/>
        </w:trPr>
        <w:tc>
          <w:tcPr>
            <w:tcW w:w="2800" w:type="dxa"/>
            <w:vAlign w:val="bottom"/>
          </w:tcPr>
          <w:p w:rsidR="000728AD" w:rsidRDefault="000561BE">
            <w:pPr>
              <w:ind w:left="20"/>
              <w:rPr>
                <w:sz w:val="20"/>
                <w:szCs w:val="20"/>
              </w:rPr>
            </w:pPr>
            <w:r>
              <w:rPr>
                <w:rFonts w:ascii="Arial" w:eastAsia="Arial" w:hAnsi="Arial" w:cs="Arial"/>
                <w:sz w:val="18"/>
                <w:szCs w:val="18"/>
              </w:rPr>
              <w:t>Vesting of restricted stock units</w:t>
            </w:r>
          </w:p>
        </w:tc>
        <w:tc>
          <w:tcPr>
            <w:tcW w:w="1320" w:type="dxa"/>
            <w:vAlign w:val="bottom"/>
          </w:tcPr>
          <w:p w:rsidR="000728AD" w:rsidRDefault="000561BE">
            <w:pPr>
              <w:jc w:val="right"/>
              <w:rPr>
                <w:sz w:val="20"/>
                <w:szCs w:val="20"/>
              </w:rPr>
            </w:pPr>
            <w:r>
              <w:rPr>
                <w:rFonts w:ascii="Arial" w:eastAsia="Arial" w:hAnsi="Arial" w:cs="Arial"/>
                <w:sz w:val="18"/>
                <w:szCs w:val="18"/>
              </w:rPr>
              <w:t>60,000</w:t>
            </w:r>
          </w:p>
        </w:tc>
        <w:tc>
          <w:tcPr>
            <w:tcW w:w="80" w:type="dxa"/>
            <w:vAlign w:val="bottom"/>
          </w:tcPr>
          <w:p w:rsidR="000728AD" w:rsidRDefault="000728AD">
            <w:pPr>
              <w:rPr>
                <w:sz w:val="19"/>
                <w:szCs w:val="19"/>
              </w:rPr>
            </w:pPr>
          </w:p>
        </w:tc>
        <w:tc>
          <w:tcPr>
            <w:tcW w:w="1040" w:type="dxa"/>
            <w:vAlign w:val="bottom"/>
          </w:tcPr>
          <w:p w:rsidR="000728AD" w:rsidRDefault="000728AD">
            <w:pPr>
              <w:rPr>
                <w:sz w:val="19"/>
                <w:szCs w:val="19"/>
              </w:rPr>
            </w:pPr>
          </w:p>
        </w:tc>
        <w:tc>
          <w:tcPr>
            <w:tcW w:w="360" w:type="dxa"/>
            <w:gridSpan w:val="2"/>
            <w:vAlign w:val="bottom"/>
          </w:tcPr>
          <w:p w:rsidR="000728AD" w:rsidRDefault="000561BE">
            <w:pPr>
              <w:ind w:right="160"/>
              <w:jc w:val="right"/>
              <w:rPr>
                <w:sz w:val="20"/>
                <w:szCs w:val="20"/>
              </w:rPr>
            </w:pPr>
            <w:r>
              <w:rPr>
                <w:rFonts w:ascii="Arial" w:eastAsia="Arial" w:hAnsi="Arial" w:cs="Arial"/>
                <w:w w:val="99"/>
                <w:sz w:val="18"/>
                <w:szCs w:val="18"/>
              </w:rPr>
              <w:t>—</w:t>
            </w:r>
          </w:p>
        </w:tc>
        <w:tc>
          <w:tcPr>
            <w:tcW w:w="180" w:type="dxa"/>
            <w:vAlign w:val="bottom"/>
          </w:tcPr>
          <w:p w:rsidR="000728AD" w:rsidRDefault="000728AD">
            <w:pPr>
              <w:rPr>
                <w:sz w:val="19"/>
                <w:szCs w:val="19"/>
              </w:rPr>
            </w:pPr>
          </w:p>
        </w:tc>
        <w:tc>
          <w:tcPr>
            <w:tcW w:w="1220" w:type="dxa"/>
            <w:gridSpan w:val="2"/>
            <w:vAlign w:val="bottom"/>
          </w:tcPr>
          <w:p w:rsidR="000728AD" w:rsidRDefault="000561BE">
            <w:pPr>
              <w:ind w:right="160"/>
              <w:jc w:val="right"/>
              <w:rPr>
                <w:sz w:val="20"/>
                <w:szCs w:val="20"/>
              </w:rPr>
            </w:pPr>
            <w:r>
              <w:rPr>
                <w:rFonts w:ascii="Arial" w:eastAsia="Arial" w:hAnsi="Arial" w:cs="Arial"/>
                <w:sz w:val="18"/>
                <w:szCs w:val="18"/>
              </w:rPr>
              <w:t>—</w:t>
            </w:r>
          </w:p>
        </w:tc>
        <w:tc>
          <w:tcPr>
            <w:tcW w:w="120" w:type="dxa"/>
            <w:vAlign w:val="bottom"/>
          </w:tcPr>
          <w:p w:rsidR="000728AD" w:rsidRDefault="000728AD">
            <w:pPr>
              <w:rPr>
                <w:sz w:val="19"/>
                <w:szCs w:val="19"/>
              </w:rPr>
            </w:pPr>
          </w:p>
        </w:tc>
        <w:tc>
          <w:tcPr>
            <w:tcW w:w="128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120" w:type="dxa"/>
            <w:vAlign w:val="bottom"/>
          </w:tcPr>
          <w:p w:rsidR="000728AD" w:rsidRDefault="000728AD">
            <w:pPr>
              <w:rPr>
                <w:sz w:val="19"/>
                <w:szCs w:val="19"/>
              </w:rPr>
            </w:pPr>
          </w:p>
        </w:tc>
        <w:tc>
          <w:tcPr>
            <w:tcW w:w="120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120" w:type="dxa"/>
            <w:vAlign w:val="bottom"/>
          </w:tcPr>
          <w:p w:rsidR="000728AD" w:rsidRDefault="000728AD">
            <w:pPr>
              <w:rPr>
                <w:sz w:val="19"/>
                <w:szCs w:val="19"/>
              </w:rPr>
            </w:pPr>
          </w:p>
        </w:tc>
        <w:tc>
          <w:tcPr>
            <w:tcW w:w="1200" w:type="dxa"/>
            <w:vAlign w:val="bottom"/>
          </w:tcPr>
          <w:p w:rsidR="000728AD" w:rsidRDefault="000561BE">
            <w:pPr>
              <w:jc w:val="right"/>
              <w:rPr>
                <w:sz w:val="20"/>
                <w:szCs w:val="20"/>
              </w:rPr>
            </w:pPr>
            <w:r>
              <w:rPr>
                <w:rFonts w:ascii="Arial" w:eastAsia="Arial" w:hAnsi="Arial" w:cs="Arial"/>
                <w:sz w:val="18"/>
                <w:szCs w:val="18"/>
              </w:rPr>
              <w:t>—</w:t>
            </w:r>
          </w:p>
        </w:tc>
        <w:tc>
          <w:tcPr>
            <w:tcW w:w="0" w:type="dxa"/>
            <w:vAlign w:val="bottom"/>
          </w:tcPr>
          <w:p w:rsidR="000728AD" w:rsidRDefault="000728AD">
            <w:pPr>
              <w:rPr>
                <w:sz w:val="1"/>
                <w:szCs w:val="1"/>
              </w:rPr>
            </w:pPr>
          </w:p>
        </w:tc>
      </w:tr>
      <w:tr w:rsidR="000728AD">
        <w:trPr>
          <w:trHeight w:val="229"/>
        </w:trPr>
        <w:tc>
          <w:tcPr>
            <w:tcW w:w="2800" w:type="dxa"/>
            <w:shd w:val="clear" w:color="auto" w:fill="CCEEFF"/>
            <w:vAlign w:val="bottom"/>
          </w:tcPr>
          <w:p w:rsidR="000728AD" w:rsidRDefault="000561BE">
            <w:pPr>
              <w:ind w:left="20"/>
              <w:rPr>
                <w:sz w:val="20"/>
                <w:szCs w:val="20"/>
              </w:rPr>
            </w:pPr>
            <w:r>
              <w:rPr>
                <w:rFonts w:ascii="Arial" w:eastAsia="Arial" w:hAnsi="Arial" w:cs="Arial"/>
                <w:sz w:val="18"/>
                <w:szCs w:val="18"/>
              </w:rPr>
              <w:t xml:space="preserve">Stock-based </w:t>
            </w:r>
            <w:r>
              <w:rPr>
                <w:rFonts w:ascii="Arial" w:eastAsia="Arial" w:hAnsi="Arial" w:cs="Arial"/>
                <w:sz w:val="18"/>
                <w:szCs w:val="18"/>
              </w:rPr>
              <w:t>compensation</w:t>
            </w:r>
          </w:p>
        </w:tc>
        <w:tc>
          <w:tcPr>
            <w:tcW w:w="1320" w:type="dxa"/>
            <w:shd w:val="clear" w:color="auto" w:fill="CCEEFF"/>
            <w:vAlign w:val="bottom"/>
          </w:tcPr>
          <w:p w:rsidR="000728AD" w:rsidRDefault="000728AD">
            <w:pPr>
              <w:rPr>
                <w:sz w:val="19"/>
                <w:szCs w:val="19"/>
              </w:rPr>
            </w:pPr>
          </w:p>
        </w:tc>
        <w:tc>
          <w:tcPr>
            <w:tcW w:w="80" w:type="dxa"/>
            <w:shd w:val="clear" w:color="auto" w:fill="CCEEFF"/>
            <w:vAlign w:val="bottom"/>
          </w:tcPr>
          <w:p w:rsidR="000728AD" w:rsidRDefault="000728AD">
            <w:pPr>
              <w:rPr>
                <w:sz w:val="19"/>
                <w:szCs w:val="19"/>
              </w:rPr>
            </w:pPr>
          </w:p>
        </w:tc>
        <w:tc>
          <w:tcPr>
            <w:tcW w:w="1040" w:type="dxa"/>
            <w:shd w:val="clear" w:color="auto" w:fill="CCEEFF"/>
            <w:vAlign w:val="bottom"/>
          </w:tcPr>
          <w:p w:rsidR="000728AD" w:rsidRDefault="000728AD">
            <w:pPr>
              <w:rPr>
                <w:sz w:val="19"/>
                <w:szCs w:val="19"/>
              </w:rPr>
            </w:pPr>
          </w:p>
        </w:tc>
        <w:tc>
          <w:tcPr>
            <w:tcW w:w="260" w:type="dxa"/>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180" w:type="dxa"/>
            <w:shd w:val="clear" w:color="auto" w:fill="CCEEFF"/>
            <w:vAlign w:val="bottom"/>
          </w:tcPr>
          <w:p w:rsidR="000728AD" w:rsidRDefault="000728AD">
            <w:pPr>
              <w:rPr>
                <w:sz w:val="19"/>
                <w:szCs w:val="19"/>
              </w:rPr>
            </w:pPr>
          </w:p>
        </w:tc>
        <w:tc>
          <w:tcPr>
            <w:tcW w:w="1120" w:type="dxa"/>
            <w:shd w:val="clear" w:color="auto" w:fill="CCEEFF"/>
            <w:vAlign w:val="bottom"/>
          </w:tcPr>
          <w:p w:rsidR="000728AD" w:rsidRDefault="000561BE">
            <w:pPr>
              <w:jc w:val="right"/>
              <w:rPr>
                <w:sz w:val="20"/>
                <w:szCs w:val="20"/>
              </w:rPr>
            </w:pPr>
            <w:r>
              <w:rPr>
                <w:rFonts w:ascii="Arial" w:eastAsia="Arial" w:hAnsi="Arial" w:cs="Arial"/>
                <w:sz w:val="18"/>
                <w:szCs w:val="18"/>
              </w:rPr>
              <w:t>1,428</w:t>
            </w:r>
          </w:p>
        </w:tc>
        <w:tc>
          <w:tcPr>
            <w:tcW w:w="100" w:type="dxa"/>
            <w:shd w:val="clear" w:color="auto" w:fill="CCEEFF"/>
            <w:vAlign w:val="bottom"/>
          </w:tcPr>
          <w:p w:rsidR="000728AD" w:rsidRDefault="000728AD">
            <w:pPr>
              <w:rPr>
                <w:sz w:val="19"/>
                <w:szCs w:val="19"/>
              </w:rPr>
            </w:pPr>
          </w:p>
        </w:tc>
        <w:tc>
          <w:tcPr>
            <w:tcW w:w="120" w:type="dxa"/>
            <w:shd w:val="clear" w:color="auto" w:fill="CCEEFF"/>
            <w:vAlign w:val="bottom"/>
          </w:tcPr>
          <w:p w:rsidR="000728AD" w:rsidRDefault="000728AD">
            <w:pPr>
              <w:rPr>
                <w:sz w:val="19"/>
                <w:szCs w:val="19"/>
              </w:rPr>
            </w:pPr>
          </w:p>
        </w:tc>
        <w:tc>
          <w:tcPr>
            <w:tcW w:w="1280" w:type="dxa"/>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120" w:type="dxa"/>
            <w:shd w:val="clear" w:color="auto" w:fill="CCEEFF"/>
            <w:vAlign w:val="bottom"/>
          </w:tcPr>
          <w:p w:rsidR="000728AD" w:rsidRDefault="000728AD">
            <w:pPr>
              <w:rPr>
                <w:sz w:val="19"/>
                <w:szCs w:val="19"/>
              </w:rPr>
            </w:pPr>
          </w:p>
        </w:tc>
        <w:tc>
          <w:tcPr>
            <w:tcW w:w="1200" w:type="dxa"/>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120" w:type="dxa"/>
            <w:shd w:val="clear" w:color="auto" w:fill="CCEEFF"/>
            <w:vAlign w:val="bottom"/>
          </w:tcPr>
          <w:p w:rsidR="000728AD" w:rsidRDefault="000728AD">
            <w:pPr>
              <w:rPr>
                <w:sz w:val="19"/>
                <w:szCs w:val="19"/>
              </w:rPr>
            </w:pPr>
          </w:p>
        </w:tc>
        <w:tc>
          <w:tcPr>
            <w:tcW w:w="1200" w:type="dxa"/>
            <w:shd w:val="clear" w:color="auto" w:fill="CCEEFF"/>
            <w:vAlign w:val="bottom"/>
          </w:tcPr>
          <w:p w:rsidR="000728AD" w:rsidRDefault="000561BE">
            <w:pPr>
              <w:jc w:val="right"/>
              <w:rPr>
                <w:sz w:val="20"/>
                <w:szCs w:val="20"/>
              </w:rPr>
            </w:pPr>
            <w:r>
              <w:rPr>
                <w:rFonts w:ascii="Arial" w:eastAsia="Arial" w:hAnsi="Arial" w:cs="Arial"/>
                <w:sz w:val="18"/>
                <w:szCs w:val="18"/>
              </w:rPr>
              <w:t>1,428</w:t>
            </w:r>
          </w:p>
        </w:tc>
        <w:tc>
          <w:tcPr>
            <w:tcW w:w="0" w:type="dxa"/>
            <w:vAlign w:val="bottom"/>
          </w:tcPr>
          <w:p w:rsidR="000728AD" w:rsidRDefault="000728AD">
            <w:pPr>
              <w:rPr>
                <w:sz w:val="1"/>
                <w:szCs w:val="1"/>
              </w:rPr>
            </w:pPr>
          </w:p>
        </w:tc>
      </w:tr>
      <w:tr w:rsidR="000728AD">
        <w:trPr>
          <w:trHeight w:val="176"/>
        </w:trPr>
        <w:tc>
          <w:tcPr>
            <w:tcW w:w="2800" w:type="dxa"/>
            <w:vAlign w:val="bottom"/>
          </w:tcPr>
          <w:p w:rsidR="000728AD" w:rsidRDefault="000561BE">
            <w:pPr>
              <w:spacing w:line="176" w:lineRule="exact"/>
              <w:ind w:left="20"/>
              <w:rPr>
                <w:sz w:val="20"/>
                <w:szCs w:val="20"/>
              </w:rPr>
            </w:pPr>
            <w:r>
              <w:rPr>
                <w:rFonts w:ascii="Arial" w:eastAsia="Arial" w:hAnsi="Arial" w:cs="Arial"/>
                <w:sz w:val="18"/>
                <w:szCs w:val="18"/>
              </w:rPr>
              <w:t>Unrealized gain on marketable</w:t>
            </w:r>
          </w:p>
        </w:tc>
        <w:tc>
          <w:tcPr>
            <w:tcW w:w="1320" w:type="dxa"/>
            <w:vAlign w:val="bottom"/>
          </w:tcPr>
          <w:p w:rsidR="000728AD" w:rsidRDefault="000728AD">
            <w:pPr>
              <w:rPr>
                <w:sz w:val="15"/>
                <w:szCs w:val="15"/>
              </w:rPr>
            </w:pPr>
          </w:p>
        </w:tc>
        <w:tc>
          <w:tcPr>
            <w:tcW w:w="80" w:type="dxa"/>
            <w:vAlign w:val="bottom"/>
          </w:tcPr>
          <w:p w:rsidR="000728AD" w:rsidRDefault="000728AD">
            <w:pPr>
              <w:rPr>
                <w:sz w:val="15"/>
                <w:szCs w:val="15"/>
              </w:rPr>
            </w:pPr>
          </w:p>
        </w:tc>
        <w:tc>
          <w:tcPr>
            <w:tcW w:w="1040" w:type="dxa"/>
            <w:vAlign w:val="bottom"/>
          </w:tcPr>
          <w:p w:rsidR="000728AD" w:rsidRDefault="000728AD">
            <w:pPr>
              <w:rPr>
                <w:sz w:val="15"/>
                <w:szCs w:val="15"/>
              </w:rPr>
            </w:pPr>
          </w:p>
        </w:tc>
        <w:tc>
          <w:tcPr>
            <w:tcW w:w="260" w:type="dxa"/>
            <w:vAlign w:val="bottom"/>
          </w:tcPr>
          <w:p w:rsidR="000728AD" w:rsidRDefault="000728AD">
            <w:pPr>
              <w:rPr>
                <w:sz w:val="15"/>
                <w:szCs w:val="15"/>
              </w:rPr>
            </w:pPr>
          </w:p>
        </w:tc>
        <w:tc>
          <w:tcPr>
            <w:tcW w:w="100" w:type="dxa"/>
            <w:vAlign w:val="bottom"/>
          </w:tcPr>
          <w:p w:rsidR="000728AD" w:rsidRDefault="000728AD">
            <w:pPr>
              <w:rPr>
                <w:sz w:val="15"/>
                <w:szCs w:val="15"/>
              </w:rPr>
            </w:pPr>
          </w:p>
        </w:tc>
        <w:tc>
          <w:tcPr>
            <w:tcW w:w="180" w:type="dxa"/>
            <w:vAlign w:val="bottom"/>
          </w:tcPr>
          <w:p w:rsidR="000728AD" w:rsidRDefault="000728AD">
            <w:pPr>
              <w:rPr>
                <w:sz w:val="15"/>
                <w:szCs w:val="15"/>
              </w:rPr>
            </w:pPr>
          </w:p>
        </w:tc>
        <w:tc>
          <w:tcPr>
            <w:tcW w:w="1120" w:type="dxa"/>
            <w:vAlign w:val="bottom"/>
          </w:tcPr>
          <w:p w:rsidR="000728AD" w:rsidRDefault="000728AD">
            <w:pPr>
              <w:rPr>
                <w:sz w:val="15"/>
                <w:szCs w:val="15"/>
              </w:rPr>
            </w:pPr>
          </w:p>
        </w:tc>
        <w:tc>
          <w:tcPr>
            <w:tcW w:w="100" w:type="dxa"/>
            <w:vAlign w:val="bottom"/>
          </w:tcPr>
          <w:p w:rsidR="000728AD" w:rsidRDefault="000728AD">
            <w:pPr>
              <w:rPr>
                <w:sz w:val="15"/>
                <w:szCs w:val="15"/>
              </w:rPr>
            </w:pPr>
          </w:p>
        </w:tc>
        <w:tc>
          <w:tcPr>
            <w:tcW w:w="120" w:type="dxa"/>
            <w:vAlign w:val="bottom"/>
          </w:tcPr>
          <w:p w:rsidR="000728AD" w:rsidRDefault="000728AD">
            <w:pPr>
              <w:rPr>
                <w:sz w:val="15"/>
                <w:szCs w:val="15"/>
              </w:rPr>
            </w:pPr>
          </w:p>
        </w:tc>
        <w:tc>
          <w:tcPr>
            <w:tcW w:w="1280" w:type="dxa"/>
            <w:vMerge w:val="restart"/>
            <w:vAlign w:val="bottom"/>
          </w:tcPr>
          <w:p w:rsidR="000728AD" w:rsidRDefault="000561BE">
            <w:pPr>
              <w:jc w:val="right"/>
              <w:rPr>
                <w:sz w:val="20"/>
                <w:szCs w:val="20"/>
              </w:rPr>
            </w:pPr>
            <w:r>
              <w:rPr>
                <w:rFonts w:ascii="Arial" w:eastAsia="Arial" w:hAnsi="Arial" w:cs="Arial"/>
                <w:sz w:val="18"/>
                <w:szCs w:val="18"/>
              </w:rPr>
              <w:t>7</w:t>
            </w:r>
          </w:p>
        </w:tc>
        <w:tc>
          <w:tcPr>
            <w:tcW w:w="100" w:type="dxa"/>
            <w:vAlign w:val="bottom"/>
          </w:tcPr>
          <w:p w:rsidR="000728AD" w:rsidRDefault="000728AD">
            <w:pPr>
              <w:rPr>
                <w:sz w:val="15"/>
                <w:szCs w:val="15"/>
              </w:rPr>
            </w:pPr>
          </w:p>
        </w:tc>
        <w:tc>
          <w:tcPr>
            <w:tcW w:w="120" w:type="dxa"/>
            <w:vAlign w:val="bottom"/>
          </w:tcPr>
          <w:p w:rsidR="000728AD" w:rsidRDefault="000728AD">
            <w:pPr>
              <w:rPr>
                <w:sz w:val="15"/>
                <w:szCs w:val="15"/>
              </w:rPr>
            </w:pPr>
          </w:p>
        </w:tc>
        <w:tc>
          <w:tcPr>
            <w:tcW w:w="1200" w:type="dxa"/>
            <w:vAlign w:val="bottom"/>
          </w:tcPr>
          <w:p w:rsidR="000728AD" w:rsidRDefault="000728AD">
            <w:pPr>
              <w:rPr>
                <w:sz w:val="15"/>
                <w:szCs w:val="15"/>
              </w:rPr>
            </w:pPr>
          </w:p>
        </w:tc>
        <w:tc>
          <w:tcPr>
            <w:tcW w:w="100" w:type="dxa"/>
            <w:vAlign w:val="bottom"/>
          </w:tcPr>
          <w:p w:rsidR="000728AD" w:rsidRDefault="000728AD">
            <w:pPr>
              <w:rPr>
                <w:sz w:val="15"/>
                <w:szCs w:val="15"/>
              </w:rPr>
            </w:pPr>
          </w:p>
        </w:tc>
        <w:tc>
          <w:tcPr>
            <w:tcW w:w="120" w:type="dxa"/>
            <w:vAlign w:val="bottom"/>
          </w:tcPr>
          <w:p w:rsidR="000728AD" w:rsidRDefault="000728AD">
            <w:pPr>
              <w:rPr>
                <w:sz w:val="15"/>
                <w:szCs w:val="15"/>
              </w:rPr>
            </w:pPr>
          </w:p>
        </w:tc>
        <w:tc>
          <w:tcPr>
            <w:tcW w:w="1200" w:type="dxa"/>
            <w:vMerge w:val="restart"/>
            <w:vAlign w:val="bottom"/>
          </w:tcPr>
          <w:p w:rsidR="000728AD" w:rsidRDefault="000561BE">
            <w:pPr>
              <w:jc w:val="right"/>
              <w:rPr>
                <w:sz w:val="20"/>
                <w:szCs w:val="20"/>
              </w:rPr>
            </w:pPr>
            <w:r>
              <w:rPr>
                <w:rFonts w:ascii="Arial" w:eastAsia="Arial" w:hAnsi="Arial" w:cs="Arial"/>
                <w:sz w:val="18"/>
                <w:szCs w:val="18"/>
              </w:rPr>
              <w:t>7</w:t>
            </w:r>
          </w:p>
        </w:tc>
        <w:tc>
          <w:tcPr>
            <w:tcW w:w="0" w:type="dxa"/>
            <w:vAlign w:val="bottom"/>
          </w:tcPr>
          <w:p w:rsidR="000728AD" w:rsidRDefault="000728AD">
            <w:pPr>
              <w:rPr>
                <w:sz w:val="1"/>
                <w:szCs w:val="1"/>
              </w:rPr>
            </w:pPr>
          </w:p>
        </w:tc>
      </w:tr>
      <w:tr w:rsidR="000728AD">
        <w:trPr>
          <w:trHeight w:val="229"/>
        </w:trPr>
        <w:tc>
          <w:tcPr>
            <w:tcW w:w="2800" w:type="dxa"/>
            <w:vAlign w:val="bottom"/>
          </w:tcPr>
          <w:p w:rsidR="000728AD" w:rsidRDefault="000561BE">
            <w:pPr>
              <w:ind w:left="20"/>
              <w:rPr>
                <w:sz w:val="20"/>
                <w:szCs w:val="20"/>
              </w:rPr>
            </w:pPr>
            <w:r>
              <w:rPr>
                <w:rFonts w:ascii="Arial" w:eastAsia="Arial" w:hAnsi="Arial" w:cs="Arial"/>
                <w:sz w:val="18"/>
                <w:szCs w:val="18"/>
              </w:rPr>
              <w:t>securities</w:t>
            </w:r>
          </w:p>
        </w:tc>
        <w:tc>
          <w:tcPr>
            <w:tcW w:w="1320" w:type="dxa"/>
            <w:vAlign w:val="bottom"/>
          </w:tcPr>
          <w:p w:rsidR="000728AD" w:rsidRDefault="000728AD">
            <w:pPr>
              <w:rPr>
                <w:sz w:val="19"/>
                <w:szCs w:val="19"/>
              </w:rPr>
            </w:pPr>
          </w:p>
        </w:tc>
        <w:tc>
          <w:tcPr>
            <w:tcW w:w="80" w:type="dxa"/>
            <w:vAlign w:val="bottom"/>
          </w:tcPr>
          <w:p w:rsidR="000728AD" w:rsidRDefault="000728AD">
            <w:pPr>
              <w:rPr>
                <w:sz w:val="19"/>
                <w:szCs w:val="19"/>
              </w:rPr>
            </w:pPr>
          </w:p>
        </w:tc>
        <w:tc>
          <w:tcPr>
            <w:tcW w:w="1040" w:type="dxa"/>
            <w:vAlign w:val="bottom"/>
          </w:tcPr>
          <w:p w:rsidR="000728AD" w:rsidRDefault="000728AD">
            <w:pPr>
              <w:rPr>
                <w:sz w:val="19"/>
                <w:szCs w:val="19"/>
              </w:rPr>
            </w:pPr>
          </w:p>
        </w:tc>
        <w:tc>
          <w:tcPr>
            <w:tcW w:w="26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180" w:type="dxa"/>
            <w:vAlign w:val="bottom"/>
          </w:tcPr>
          <w:p w:rsidR="000728AD" w:rsidRDefault="000728AD">
            <w:pPr>
              <w:rPr>
                <w:sz w:val="19"/>
                <w:szCs w:val="19"/>
              </w:rPr>
            </w:pPr>
          </w:p>
        </w:tc>
        <w:tc>
          <w:tcPr>
            <w:tcW w:w="112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120" w:type="dxa"/>
            <w:vAlign w:val="bottom"/>
          </w:tcPr>
          <w:p w:rsidR="000728AD" w:rsidRDefault="000728AD">
            <w:pPr>
              <w:rPr>
                <w:sz w:val="19"/>
                <w:szCs w:val="19"/>
              </w:rPr>
            </w:pPr>
          </w:p>
        </w:tc>
        <w:tc>
          <w:tcPr>
            <w:tcW w:w="1280" w:type="dxa"/>
            <w:vMerge/>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120" w:type="dxa"/>
            <w:vAlign w:val="bottom"/>
          </w:tcPr>
          <w:p w:rsidR="000728AD" w:rsidRDefault="000728AD">
            <w:pPr>
              <w:rPr>
                <w:sz w:val="19"/>
                <w:szCs w:val="19"/>
              </w:rPr>
            </w:pPr>
          </w:p>
        </w:tc>
        <w:tc>
          <w:tcPr>
            <w:tcW w:w="120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120" w:type="dxa"/>
            <w:vAlign w:val="bottom"/>
          </w:tcPr>
          <w:p w:rsidR="000728AD" w:rsidRDefault="000728AD">
            <w:pPr>
              <w:rPr>
                <w:sz w:val="19"/>
                <w:szCs w:val="19"/>
              </w:rPr>
            </w:pPr>
          </w:p>
        </w:tc>
        <w:tc>
          <w:tcPr>
            <w:tcW w:w="1200" w:type="dxa"/>
            <w:vMerge/>
            <w:vAlign w:val="bottom"/>
          </w:tcPr>
          <w:p w:rsidR="000728AD" w:rsidRDefault="000728AD">
            <w:pPr>
              <w:rPr>
                <w:sz w:val="19"/>
                <w:szCs w:val="19"/>
              </w:rPr>
            </w:pPr>
          </w:p>
        </w:tc>
        <w:tc>
          <w:tcPr>
            <w:tcW w:w="0" w:type="dxa"/>
            <w:vAlign w:val="bottom"/>
          </w:tcPr>
          <w:p w:rsidR="000728AD" w:rsidRDefault="000728AD">
            <w:pPr>
              <w:rPr>
                <w:sz w:val="1"/>
                <w:szCs w:val="1"/>
              </w:rPr>
            </w:pPr>
          </w:p>
        </w:tc>
      </w:tr>
      <w:tr w:rsidR="000728AD">
        <w:trPr>
          <w:trHeight w:val="229"/>
        </w:trPr>
        <w:tc>
          <w:tcPr>
            <w:tcW w:w="2800" w:type="dxa"/>
            <w:shd w:val="clear" w:color="auto" w:fill="CCEEFF"/>
            <w:vAlign w:val="bottom"/>
          </w:tcPr>
          <w:p w:rsidR="000728AD" w:rsidRDefault="000561BE">
            <w:pPr>
              <w:ind w:left="20"/>
              <w:rPr>
                <w:sz w:val="20"/>
                <w:szCs w:val="20"/>
              </w:rPr>
            </w:pPr>
            <w:r>
              <w:rPr>
                <w:rFonts w:ascii="Arial" w:eastAsia="Arial" w:hAnsi="Arial" w:cs="Arial"/>
                <w:sz w:val="18"/>
                <w:szCs w:val="18"/>
              </w:rPr>
              <w:t>Net loss</w:t>
            </w:r>
          </w:p>
        </w:tc>
        <w:tc>
          <w:tcPr>
            <w:tcW w:w="1320" w:type="dxa"/>
            <w:tcBorders>
              <w:bottom w:val="single" w:sz="8" w:space="0" w:color="auto"/>
            </w:tcBorders>
            <w:shd w:val="clear" w:color="auto" w:fill="CCEEFF"/>
            <w:vAlign w:val="bottom"/>
          </w:tcPr>
          <w:p w:rsidR="000728AD" w:rsidRDefault="000728AD">
            <w:pPr>
              <w:rPr>
                <w:sz w:val="19"/>
                <w:szCs w:val="19"/>
              </w:rPr>
            </w:pPr>
          </w:p>
        </w:tc>
        <w:tc>
          <w:tcPr>
            <w:tcW w:w="80" w:type="dxa"/>
            <w:shd w:val="clear" w:color="auto" w:fill="CCEEFF"/>
            <w:vAlign w:val="bottom"/>
          </w:tcPr>
          <w:p w:rsidR="000728AD" w:rsidRDefault="000728AD">
            <w:pPr>
              <w:rPr>
                <w:sz w:val="19"/>
                <w:szCs w:val="19"/>
              </w:rPr>
            </w:pPr>
          </w:p>
        </w:tc>
        <w:tc>
          <w:tcPr>
            <w:tcW w:w="1040" w:type="dxa"/>
            <w:tcBorders>
              <w:bottom w:val="single" w:sz="8" w:space="0" w:color="auto"/>
            </w:tcBorders>
            <w:shd w:val="clear" w:color="auto" w:fill="CCEEFF"/>
            <w:vAlign w:val="bottom"/>
          </w:tcPr>
          <w:p w:rsidR="000728AD" w:rsidRDefault="000728AD">
            <w:pPr>
              <w:rPr>
                <w:sz w:val="19"/>
                <w:szCs w:val="19"/>
              </w:rPr>
            </w:pPr>
          </w:p>
        </w:tc>
        <w:tc>
          <w:tcPr>
            <w:tcW w:w="260" w:type="dxa"/>
            <w:tcBorders>
              <w:bottom w:val="single" w:sz="8" w:space="0" w:color="auto"/>
            </w:tcBorders>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180" w:type="dxa"/>
            <w:tcBorders>
              <w:bottom w:val="single" w:sz="8" w:space="0" w:color="auto"/>
            </w:tcBorders>
            <w:shd w:val="clear" w:color="auto" w:fill="CCEEFF"/>
            <w:vAlign w:val="bottom"/>
          </w:tcPr>
          <w:p w:rsidR="000728AD" w:rsidRDefault="000728AD">
            <w:pPr>
              <w:rPr>
                <w:sz w:val="19"/>
                <w:szCs w:val="19"/>
              </w:rPr>
            </w:pPr>
          </w:p>
        </w:tc>
        <w:tc>
          <w:tcPr>
            <w:tcW w:w="1120" w:type="dxa"/>
            <w:tcBorders>
              <w:bottom w:val="single" w:sz="8" w:space="0" w:color="auto"/>
            </w:tcBorders>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120" w:type="dxa"/>
            <w:tcBorders>
              <w:bottom w:val="single" w:sz="8" w:space="0" w:color="auto"/>
            </w:tcBorders>
            <w:shd w:val="clear" w:color="auto" w:fill="CCEEFF"/>
            <w:vAlign w:val="bottom"/>
          </w:tcPr>
          <w:p w:rsidR="000728AD" w:rsidRDefault="000728AD">
            <w:pPr>
              <w:rPr>
                <w:sz w:val="19"/>
                <w:szCs w:val="19"/>
              </w:rPr>
            </w:pPr>
          </w:p>
        </w:tc>
        <w:tc>
          <w:tcPr>
            <w:tcW w:w="1280" w:type="dxa"/>
            <w:tcBorders>
              <w:bottom w:val="single" w:sz="8" w:space="0" w:color="auto"/>
            </w:tcBorders>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120" w:type="dxa"/>
            <w:tcBorders>
              <w:bottom w:val="single" w:sz="8" w:space="0" w:color="auto"/>
            </w:tcBorders>
            <w:shd w:val="clear" w:color="auto" w:fill="CCEEFF"/>
            <w:vAlign w:val="bottom"/>
          </w:tcPr>
          <w:p w:rsidR="000728AD" w:rsidRDefault="000728AD">
            <w:pPr>
              <w:rPr>
                <w:sz w:val="19"/>
                <w:szCs w:val="19"/>
              </w:rPr>
            </w:pPr>
          </w:p>
        </w:tc>
        <w:tc>
          <w:tcPr>
            <w:tcW w:w="120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18"/>
                <w:szCs w:val="18"/>
              </w:rPr>
              <w:t>(15,189)</w:t>
            </w:r>
          </w:p>
        </w:tc>
        <w:tc>
          <w:tcPr>
            <w:tcW w:w="100" w:type="dxa"/>
            <w:shd w:val="clear" w:color="auto" w:fill="CCEEFF"/>
            <w:vAlign w:val="bottom"/>
          </w:tcPr>
          <w:p w:rsidR="000728AD" w:rsidRDefault="000728AD">
            <w:pPr>
              <w:rPr>
                <w:sz w:val="19"/>
                <w:szCs w:val="19"/>
              </w:rPr>
            </w:pPr>
          </w:p>
        </w:tc>
        <w:tc>
          <w:tcPr>
            <w:tcW w:w="120" w:type="dxa"/>
            <w:tcBorders>
              <w:bottom w:val="single" w:sz="8" w:space="0" w:color="auto"/>
            </w:tcBorders>
            <w:shd w:val="clear" w:color="auto" w:fill="CCEEFF"/>
            <w:vAlign w:val="bottom"/>
          </w:tcPr>
          <w:p w:rsidR="000728AD" w:rsidRDefault="000728AD">
            <w:pPr>
              <w:rPr>
                <w:sz w:val="19"/>
                <w:szCs w:val="19"/>
              </w:rPr>
            </w:pPr>
          </w:p>
        </w:tc>
        <w:tc>
          <w:tcPr>
            <w:tcW w:w="120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18"/>
                <w:szCs w:val="18"/>
              </w:rPr>
              <w:t>(15,189)</w:t>
            </w:r>
          </w:p>
        </w:tc>
        <w:tc>
          <w:tcPr>
            <w:tcW w:w="0" w:type="dxa"/>
            <w:vAlign w:val="bottom"/>
          </w:tcPr>
          <w:p w:rsidR="000728AD" w:rsidRDefault="000728AD">
            <w:pPr>
              <w:rPr>
                <w:sz w:val="1"/>
                <w:szCs w:val="1"/>
              </w:rPr>
            </w:pPr>
          </w:p>
        </w:tc>
      </w:tr>
      <w:tr w:rsidR="000728AD">
        <w:trPr>
          <w:trHeight w:val="223"/>
        </w:trPr>
        <w:tc>
          <w:tcPr>
            <w:tcW w:w="2800" w:type="dxa"/>
            <w:vAlign w:val="bottom"/>
          </w:tcPr>
          <w:p w:rsidR="000728AD" w:rsidRDefault="000561BE">
            <w:pPr>
              <w:ind w:left="20"/>
              <w:rPr>
                <w:sz w:val="20"/>
                <w:szCs w:val="20"/>
              </w:rPr>
            </w:pPr>
            <w:r>
              <w:rPr>
                <w:rFonts w:ascii="Arial" w:eastAsia="Arial" w:hAnsi="Arial" w:cs="Arial"/>
                <w:b/>
                <w:bCs/>
                <w:sz w:val="18"/>
                <w:szCs w:val="18"/>
              </w:rPr>
              <w:t>BALANCE - March 31, 2021</w:t>
            </w:r>
          </w:p>
        </w:tc>
        <w:tc>
          <w:tcPr>
            <w:tcW w:w="1320" w:type="dxa"/>
            <w:tcBorders>
              <w:bottom w:val="single" w:sz="8" w:space="0" w:color="auto"/>
            </w:tcBorders>
            <w:vAlign w:val="bottom"/>
          </w:tcPr>
          <w:p w:rsidR="000728AD" w:rsidRDefault="000561BE">
            <w:pPr>
              <w:jc w:val="right"/>
              <w:rPr>
                <w:sz w:val="20"/>
                <w:szCs w:val="20"/>
              </w:rPr>
            </w:pPr>
            <w:r>
              <w:rPr>
                <w:rFonts w:ascii="Arial" w:eastAsia="Arial" w:hAnsi="Arial" w:cs="Arial"/>
                <w:sz w:val="18"/>
                <w:szCs w:val="18"/>
              </w:rPr>
              <w:t>38,109,416</w:t>
            </w:r>
          </w:p>
        </w:tc>
        <w:tc>
          <w:tcPr>
            <w:tcW w:w="80" w:type="dxa"/>
            <w:vAlign w:val="bottom"/>
          </w:tcPr>
          <w:p w:rsidR="000728AD" w:rsidRDefault="000728AD">
            <w:pPr>
              <w:rPr>
                <w:sz w:val="19"/>
                <w:szCs w:val="19"/>
              </w:rPr>
            </w:pPr>
          </w:p>
        </w:tc>
        <w:tc>
          <w:tcPr>
            <w:tcW w:w="1040" w:type="dxa"/>
            <w:tcBorders>
              <w:bottom w:val="single" w:sz="8" w:space="0" w:color="auto"/>
            </w:tcBorders>
            <w:vAlign w:val="bottom"/>
          </w:tcPr>
          <w:p w:rsidR="000728AD" w:rsidRDefault="000561BE">
            <w:pPr>
              <w:ind w:right="830"/>
              <w:jc w:val="right"/>
              <w:rPr>
                <w:sz w:val="20"/>
                <w:szCs w:val="20"/>
              </w:rPr>
            </w:pPr>
            <w:r>
              <w:rPr>
                <w:rFonts w:ascii="Arial" w:eastAsia="Arial" w:hAnsi="Arial" w:cs="Arial"/>
                <w:w w:val="99"/>
                <w:sz w:val="18"/>
                <w:szCs w:val="18"/>
              </w:rPr>
              <w:t>$</w:t>
            </w:r>
          </w:p>
        </w:tc>
        <w:tc>
          <w:tcPr>
            <w:tcW w:w="260" w:type="dxa"/>
            <w:tcBorders>
              <w:bottom w:val="single" w:sz="8" w:space="0" w:color="auto"/>
            </w:tcBorders>
            <w:vAlign w:val="bottom"/>
          </w:tcPr>
          <w:p w:rsidR="000728AD" w:rsidRDefault="000561BE">
            <w:pPr>
              <w:jc w:val="right"/>
              <w:rPr>
                <w:sz w:val="20"/>
                <w:szCs w:val="20"/>
              </w:rPr>
            </w:pPr>
            <w:r>
              <w:rPr>
                <w:rFonts w:ascii="Arial" w:eastAsia="Arial" w:hAnsi="Arial" w:cs="Arial"/>
                <w:w w:val="89"/>
                <w:sz w:val="18"/>
                <w:szCs w:val="18"/>
              </w:rPr>
              <w:t>38</w:t>
            </w:r>
          </w:p>
        </w:tc>
        <w:tc>
          <w:tcPr>
            <w:tcW w:w="100" w:type="dxa"/>
            <w:vAlign w:val="bottom"/>
          </w:tcPr>
          <w:p w:rsidR="000728AD" w:rsidRDefault="000728AD">
            <w:pPr>
              <w:rPr>
                <w:sz w:val="19"/>
                <w:szCs w:val="19"/>
              </w:rPr>
            </w:pPr>
          </w:p>
        </w:tc>
        <w:tc>
          <w:tcPr>
            <w:tcW w:w="180" w:type="dxa"/>
            <w:tcBorders>
              <w:bottom w:val="single" w:sz="8" w:space="0" w:color="auto"/>
            </w:tcBorders>
            <w:vAlign w:val="bottom"/>
          </w:tcPr>
          <w:p w:rsidR="000728AD" w:rsidRDefault="000561BE">
            <w:pPr>
              <w:jc w:val="right"/>
              <w:rPr>
                <w:sz w:val="20"/>
                <w:szCs w:val="20"/>
              </w:rPr>
            </w:pPr>
            <w:r>
              <w:rPr>
                <w:rFonts w:ascii="Arial" w:eastAsia="Arial" w:hAnsi="Arial" w:cs="Arial"/>
                <w:w w:val="79"/>
                <w:sz w:val="18"/>
                <w:szCs w:val="18"/>
              </w:rPr>
              <w:t>$</w:t>
            </w:r>
          </w:p>
        </w:tc>
        <w:tc>
          <w:tcPr>
            <w:tcW w:w="1120" w:type="dxa"/>
            <w:tcBorders>
              <w:bottom w:val="single" w:sz="8" w:space="0" w:color="auto"/>
            </w:tcBorders>
            <w:vAlign w:val="bottom"/>
          </w:tcPr>
          <w:p w:rsidR="000728AD" w:rsidRDefault="000561BE">
            <w:pPr>
              <w:jc w:val="right"/>
              <w:rPr>
                <w:sz w:val="20"/>
                <w:szCs w:val="20"/>
              </w:rPr>
            </w:pPr>
            <w:r>
              <w:rPr>
                <w:rFonts w:ascii="Arial" w:eastAsia="Arial" w:hAnsi="Arial" w:cs="Arial"/>
                <w:sz w:val="18"/>
                <w:szCs w:val="18"/>
              </w:rPr>
              <w:t>349,449</w:t>
            </w:r>
          </w:p>
        </w:tc>
        <w:tc>
          <w:tcPr>
            <w:tcW w:w="100" w:type="dxa"/>
            <w:vAlign w:val="bottom"/>
          </w:tcPr>
          <w:p w:rsidR="000728AD" w:rsidRDefault="000728AD">
            <w:pPr>
              <w:rPr>
                <w:sz w:val="19"/>
                <w:szCs w:val="19"/>
              </w:rPr>
            </w:pPr>
          </w:p>
        </w:tc>
        <w:tc>
          <w:tcPr>
            <w:tcW w:w="120" w:type="dxa"/>
            <w:tcBorders>
              <w:bottom w:val="single" w:sz="8" w:space="0" w:color="auto"/>
            </w:tcBorders>
            <w:vAlign w:val="bottom"/>
          </w:tcPr>
          <w:p w:rsidR="000728AD" w:rsidRDefault="000561BE">
            <w:pPr>
              <w:jc w:val="center"/>
              <w:rPr>
                <w:sz w:val="20"/>
                <w:szCs w:val="20"/>
              </w:rPr>
            </w:pPr>
            <w:r>
              <w:rPr>
                <w:rFonts w:ascii="Arial" w:eastAsia="Arial" w:hAnsi="Arial" w:cs="Arial"/>
                <w:w w:val="79"/>
                <w:sz w:val="18"/>
                <w:szCs w:val="18"/>
              </w:rPr>
              <w:t>$</w:t>
            </w:r>
          </w:p>
        </w:tc>
        <w:tc>
          <w:tcPr>
            <w:tcW w:w="1280" w:type="dxa"/>
            <w:tcBorders>
              <w:bottom w:val="single" w:sz="8" w:space="0" w:color="auto"/>
            </w:tcBorders>
            <w:vAlign w:val="bottom"/>
          </w:tcPr>
          <w:p w:rsidR="000728AD" w:rsidRDefault="000561BE">
            <w:pPr>
              <w:jc w:val="right"/>
              <w:rPr>
                <w:sz w:val="20"/>
                <w:szCs w:val="20"/>
              </w:rPr>
            </w:pPr>
            <w:r>
              <w:rPr>
                <w:rFonts w:ascii="Arial" w:eastAsia="Arial" w:hAnsi="Arial" w:cs="Arial"/>
                <w:sz w:val="18"/>
                <w:szCs w:val="18"/>
              </w:rPr>
              <w:t>(27)</w:t>
            </w:r>
          </w:p>
        </w:tc>
        <w:tc>
          <w:tcPr>
            <w:tcW w:w="100" w:type="dxa"/>
            <w:vAlign w:val="bottom"/>
          </w:tcPr>
          <w:p w:rsidR="000728AD" w:rsidRDefault="000728AD">
            <w:pPr>
              <w:rPr>
                <w:sz w:val="19"/>
                <w:szCs w:val="19"/>
              </w:rPr>
            </w:pPr>
          </w:p>
        </w:tc>
        <w:tc>
          <w:tcPr>
            <w:tcW w:w="120" w:type="dxa"/>
            <w:tcBorders>
              <w:bottom w:val="single" w:sz="8" w:space="0" w:color="auto"/>
            </w:tcBorders>
            <w:vAlign w:val="bottom"/>
          </w:tcPr>
          <w:p w:rsidR="000728AD" w:rsidRDefault="000561BE">
            <w:pPr>
              <w:jc w:val="right"/>
              <w:rPr>
                <w:sz w:val="20"/>
                <w:szCs w:val="20"/>
              </w:rPr>
            </w:pPr>
            <w:r>
              <w:rPr>
                <w:rFonts w:ascii="Arial" w:eastAsia="Arial" w:hAnsi="Arial" w:cs="Arial"/>
                <w:w w:val="79"/>
                <w:sz w:val="18"/>
                <w:szCs w:val="18"/>
              </w:rPr>
              <w:t>$</w:t>
            </w:r>
          </w:p>
        </w:tc>
        <w:tc>
          <w:tcPr>
            <w:tcW w:w="1200" w:type="dxa"/>
            <w:tcBorders>
              <w:bottom w:val="single" w:sz="8" w:space="0" w:color="auto"/>
            </w:tcBorders>
            <w:vAlign w:val="bottom"/>
          </w:tcPr>
          <w:p w:rsidR="000728AD" w:rsidRDefault="000561BE">
            <w:pPr>
              <w:jc w:val="right"/>
              <w:rPr>
                <w:sz w:val="20"/>
                <w:szCs w:val="20"/>
              </w:rPr>
            </w:pPr>
            <w:r>
              <w:rPr>
                <w:rFonts w:ascii="Arial" w:eastAsia="Arial" w:hAnsi="Arial" w:cs="Arial"/>
                <w:sz w:val="18"/>
                <w:szCs w:val="18"/>
              </w:rPr>
              <w:t>(287,802)</w:t>
            </w:r>
          </w:p>
        </w:tc>
        <w:tc>
          <w:tcPr>
            <w:tcW w:w="100" w:type="dxa"/>
            <w:vAlign w:val="bottom"/>
          </w:tcPr>
          <w:p w:rsidR="000728AD" w:rsidRDefault="000728AD">
            <w:pPr>
              <w:rPr>
                <w:sz w:val="19"/>
                <w:szCs w:val="19"/>
              </w:rPr>
            </w:pPr>
          </w:p>
        </w:tc>
        <w:tc>
          <w:tcPr>
            <w:tcW w:w="120" w:type="dxa"/>
            <w:tcBorders>
              <w:bottom w:val="single" w:sz="8" w:space="0" w:color="auto"/>
            </w:tcBorders>
            <w:vAlign w:val="bottom"/>
          </w:tcPr>
          <w:p w:rsidR="000728AD" w:rsidRDefault="000561BE">
            <w:pPr>
              <w:jc w:val="right"/>
              <w:rPr>
                <w:sz w:val="20"/>
                <w:szCs w:val="20"/>
              </w:rPr>
            </w:pPr>
            <w:r>
              <w:rPr>
                <w:rFonts w:ascii="Arial" w:eastAsia="Arial" w:hAnsi="Arial" w:cs="Arial"/>
                <w:w w:val="79"/>
                <w:sz w:val="18"/>
                <w:szCs w:val="18"/>
              </w:rPr>
              <w:t>$</w:t>
            </w:r>
          </w:p>
        </w:tc>
        <w:tc>
          <w:tcPr>
            <w:tcW w:w="1200" w:type="dxa"/>
            <w:tcBorders>
              <w:bottom w:val="single" w:sz="8" w:space="0" w:color="auto"/>
            </w:tcBorders>
            <w:vAlign w:val="bottom"/>
          </w:tcPr>
          <w:p w:rsidR="000728AD" w:rsidRDefault="000561BE">
            <w:pPr>
              <w:jc w:val="right"/>
              <w:rPr>
                <w:sz w:val="20"/>
                <w:szCs w:val="20"/>
              </w:rPr>
            </w:pPr>
            <w:r>
              <w:rPr>
                <w:rFonts w:ascii="Arial" w:eastAsia="Arial" w:hAnsi="Arial" w:cs="Arial"/>
                <w:sz w:val="18"/>
                <w:szCs w:val="18"/>
              </w:rPr>
              <w:t>61,658</w:t>
            </w:r>
          </w:p>
        </w:tc>
        <w:tc>
          <w:tcPr>
            <w:tcW w:w="0" w:type="dxa"/>
            <w:vAlign w:val="bottom"/>
          </w:tcPr>
          <w:p w:rsidR="000728AD" w:rsidRDefault="000728AD">
            <w:pPr>
              <w:rPr>
                <w:sz w:val="1"/>
                <w:szCs w:val="1"/>
              </w:rPr>
            </w:pPr>
          </w:p>
        </w:tc>
      </w:tr>
      <w:tr w:rsidR="000728AD">
        <w:trPr>
          <w:trHeight w:val="20"/>
        </w:trPr>
        <w:tc>
          <w:tcPr>
            <w:tcW w:w="2800" w:type="dxa"/>
            <w:tcBorders>
              <w:bottom w:val="single" w:sz="8" w:space="0" w:color="CCEEFF"/>
            </w:tcBorders>
            <w:vAlign w:val="bottom"/>
          </w:tcPr>
          <w:p w:rsidR="000728AD" w:rsidRDefault="000728AD">
            <w:pPr>
              <w:spacing w:line="20" w:lineRule="exact"/>
              <w:rPr>
                <w:sz w:val="1"/>
                <w:szCs w:val="1"/>
              </w:rPr>
            </w:pPr>
          </w:p>
        </w:tc>
        <w:tc>
          <w:tcPr>
            <w:tcW w:w="1320" w:type="dxa"/>
            <w:tcBorders>
              <w:bottom w:val="single" w:sz="8" w:space="0" w:color="auto"/>
            </w:tcBorders>
            <w:vAlign w:val="bottom"/>
          </w:tcPr>
          <w:p w:rsidR="000728AD" w:rsidRDefault="000728AD">
            <w:pPr>
              <w:spacing w:line="20" w:lineRule="exact"/>
              <w:rPr>
                <w:sz w:val="1"/>
                <w:szCs w:val="1"/>
              </w:rPr>
            </w:pPr>
          </w:p>
        </w:tc>
        <w:tc>
          <w:tcPr>
            <w:tcW w:w="80" w:type="dxa"/>
            <w:tcBorders>
              <w:bottom w:val="single" w:sz="8" w:space="0" w:color="CCEEFF"/>
            </w:tcBorders>
            <w:vAlign w:val="bottom"/>
          </w:tcPr>
          <w:p w:rsidR="000728AD" w:rsidRDefault="000728AD">
            <w:pPr>
              <w:spacing w:line="20" w:lineRule="exact"/>
              <w:rPr>
                <w:sz w:val="1"/>
                <w:szCs w:val="1"/>
              </w:rPr>
            </w:pPr>
          </w:p>
        </w:tc>
        <w:tc>
          <w:tcPr>
            <w:tcW w:w="1040" w:type="dxa"/>
            <w:tcBorders>
              <w:bottom w:val="single" w:sz="8" w:space="0" w:color="auto"/>
            </w:tcBorders>
            <w:vAlign w:val="bottom"/>
          </w:tcPr>
          <w:p w:rsidR="000728AD" w:rsidRDefault="000728AD">
            <w:pPr>
              <w:spacing w:line="20" w:lineRule="exact"/>
              <w:rPr>
                <w:sz w:val="1"/>
                <w:szCs w:val="1"/>
              </w:rPr>
            </w:pPr>
          </w:p>
        </w:tc>
        <w:tc>
          <w:tcPr>
            <w:tcW w:w="260" w:type="dxa"/>
            <w:tcBorders>
              <w:bottom w:val="single" w:sz="8" w:space="0" w:color="auto"/>
            </w:tcBorders>
            <w:vAlign w:val="bottom"/>
          </w:tcPr>
          <w:p w:rsidR="000728AD" w:rsidRDefault="000728AD">
            <w:pPr>
              <w:spacing w:line="20" w:lineRule="exact"/>
              <w:rPr>
                <w:sz w:val="1"/>
                <w:szCs w:val="1"/>
              </w:rPr>
            </w:pPr>
          </w:p>
        </w:tc>
        <w:tc>
          <w:tcPr>
            <w:tcW w:w="100" w:type="dxa"/>
            <w:tcBorders>
              <w:bottom w:val="single" w:sz="8" w:space="0" w:color="CCEEFF"/>
            </w:tcBorders>
            <w:vAlign w:val="bottom"/>
          </w:tcPr>
          <w:p w:rsidR="000728AD" w:rsidRDefault="000728AD">
            <w:pPr>
              <w:spacing w:line="20" w:lineRule="exact"/>
              <w:rPr>
                <w:sz w:val="1"/>
                <w:szCs w:val="1"/>
              </w:rPr>
            </w:pPr>
          </w:p>
        </w:tc>
        <w:tc>
          <w:tcPr>
            <w:tcW w:w="180" w:type="dxa"/>
            <w:tcBorders>
              <w:bottom w:val="single" w:sz="8" w:space="0" w:color="auto"/>
            </w:tcBorders>
            <w:vAlign w:val="bottom"/>
          </w:tcPr>
          <w:p w:rsidR="000728AD" w:rsidRDefault="000728AD">
            <w:pPr>
              <w:spacing w:line="20" w:lineRule="exact"/>
              <w:rPr>
                <w:sz w:val="1"/>
                <w:szCs w:val="1"/>
              </w:rPr>
            </w:pPr>
          </w:p>
        </w:tc>
        <w:tc>
          <w:tcPr>
            <w:tcW w:w="1120" w:type="dxa"/>
            <w:tcBorders>
              <w:bottom w:val="single" w:sz="8" w:space="0" w:color="auto"/>
            </w:tcBorders>
            <w:vAlign w:val="bottom"/>
          </w:tcPr>
          <w:p w:rsidR="000728AD" w:rsidRDefault="000728AD">
            <w:pPr>
              <w:spacing w:line="20" w:lineRule="exact"/>
              <w:rPr>
                <w:sz w:val="1"/>
                <w:szCs w:val="1"/>
              </w:rPr>
            </w:pPr>
          </w:p>
        </w:tc>
        <w:tc>
          <w:tcPr>
            <w:tcW w:w="100" w:type="dxa"/>
            <w:tcBorders>
              <w:bottom w:val="single" w:sz="8" w:space="0" w:color="CCEEFF"/>
            </w:tcBorders>
            <w:vAlign w:val="bottom"/>
          </w:tcPr>
          <w:p w:rsidR="000728AD" w:rsidRDefault="000728AD">
            <w:pPr>
              <w:spacing w:line="20" w:lineRule="exact"/>
              <w:rPr>
                <w:sz w:val="1"/>
                <w:szCs w:val="1"/>
              </w:rPr>
            </w:pPr>
          </w:p>
        </w:tc>
        <w:tc>
          <w:tcPr>
            <w:tcW w:w="120" w:type="dxa"/>
            <w:tcBorders>
              <w:bottom w:val="single" w:sz="8" w:space="0" w:color="auto"/>
            </w:tcBorders>
            <w:vAlign w:val="bottom"/>
          </w:tcPr>
          <w:p w:rsidR="000728AD" w:rsidRDefault="000728AD">
            <w:pPr>
              <w:spacing w:line="20" w:lineRule="exact"/>
              <w:rPr>
                <w:sz w:val="1"/>
                <w:szCs w:val="1"/>
              </w:rPr>
            </w:pPr>
          </w:p>
        </w:tc>
        <w:tc>
          <w:tcPr>
            <w:tcW w:w="1280" w:type="dxa"/>
            <w:tcBorders>
              <w:bottom w:val="single" w:sz="8" w:space="0" w:color="auto"/>
            </w:tcBorders>
            <w:vAlign w:val="bottom"/>
          </w:tcPr>
          <w:p w:rsidR="000728AD" w:rsidRDefault="000728AD">
            <w:pPr>
              <w:spacing w:line="20" w:lineRule="exact"/>
              <w:rPr>
                <w:sz w:val="1"/>
                <w:szCs w:val="1"/>
              </w:rPr>
            </w:pPr>
          </w:p>
        </w:tc>
        <w:tc>
          <w:tcPr>
            <w:tcW w:w="100" w:type="dxa"/>
            <w:tcBorders>
              <w:bottom w:val="single" w:sz="8" w:space="0" w:color="CCEEFF"/>
            </w:tcBorders>
            <w:vAlign w:val="bottom"/>
          </w:tcPr>
          <w:p w:rsidR="000728AD" w:rsidRDefault="000728AD">
            <w:pPr>
              <w:spacing w:line="20" w:lineRule="exact"/>
              <w:rPr>
                <w:sz w:val="1"/>
                <w:szCs w:val="1"/>
              </w:rPr>
            </w:pPr>
          </w:p>
        </w:tc>
        <w:tc>
          <w:tcPr>
            <w:tcW w:w="120" w:type="dxa"/>
            <w:tcBorders>
              <w:bottom w:val="single" w:sz="8" w:space="0" w:color="auto"/>
            </w:tcBorders>
            <w:vAlign w:val="bottom"/>
          </w:tcPr>
          <w:p w:rsidR="000728AD" w:rsidRDefault="000728AD">
            <w:pPr>
              <w:spacing w:line="20" w:lineRule="exact"/>
              <w:rPr>
                <w:sz w:val="1"/>
                <w:szCs w:val="1"/>
              </w:rPr>
            </w:pPr>
          </w:p>
        </w:tc>
        <w:tc>
          <w:tcPr>
            <w:tcW w:w="1200" w:type="dxa"/>
            <w:tcBorders>
              <w:bottom w:val="single" w:sz="8" w:space="0" w:color="auto"/>
            </w:tcBorders>
            <w:vAlign w:val="bottom"/>
          </w:tcPr>
          <w:p w:rsidR="000728AD" w:rsidRDefault="000728AD">
            <w:pPr>
              <w:spacing w:line="20" w:lineRule="exact"/>
              <w:rPr>
                <w:sz w:val="1"/>
                <w:szCs w:val="1"/>
              </w:rPr>
            </w:pPr>
          </w:p>
        </w:tc>
        <w:tc>
          <w:tcPr>
            <w:tcW w:w="100" w:type="dxa"/>
            <w:tcBorders>
              <w:bottom w:val="single" w:sz="8" w:space="0" w:color="CCEEFF"/>
            </w:tcBorders>
            <w:vAlign w:val="bottom"/>
          </w:tcPr>
          <w:p w:rsidR="000728AD" w:rsidRDefault="000728AD">
            <w:pPr>
              <w:spacing w:line="20" w:lineRule="exact"/>
              <w:rPr>
                <w:sz w:val="1"/>
                <w:szCs w:val="1"/>
              </w:rPr>
            </w:pPr>
          </w:p>
        </w:tc>
        <w:tc>
          <w:tcPr>
            <w:tcW w:w="120" w:type="dxa"/>
            <w:tcBorders>
              <w:bottom w:val="single" w:sz="8" w:space="0" w:color="auto"/>
            </w:tcBorders>
            <w:vAlign w:val="bottom"/>
          </w:tcPr>
          <w:p w:rsidR="000728AD" w:rsidRDefault="000728AD">
            <w:pPr>
              <w:spacing w:line="20" w:lineRule="exact"/>
              <w:rPr>
                <w:sz w:val="1"/>
                <w:szCs w:val="1"/>
              </w:rPr>
            </w:pPr>
          </w:p>
        </w:tc>
        <w:tc>
          <w:tcPr>
            <w:tcW w:w="1200" w:type="dxa"/>
            <w:tcBorders>
              <w:bottom w:val="single" w:sz="8" w:space="0" w:color="auto"/>
            </w:tcBorders>
            <w:vAlign w:val="bottom"/>
          </w:tcPr>
          <w:p w:rsidR="000728AD" w:rsidRDefault="000728AD">
            <w:pPr>
              <w:spacing w:line="20" w:lineRule="exact"/>
              <w:rPr>
                <w:sz w:val="1"/>
                <w:szCs w:val="1"/>
              </w:rPr>
            </w:pPr>
          </w:p>
        </w:tc>
        <w:tc>
          <w:tcPr>
            <w:tcW w:w="0" w:type="dxa"/>
            <w:vAlign w:val="bottom"/>
          </w:tcPr>
          <w:p w:rsidR="000728AD" w:rsidRDefault="000728AD">
            <w:pPr>
              <w:spacing w:line="20" w:lineRule="exact"/>
              <w:rPr>
                <w:sz w:val="1"/>
                <w:szCs w:val="1"/>
              </w:rPr>
            </w:pPr>
          </w:p>
        </w:tc>
      </w:tr>
      <w:tr w:rsidR="000728AD">
        <w:trPr>
          <w:trHeight w:val="143"/>
        </w:trPr>
        <w:tc>
          <w:tcPr>
            <w:tcW w:w="2800" w:type="dxa"/>
            <w:shd w:val="clear" w:color="auto" w:fill="CCEEFF"/>
            <w:vAlign w:val="bottom"/>
          </w:tcPr>
          <w:p w:rsidR="000728AD" w:rsidRDefault="000561BE">
            <w:pPr>
              <w:spacing w:line="142" w:lineRule="exact"/>
              <w:ind w:left="20"/>
              <w:rPr>
                <w:sz w:val="20"/>
                <w:szCs w:val="20"/>
              </w:rPr>
            </w:pPr>
            <w:r>
              <w:rPr>
                <w:rFonts w:ascii="Arial" w:eastAsia="Arial" w:hAnsi="Arial" w:cs="Arial"/>
                <w:sz w:val="16"/>
                <w:szCs w:val="16"/>
              </w:rPr>
              <w:t>Issuance of common stock, net of</w:t>
            </w:r>
          </w:p>
        </w:tc>
        <w:tc>
          <w:tcPr>
            <w:tcW w:w="1320" w:type="dxa"/>
            <w:vMerge w:val="restart"/>
            <w:shd w:val="clear" w:color="auto" w:fill="CCEEFF"/>
            <w:vAlign w:val="bottom"/>
          </w:tcPr>
          <w:p w:rsidR="000728AD" w:rsidRDefault="000561BE">
            <w:pPr>
              <w:jc w:val="right"/>
              <w:rPr>
                <w:sz w:val="20"/>
                <w:szCs w:val="20"/>
              </w:rPr>
            </w:pPr>
            <w:r>
              <w:rPr>
                <w:rFonts w:ascii="Arial" w:eastAsia="Arial" w:hAnsi="Arial" w:cs="Arial"/>
                <w:sz w:val="18"/>
                <w:szCs w:val="18"/>
              </w:rPr>
              <w:t>126,527</w:t>
            </w:r>
          </w:p>
        </w:tc>
        <w:tc>
          <w:tcPr>
            <w:tcW w:w="80" w:type="dxa"/>
            <w:shd w:val="clear" w:color="auto" w:fill="CCEEFF"/>
            <w:vAlign w:val="bottom"/>
          </w:tcPr>
          <w:p w:rsidR="000728AD" w:rsidRDefault="000728AD">
            <w:pPr>
              <w:rPr>
                <w:sz w:val="12"/>
                <w:szCs w:val="12"/>
              </w:rPr>
            </w:pPr>
          </w:p>
        </w:tc>
        <w:tc>
          <w:tcPr>
            <w:tcW w:w="1040" w:type="dxa"/>
            <w:shd w:val="clear" w:color="auto" w:fill="CCEEFF"/>
            <w:vAlign w:val="bottom"/>
          </w:tcPr>
          <w:p w:rsidR="000728AD" w:rsidRDefault="000728AD">
            <w:pPr>
              <w:rPr>
                <w:sz w:val="12"/>
                <w:szCs w:val="12"/>
              </w:rPr>
            </w:pPr>
          </w:p>
        </w:tc>
        <w:tc>
          <w:tcPr>
            <w:tcW w:w="260" w:type="dxa"/>
            <w:vMerge w:val="restart"/>
            <w:shd w:val="clear" w:color="auto" w:fill="CCEEFF"/>
            <w:vAlign w:val="bottom"/>
          </w:tcPr>
          <w:p w:rsidR="000728AD" w:rsidRDefault="000561BE">
            <w:pPr>
              <w:jc w:val="right"/>
              <w:rPr>
                <w:sz w:val="20"/>
                <w:szCs w:val="20"/>
              </w:rPr>
            </w:pPr>
            <w:r>
              <w:rPr>
                <w:rFonts w:ascii="Arial" w:eastAsia="Arial" w:hAnsi="Arial" w:cs="Arial"/>
                <w:sz w:val="18"/>
                <w:szCs w:val="18"/>
              </w:rPr>
              <w:t>1</w:t>
            </w:r>
          </w:p>
        </w:tc>
        <w:tc>
          <w:tcPr>
            <w:tcW w:w="100" w:type="dxa"/>
            <w:shd w:val="clear" w:color="auto" w:fill="CCEEFF"/>
            <w:vAlign w:val="bottom"/>
          </w:tcPr>
          <w:p w:rsidR="000728AD" w:rsidRDefault="000728AD">
            <w:pPr>
              <w:rPr>
                <w:sz w:val="12"/>
                <w:szCs w:val="12"/>
              </w:rPr>
            </w:pPr>
          </w:p>
        </w:tc>
        <w:tc>
          <w:tcPr>
            <w:tcW w:w="180" w:type="dxa"/>
            <w:shd w:val="clear" w:color="auto" w:fill="CCEEFF"/>
            <w:vAlign w:val="bottom"/>
          </w:tcPr>
          <w:p w:rsidR="000728AD" w:rsidRDefault="000728AD">
            <w:pPr>
              <w:rPr>
                <w:sz w:val="12"/>
                <w:szCs w:val="12"/>
              </w:rPr>
            </w:pPr>
          </w:p>
        </w:tc>
        <w:tc>
          <w:tcPr>
            <w:tcW w:w="1120" w:type="dxa"/>
            <w:vMerge w:val="restart"/>
            <w:shd w:val="clear" w:color="auto" w:fill="CCEEFF"/>
            <w:vAlign w:val="bottom"/>
          </w:tcPr>
          <w:p w:rsidR="000728AD" w:rsidRDefault="000561BE">
            <w:pPr>
              <w:jc w:val="right"/>
              <w:rPr>
                <w:sz w:val="20"/>
                <w:szCs w:val="20"/>
              </w:rPr>
            </w:pPr>
            <w:r>
              <w:rPr>
                <w:rFonts w:ascii="Arial" w:eastAsia="Arial" w:hAnsi="Arial" w:cs="Arial"/>
                <w:sz w:val="18"/>
                <w:szCs w:val="18"/>
              </w:rPr>
              <w:t>555</w:t>
            </w:r>
          </w:p>
        </w:tc>
        <w:tc>
          <w:tcPr>
            <w:tcW w:w="100" w:type="dxa"/>
            <w:shd w:val="clear" w:color="auto" w:fill="CCEEFF"/>
            <w:vAlign w:val="bottom"/>
          </w:tcPr>
          <w:p w:rsidR="000728AD" w:rsidRDefault="000728AD">
            <w:pPr>
              <w:rPr>
                <w:sz w:val="12"/>
                <w:szCs w:val="12"/>
              </w:rPr>
            </w:pPr>
          </w:p>
        </w:tc>
        <w:tc>
          <w:tcPr>
            <w:tcW w:w="120" w:type="dxa"/>
            <w:shd w:val="clear" w:color="auto" w:fill="CCEEFF"/>
            <w:vAlign w:val="bottom"/>
          </w:tcPr>
          <w:p w:rsidR="000728AD" w:rsidRDefault="000728AD">
            <w:pPr>
              <w:rPr>
                <w:sz w:val="12"/>
                <w:szCs w:val="12"/>
              </w:rPr>
            </w:pPr>
          </w:p>
        </w:tc>
        <w:tc>
          <w:tcPr>
            <w:tcW w:w="1280" w:type="dxa"/>
            <w:shd w:val="clear" w:color="auto" w:fill="CCEEFF"/>
            <w:vAlign w:val="bottom"/>
          </w:tcPr>
          <w:p w:rsidR="000728AD" w:rsidRDefault="000728AD">
            <w:pPr>
              <w:rPr>
                <w:sz w:val="12"/>
                <w:szCs w:val="12"/>
              </w:rPr>
            </w:pPr>
          </w:p>
        </w:tc>
        <w:tc>
          <w:tcPr>
            <w:tcW w:w="100" w:type="dxa"/>
            <w:shd w:val="clear" w:color="auto" w:fill="CCEEFF"/>
            <w:vAlign w:val="bottom"/>
          </w:tcPr>
          <w:p w:rsidR="000728AD" w:rsidRDefault="000728AD">
            <w:pPr>
              <w:rPr>
                <w:sz w:val="12"/>
                <w:szCs w:val="12"/>
              </w:rPr>
            </w:pPr>
          </w:p>
        </w:tc>
        <w:tc>
          <w:tcPr>
            <w:tcW w:w="120" w:type="dxa"/>
            <w:shd w:val="clear" w:color="auto" w:fill="CCEEFF"/>
            <w:vAlign w:val="bottom"/>
          </w:tcPr>
          <w:p w:rsidR="000728AD" w:rsidRDefault="000728AD">
            <w:pPr>
              <w:rPr>
                <w:sz w:val="12"/>
                <w:szCs w:val="12"/>
              </w:rPr>
            </w:pPr>
          </w:p>
        </w:tc>
        <w:tc>
          <w:tcPr>
            <w:tcW w:w="1200" w:type="dxa"/>
            <w:shd w:val="clear" w:color="auto" w:fill="CCEEFF"/>
            <w:vAlign w:val="bottom"/>
          </w:tcPr>
          <w:p w:rsidR="000728AD" w:rsidRDefault="000728AD">
            <w:pPr>
              <w:rPr>
                <w:sz w:val="12"/>
                <w:szCs w:val="12"/>
              </w:rPr>
            </w:pPr>
          </w:p>
        </w:tc>
        <w:tc>
          <w:tcPr>
            <w:tcW w:w="100" w:type="dxa"/>
            <w:shd w:val="clear" w:color="auto" w:fill="CCEEFF"/>
            <w:vAlign w:val="bottom"/>
          </w:tcPr>
          <w:p w:rsidR="000728AD" w:rsidRDefault="000728AD">
            <w:pPr>
              <w:rPr>
                <w:sz w:val="12"/>
                <w:szCs w:val="12"/>
              </w:rPr>
            </w:pPr>
          </w:p>
        </w:tc>
        <w:tc>
          <w:tcPr>
            <w:tcW w:w="120" w:type="dxa"/>
            <w:shd w:val="clear" w:color="auto" w:fill="CCEEFF"/>
            <w:vAlign w:val="bottom"/>
          </w:tcPr>
          <w:p w:rsidR="000728AD" w:rsidRDefault="000728AD">
            <w:pPr>
              <w:rPr>
                <w:sz w:val="12"/>
                <w:szCs w:val="12"/>
              </w:rPr>
            </w:pPr>
          </w:p>
        </w:tc>
        <w:tc>
          <w:tcPr>
            <w:tcW w:w="1200" w:type="dxa"/>
            <w:vMerge w:val="restart"/>
            <w:shd w:val="clear" w:color="auto" w:fill="CCEEFF"/>
            <w:vAlign w:val="bottom"/>
          </w:tcPr>
          <w:p w:rsidR="000728AD" w:rsidRDefault="000561BE">
            <w:pPr>
              <w:jc w:val="right"/>
              <w:rPr>
                <w:sz w:val="20"/>
                <w:szCs w:val="20"/>
              </w:rPr>
            </w:pPr>
            <w:r>
              <w:rPr>
                <w:rFonts w:ascii="Arial" w:eastAsia="Arial" w:hAnsi="Arial" w:cs="Arial"/>
                <w:sz w:val="18"/>
                <w:szCs w:val="18"/>
              </w:rPr>
              <w:t>556</w:t>
            </w:r>
          </w:p>
        </w:tc>
        <w:tc>
          <w:tcPr>
            <w:tcW w:w="0" w:type="dxa"/>
            <w:vAlign w:val="bottom"/>
          </w:tcPr>
          <w:p w:rsidR="000728AD" w:rsidRDefault="000728AD">
            <w:pPr>
              <w:rPr>
                <w:sz w:val="1"/>
                <w:szCs w:val="1"/>
              </w:rPr>
            </w:pPr>
          </w:p>
        </w:tc>
      </w:tr>
      <w:tr w:rsidR="000728AD">
        <w:trPr>
          <w:trHeight w:val="229"/>
        </w:trPr>
        <w:tc>
          <w:tcPr>
            <w:tcW w:w="2800" w:type="dxa"/>
            <w:shd w:val="clear" w:color="auto" w:fill="CCEEFF"/>
            <w:vAlign w:val="bottom"/>
          </w:tcPr>
          <w:p w:rsidR="000728AD" w:rsidRDefault="000561BE">
            <w:pPr>
              <w:ind w:left="20"/>
              <w:rPr>
                <w:sz w:val="20"/>
                <w:szCs w:val="20"/>
              </w:rPr>
            </w:pPr>
            <w:r>
              <w:rPr>
                <w:rFonts w:ascii="Arial" w:eastAsia="Arial" w:hAnsi="Arial" w:cs="Arial"/>
                <w:sz w:val="18"/>
                <w:szCs w:val="18"/>
              </w:rPr>
              <w:t>issuance costs of $71</w:t>
            </w:r>
          </w:p>
        </w:tc>
        <w:tc>
          <w:tcPr>
            <w:tcW w:w="1320" w:type="dxa"/>
            <w:vMerge/>
            <w:shd w:val="clear" w:color="auto" w:fill="CCEEFF"/>
            <w:vAlign w:val="bottom"/>
          </w:tcPr>
          <w:p w:rsidR="000728AD" w:rsidRDefault="000728AD">
            <w:pPr>
              <w:rPr>
                <w:sz w:val="19"/>
                <w:szCs w:val="19"/>
              </w:rPr>
            </w:pPr>
          </w:p>
        </w:tc>
        <w:tc>
          <w:tcPr>
            <w:tcW w:w="80" w:type="dxa"/>
            <w:shd w:val="clear" w:color="auto" w:fill="CCEEFF"/>
            <w:vAlign w:val="bottom"/>
          </w:tcPr>
          <w:p w:rsidR="000728AD" w:rsidRDefault="000728AD">
            <w:pPr>
              <w:rPr>
                <w:sz w:val="19"/>
                <w:szCs w:val="19"/>
              </w:rPr>
            </w:pPr>
          </w:p>
        </w:tc>
        <w:tc>
          <w:tcPr>
            <w:tcW w:w="1040" w:type="dxa"/>
            <w:shd w:val="clear" w:color="auto" w:fill="CCEEFF"/>
            <w:vAlign w:val="bottom"/>
          </w:tcPr>
          <w:p w:rsidR="000728AD" w:rsidRDefault="000728AD">
            <w:pPr>
              <w:rPr>
                <w:sz w:val="19"/>
                <w:szCs w:val="19"/>
              </w:rPr>
            </w:pPr>
          </w:p>
        </w:tc>
        <w:tc>
          <w:tcPr>
            <w:tcW w:w="260" w:type="dxa"/>
            <w:vMerge/>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180" w:type="dxa"/>
            <w:shd w:val="clear" w:color="auto" w:fill="CCEEFF"/>
            <w:vAlign w:val="bottom"/>
          </w:tcPr>
          <w:p w:rsidR="000728AD" w:rsidRDefault="000728AD">
            <w:pPr>
              <w:rPr>
                <w:sz w:val="19"/>
                <w:szCs w:val="19"/>
              </w:rPr>
            </w:pPr>
          </w:p>
        </w:tc>
        <w:tc>
          <w:tcPr>
            <w:tcW w:w="1120" w:type="dxa"/>
            <w:vMerge/>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120" w:type="dxa"/>
            <w:shd w:val="clear" w:color="auto" w:fill="CCEEFF"/>
            <w:vAlign w:val="bottom"/>
          </w:tcPr>
          <w:p w:rsidR="000728AD" w:rsidRDefault="000728AD">
            <w:pPr>
              <w:rPr>
                <w:sz w:val="19"/>
                <w:szCs w:val="19"/>
              </w:rPr>
            </w:pPr>
          </w:p>
        </w:tc>
        <w:tc>
          <w:tcPr>
            <w:tcW w:w="1280" w:type="dxa"/>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120" w:type="dxa"/>
            <w:shd w:val="clear" w:color="auto" w:fill="CCEEFF"/>
            <w:vAlign w:val="bottom"/>
          </w:tcPr>
          <w:p w:rsidR="000728AD" w:rsidRDefault="000728AD">
            <w:pPr>
              <w:rPr>
                <w:sz w:val="19"/>
                <w:szCs w:val="19"/>
              </w:rPr>
            </w:pPr>
          </w:p>
        </w:tc>
        <w:tc>
          <w:tcPr>
            <w:tcW w:w="1200" w:type="dxa"/>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120" w:type="dxa"/>
            <w:shd w:val="clear" w:color="auto" w:fill="CCEEFF"/>
            <w:vAlign w:val="bottom"/>
          </w:tcPr>
          <w:p w:rsidR="000728AD" w:rsidRDefault="000728AD">
            <w:pPr>
              <w:rPr>
                <w:sz w:val="19"/>
                <w:szCs w:val="19"/>
              </w:rPr>
            </w:pPr>
          </w:p>
        </w:tc>
        <w:tc>
          <w:tcPr>
            <w:tcW w:w="1200" w:type="dxa"/>
            <w:vMerge/>
            <w:shd w:val="clear" w:color="auto" w:fill="CCEEFF"/>
            <w:vAlign w:val="bottom"/>
          </w:tcPr>
          <w:p w:rsidR="000728AD" w:rsidRDefault="000728AD">
            <w:pPr>
              <w:rPr>
                <w:sz w:val="19"/>
                <w:szCs w:val="19"/>
              </w:rPr>
            </w:pPr>
          </w:p>
        </w:tc>
        <w:tc>
          <w:tcPr>
            <w:tcW w:w="0" w:type="dxa"/>
            <w:vAlign w:val="bottom"/>
          </w:tcPr>
          <w:p w:rsidR="000728AD" w:rsidRDefault="000728AD">
            <w:pPr>
              <w:rPr>
                <w:sz w:val="1"/>
                <w:szCs w:val="1"/>
              </w:rPr>
            </w:pPr>
          </w:p>
        </w:tc>
      </w:tr>
      <w:tr w:rsidR="000728AD">
        <w:trPr>
          <w:trHeight w:val="230"/>
        </w:trPr>
        <w:tc>
          <w:tcPr>
            <w:tcW w:w="2800" w:type="dxa"/>
            <w:vAlign w:val="bottom"/>
          </w:tcPr>
          <w:p w:rsidR="000728AD" w:rsidRDefault="000561BE">
            <w:pPr>
              <w:ind w:left="20"/>
              <w:rPr>
                <w:sz w:val="20"/>
                <w:szCs w:val="20"/>
              </w:rPr>
            </w:pPr>
            <w:r>
              <w:rPr>
                <w:rFonts w:ascii="Arial" w:eastAsia="Arial" w:hAnsi="Arial" w:cs="Arial"/>
                <w:sz w:val="18"/>
                <w:szCs w:val="18"/>
              </w:rPr>
              <w:t>Exercise of common stock options</w:t>
            </w:r>
          </w:p>
        </w:tc>
        <w:tc>
          <w:tcPr>
            <w:tcW w:w="1320" w:type="dxa"/>
            <w:vAlign w:val="bottom"/>
          </w:tcPr>
          <w:p w:rsidR="000728AD" w:rsidRDefault="000561BE">
            <w:pPr>
              <w:jc w:val="right"/>
              <w:rPr>
                <w:sz w:val="20"/>
                <w:szCs w:val="20"/>
              </w:rPr>
            </w:pPr>
            <w:r>
              <w:rPr>
                <w:rFonts w:ascii="Arial" w:eastAsia="Arial" w:hAnsi="Arial" w:cs="Arial"/>
                <w:sz w:val="18"/>
                <w:szCs w:val="18"/>
              </w:rPr>
              <w:t>3,257</w:t>
            </w:r>
          </w:p>
        </w:tc>
        <w:tc>
          <w:tcPr>
            <w:tcW w:w="80" w:type="dxa"/>
            <w:vAlign w:val="bottom"/>
          </w:tcPr>
          <w:p w:rsidR="000728AD" w:rsidRDefault="000728AD">
            <w:pPr>
              <w:rPr>
                <w:sz w:val="19"/>
                <w:szCs w:val="19"/>
              </w:rPr>
            </w:pPr>
          </w:p>
        </w:tc>
        <w:tc>
          <w:tcPr>
            <w:tcW w:w="1040" w:type="dxa"/>
            <w:vAlign w:val="bottom"/>
          </w:tcPr>
          <w:p w:rsidR="000728AD" w:rsidRDefault="000728AD">
            <w:pPr>
              <w:rPr>
                <w:sz w:val="19"/>
                <w:szCs w:val="19"/>
              </w:rPr>
            </w:pPr>
          </w:p>
        </w:tc>
        <w:tc>
          <w:tcPr>
            <w:tcW w:w="360" w:type="dxa"/>
            <w:gridSpan w:val="2"/>
            <w:vAlign w:val="bottom"/>
          </w:tcPr>
          <w:p w:rsidR="000728AD" w:rsidRDefault="000561BE">
            <w:pPr>
              <w:ind w:right="160"/>
              <w:jc w:val="right"/>
              <w:rPr>
                <w:sz w:val="20"/>
                <w:szCs w:val="20"/>
              </w:rPr>
            </w:pPr>
            <w:r>
              <w:rPr>
                <w:rFonts w:ascii="Arial" w:eastAsia="Arial" w:hAnsi="Arial" w:cs="Arial"/>
                <w:w w:val="99"/>
                <w:sz w:val="18"/>
                <w:szCs w:val="18"/>
              </w:rPr>
              <w:t>—</w:t>
            </w:r>
          </w:p>
        </w:tc>
        <w:tc>
          <w:tcPr>
            <w:tcW w:w="180" w:type="dxa"/>
            <w:vAlign w:val="bottom"/>
          </w:tcPr>
          <w:p w:rsidR="000728AD" w:rsidRDefault="000728AD">
            <w:pPr>
              <w:rPr>
                <w:sz w:val="19"/>
                <w:szCs w:val="19"/>
              </w:rPr>
            </w:pPr>
          </w:p>
        </w:tc>
        <w:tc>
          <w:tcPr>
            <w:tcW w:w="1120" w:type="dxa"/>
            <w:vAlign w:val="bottom"/>
          </w:tcPr>
          <w:p w:rsidR="000728AD" w:rsidRDefault="000561BE">
            <w:pPr>
              <w:jc w:val="right"/>
              <w:rPr>
                <w:sz w:val="20"/>
                <w:szCs w:val="20"/>
              </w:rPr>
            </w:pPr>
            <w:r>
              <w:rPr>
                <w:rFonts w:ascii="Arial" w:eastAsia="Arial" w:hAnsi="Arial" w:cs="Arial"/>
                <w:sz w:val="18"/>
                <w:szCs w:val="18"/>
              </w:rPr>
              <w:t>6</w:t>
            </w:r>
          </w:p>
        </w:tc>
        <w:tc>
          <w:tcPr>
            <w:tcW w:w="100" w:type="dxa"/>
            <w:vAlign w:val="bottom"/>
          </w:tcPr>
          <w:p w:rsidR="000728AD" w:rsidRDefault="000728AD">
            <w:pPr>
              <w:rPr>
                <w:sz w:val="19"/>
                <w:szCs w:val="19"/>
              </w:rPr>
            </w:pPr>
          </w:p>
        </w:tc>
        <w:tc>
          <w:tcPr>
            <w:tcW w:w="120" w:type="dxa"/>
            <w:vAlign w:val="bottom"/>
          </w:tcPr>
          <w:p w:rsidR="000728AD" w:rsidRDefault="000728AD">
            <w:pPr>
              <w:rPr>
                <w:sz w:val="19"/>
                <w:szCs w:val="19"/>
              </w:rPr>
            </w:pPr>
          </w:p>
        </w:tc>
        <w:tc>
          <w:tcPr>
            <w:tcW w:w="128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120" w:type="dxa"/>
            <w:vAlign w:val="bottom"/>
          </w:tcPr>
          <w:p w:rsidR="000728AD" w:rsidRDefault="000728AD">
            <w:pPr>
              <w:rPr>
                <w:sz w:val="19"/>
                <w:szCs w:val="19"/>
              </w:rPr>
            </w:pPr>
          </w:p>
        </w:tc>
        <w:tc>
          <w:tcPr>
            <w:tcW w:w="120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120" w:type="dxa"/>
            <w:vAlign w:val="bottom"/>
          </w:tcPr>
          <w:p w:rsidR="000728AD" w:rsidRDefault="000728AD">
            <w:pPr>
              <w:rPr>
                <w:sz w:val="19"/>
                <w:szCs w:val="19"/>
              </w:rPr>
            </w:pPr>
          </w:p>
        </w:tc>
        <w:tc>
          <w:tcPr>
            <w:tcW w:w="1200" w:type="dxa"/>
            <w:vAlign w:val="bottom"/>
          </w:tcPr>
          <w:p w:rsidR="000728AD" w:rsidRDefault="000561BE">
            <w:pPr>
              <w:jc w:val="right"/>
              <w:rPr>
                <w:sz w:val="20"/>
                <w:szCs w:val="20"/>
              </w:rPr>
            </w:pPr>
            <w:r>
              <w:rPr>
                <w:rFonts w:ascii="Arial" w:eastAsia="Arial" w:hAnsi="Arial" w:cs="Arial"/>
                <w:sz w:val="18"/>
                <w:szCs w:val="18"/>
              </w:rPr>
              <w:t>6</w:t>
            </w:r>
          </w:p>
        </w:tc>
        <w:tc>
          <w:tcPr>
            <w:tcW w:w="0" w:type="dxa"/>
            <w:vAlign w:val="bottom"/>
          </w:tcPr>
          <w:p w:rsidR="000728AD" w:rsidRDefault="000728AD">
            <w:pPr>
              <w:rPr>
                <w:sz w:val="1"/>
                <w:szCs w:val="1"/>
              </w:rPr>
            </w:pPr>
          </w:p>
        </w:tc>
      </w:tr>
      <w:tr w:rsidR="000728AD">
        <w:trPr>
          <w:trHeight w:val="229"/>
        </w:trPr>
        <w:tc>
          <w:tcPr>
            <w:tcW w:w="2800" w:type="dxa"/>
            <w:shd w:val="clear" w:color="auto" w:fill="CCEEFF"/>
            <w:vAlign w:val="bottom"/>
          </w:tcPr>
          <w:p w:rsidR="000728AD" w:rsidRDefault="000561BE">
            <w:pPr>
              <w:ind w:left="20"/>
              <w:rPr>
                <w:sz w:val="20"/>
                <w:szCs w:val="20"/>
              </w:rPr>
            </w:pPr>
            <w:r>
              <w:rPr>
                <w:rFonts w:ascii="Arial" w:eastAsia="Arial" w:hAnsi="Arial" w:cs="Arial"/>
                <w:sz w:val="18"/>
                <w:szCs w:val="18"/>
              </w:rPr>
              <w:t>Vesting of restricted stock units</w:t>
            </w:r>
          </w:p>
        </w:tc>
        <w:tc>
          <w:tcPr>
            <w:tcW w:w="1320" w:type="dxa"/>
            <w:shd w:val="clear" w:color="auto" w:fill="CCEEFF"/>
            <w:vAlign w:val="bottom"/>
          </w:tcPr>
          <w:p w:rsidR="000728AD" w:rsidRDefault="000561BE">
            <w:pPr>
              <w:jc w:val="right"/>
              <w:rPr>
                <w:sz w:val="20"/>
                <w:szCs w:val="20"/>
              </w:rPr>
            </w:pPr>
            <w:r>
              <w:rPr>
                <w:rFonts w:ascii="Arial" w:eastAsia="Arial" w:hAnsi="Arial" w:cs="Arial"/>
                <w:sz w:val="18"/>
                <w:szCs w:val="18"/>
              </w:rPr>
              <w:t>4,604</w:t>
            </w:r>
          </w:p>
        </w:tc>
        <w:tc>
          <w:tcPr>
            <w:tcW w:w="80" w:type="dxa"/>
            <w:shd w:val="clear" w:color="auto" w:fill="CCEEFF"/>
            <w:vAlign w:val="bottom"/>
          </w:tcPr>
          <w:p w:rsidR="000728AD" w:rsidRDefault="000728AD">
            <w:pPr>
              <w:rPr>
                <w:sz w:val="19"/>
                <w:szCs w:val="19"/>
              </w:rPr>
            </w:pPr>
          </w:p>
        </w:tc>
        <w:tc>
          <w:tcPr>
            <w:tcW w:w="1040" w:type="dxa"/>
            <w:shd w:val="clear" w:color="auto" w:fill="CCEEFF"/>
            <w:vAlign w:val="bottom"/>
          </w:tcPr>
          <w:p w:rsidR="000728AD" w:rsidRDefault="000728AD">
            <w:pPr>
              <w:rPr>
                <w:sz w:val="19"/>
                <w:szCs w:val="19"/>
              </w:rPr>
            </w:pPr>
          </w:p>
        </w:tc>
        <w:tc>
          <w:tcPr>
            <w:tcW w:w="360" w:type="dxa"/>
            <w:gridSpan w:val="2"/>
            <w:shd w:val="clear" w:color="auto" w:fill="CCEEFF"/>
            <w:vAlign w:val="bottom"/>
          </w:tcPr>
          <w:p w:rsidR="000728AD" w:rsidRDefault="000561BE">
            <w:pPr>
              <w:ind w:right="160"/>
              <w:jc w:val="right"/>
              <w:rPr>
                <w:sz w:val="20"/>
                <w:szCs w:val="20"/>
              </w:rPr>
            </w:pPr>
            <w:r>
              <w:rPr>
                <w:rFonts w:ascii="Arial" w:eastAsia="Arial" w:hAnsi="Arial" w:cs="Arial"/>
                <w:w w:val="99"/>
                <w:sz w:val="18"/>
                <w:szCs w:val="18"/>
              </w:rPr>
              <w:t>—</w:t>
            </w:r>
          </w:p>
        </w:tc>
        <w:tc>
          <w:tcPr>
            <w:tcW w:w="180" w:type="dxa"/>
            <w:shd w:val="clear" w:color="auto" w:fill="CCEEFF"/>
            <w:vAlign w:val="bottom"/>
          </w:tcPr>
          <w:p w:rsidR="000728AD" w:rsidRDefault="000728AD">
            <w:pPr>
              <w:rPr>
                <w:sz w:val="19"/>
                <w:szCs w:val="19"/>
              </w:rPr>
            </w:pPr>
          </w:p>
        </w:tc>
        <w:tc>
          <w:tcPr>
            <w:tcW w:w="1220" w:type="dxa"/>
            <w:gridSpan w:val="2"/>
            <w:shd w:val="clear" w:color="auto" w:fill="CCEEFF"/>
            <w:vAlign w:val="bottom"/>
          </w:tcPr>
          <w:p w:rsidR="000728AD" w:rsidRDefault="000561BE">
            <w:pPr>
              <w:ind w:right="160"/>
              <w:jc w:val="right"/>
              <w:rPr>
                <w:sz w:val="20"/>
                <w:szCs w:val="20"/>
              </w:rPr>
            </w:pPr>
            <w:r>
              <w:rPr>
                <w:rFonts w:ascii="Arial" w:eastAsia="Arial" w:hAnsi="Arial" w:cs="Arial"/>
                <w:sz w:val="18"/>
                <w:szCs w:val="18"/>
              </w:rPr>
              <w:t>—</w:t>
            </w:r>
          </w:p>
        </w:tc>
        <w:tc>
          <w:tcPr>
            <w:tcW w:w="120" w:type="dxa"/>
            <w:shd w:val="clear" w:color="auto" w:fill="CCEEFF"/>
            <w:vAlign w:val="bottom"/>
          </w:tcPr>
          <w:p w:rsidR="000728AD" w:rsidRDefault="000728AD">
            <w:pPr>
              <w:rPr>
                <w:sz w:val="19"/>
                <w:szCs w:val="19"/>
              </w:rPr>
            </w:pPr>
          </w:p>
        </w:tc>
        <w:tc>
          <w:tcPr>
            <w:tcW w:w="1280" w:type="dxa"/>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120" w:type="dxa"/>
            <w:shd w:val="clear" w:color="auto" w:fill="CCEEFF"/>
            <w:vAlign w:val="bottom"/>
          </w:tcPr>
          <w:p w:rsidR="000728AD" w:rsidRDefault="000728AD">
            <w:pPr>
              <w:rPr>
                <w:sz w:val="19"/>
                <w:szCs w:val="19"/>
              </w:rPr>
            </w:pPr>
          </w:p>
        </w:tc>
        <w:tc>
          <w:tcPr>
            <w:tcW w:w="1200" w:type="dxa"/>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120" w:type="dxa"/>
            <w:shd w:val="clear" w:color="auto" w:fill="CCEEFF"/>
            <w:vAlign w:val="bottom"/>
          </w:tcPr>
          <w:p w:rsidR="000728AD" w:rsidRDefault="000728AD">
            <w:pPr>
              <w:rPr>
                <w:sz w:val="19"/>
                <w:szCs w:val="19"/>
              </w:rPr>
            </w:pPr>
          </w:p>
        </w:tc>
        <w:tc>
          <w:tcPr>
            <w:tcW w:w="1200" w:type="dxa"/>
            <w:shd w:val="clear" w:color="auto" w:fill="CCEEFF"/>
            <w:vAlign w:val="bottom"/>
          </w:tcPr>
          <w:p w:rsidR="000728AD" w:rsidRDefault="000561BE">
            <w:pPr>
              <w:jc w:val="right"/>
              <w:rPr>
                <w:sz w:val="20"/>
                <w:szCs w:val="20"/>
              </w:rPr>
            </w:pPr>
            <w:r>
              <w:rPr>
                <w:rFonts w:ascii="Arial" w:eastAsia="Arial" w:hAnsi="Arial" w:cs="Arial"/>
                <w:sz w:val="18"/>
                <w:szCs w:val="18"/>
              </w:rPr>
              <w:t>—</w:t>
            </w:r>
          </w:p>
        </w:tc>
        <w:tc>
          <w:tcPr>
            <w:tcW w:w="0" w:type="dxa"/>
            <w:vAlign w:val="bottom"/>
          </w:tcPr>
          <w:p w:rsidR="000728AD" w:rsidRDefault="000728AD">
            <w:pPr>
              <w:rPr>
                <w:sz w:val="1"/>
                <w:szCs w:val="1"/>
              </w:rPr>
            </w:pPr>
          </w:p>
        </w:tc>
      </w:tr>
      <w:tr w:rsidR="000728AD">
        <w:trPr>
          <w:trHeight w:val="176"/>
        </w:trPr>
        <w:tc>
          <w:tcPr>
            <w:tcW w:w="2800" w:type="dxa"/>
            <w:vAlign w:val="bottom"/>
          </w:tcPr>
          <w:p w:rsidR="000728AD" w:rsidRDefault="000561BE">
            <w:pPr>
              <w:spacing w:line="176" w:lineRule="exact"/>
              <w:ind w:left="20"/>
              <w:rPr>
                <w:sz w:val="20"/>
                <w:szCs w:val="20"/>
              </w:rPr>
            </w:pPr>
            <w:r>
              <w:rPr>
                <w:rFonts w:ascii="Arial" w:eastAsia="Arial" w:hAnsi="Arial" w:cs="Arial"/>
                <w:w w:val="94"/>
                <w:sz w:val="18"/>
                <w:szCs w:val="18"/>
              </w:rPr>
              <w:t xml:space="preserve">Issuance of </w:t>
            </w:r>
            <w:r>
              <w:rPr>
                <w:rFonts w:ascii="Arial" w:eastAsia="Arial" w:hAnsi="Arial" w:cs="Arial"/>
                <w:w w:val="94"/>
                <w:sz w:val="18"/>
                <w:szCs w:val="18"/>
              </w:rPr>
              <w:t>common stock related to</w:t>
            </w:r>
          </w:p>
        </w:tc>
        <w:tc>
          <w:tcPr>
            <w:tcW w:w="1320" w:type="dxa"/>
            <w:vMerge w:val="restart"/>
            <w:vAlign w:val="bottom"/>
          </w:tcPr>
          <w:p w:rsidR="000728AD" w:rsidRDefault="000561BE">
            <w:pPr>
              <w:jc w:val="right"/>
              <w:rPr>
                <w:sz w:val="20"/>
                <w:szCs w:val="20"/>
              </w:rPr>
            </w:pPr>
            <w:r>
              <w:rPr>
                <w:rFonts w:ascii="Arial" w:eastAsia="Arial" w:hAnsi="Arial" w:cs="Arial"/>
                <w:sz w:val="18"/>
                <w:szCs w:val="18"/>
              </w:rPr>
              <w:t>30,465</w:t>
            </w:r>
          </w:p>
        </w:tc>
        <w:tc>
          <w:tcPr>
            <w:tcW w:w="80" w:type="dxa"/>
            <w:vAlign w:val="bottom"/>
          </w:tcPr>
          <w:p w:rsidR="000728AD" w:rsidRDefault="000728AD">
            <w:pPr>
              <w:rPr>
                <w:sz w:val="15"/>
                <w:szCs w:val="15"/>
              </w:rPr>
            </w:pPr>
          </w:p>
        </w:tc>
        <w:tc>
          <w:tcPr>
            <w:tcW w:w="1040" w:type="dxa"/>
            <w:vAlign w:val="bottom"/>
          </w:tcPr>
          <w:p w:rsidR="000728AD" w:rsidRDefault="000728AD">
            <w:pPr>
              <w:rPr>
                <w:sz w:val="15"/>
                <w:szCs w:val="15"/>
              </w:rPr>
            </w:pPr>
          </w:p>
        </w:tc>
        <w:tc>
          <w:tcPr>
            <w:tcW w:w="360" w:type="dxa"/>
            <w:gridSpan w:val="2"/>
            <w:vMerge w:val="restart"/>
            <w:vAlign w:val="bottom"/>
          </w:tcPr>
          <w:p w:rsidR="000728AD" w:rsidRDefault="000561BE">
            <w:pPr>
              <w:ind w:right="160"/>
              <w:jc w:val="right"/>
              <w:rPr>
                <w:sz w:val="20"/>
                <w:szCs w:val="20"/>
              </w:rPr>
            </w:pPr>
            <w:r>
              <w:rPr>
                <w:rFonts w:ascii="Arial" w:eastAsia="Arial" w:hAnsi="Arial" w:cs="Arial"/>
                <w:w w:val="99"/>
                <w:sz w:val="18"/>
                <w:szCs w:val="18"/>
              </w:rPr>
              <w:t>—</w:t>
            </w:r>
          </w:p>
        </w:tc>
        <w:tc>
          <w:tcPr>
            <w:tcW w:w="180" w:type="dxa"/>
            <w:vAlign w:val="bottom"/>
          </w:tcPr>
          <w:p w:rsidR="000728AD" w:rsidRDefault="000728AD">
            <w:pPr>
              <w:rPr>
                <w:sz w:val="15"/>
                <w:szCs w:val="15"/>
              </w:rPr>
            </w:pPr>
          </w:p>
        </w:tc>
        <w:tc>
          <w:tcPr>
            <w:tcW w:w="1120" w:type="dxa"/>
            <w:vMerge w:val="restart"/>
            <w:vAlign w:val="bottom"/>
          </w:tcPr>
          <w:p w:rsidR="000728AD" w:rsidRDefault="000561BE">
            <w:pPr>
              <w:jc w:val="right"/>
              <w:rPr>
                <w:sz w:val="20"/>
                <w:szCs w:val="20"/>
              </w:rPr>
            </w:pPr>
            <w:r>
              <w:rPr>
                <w:rFonts w:ascii="Arial" w:eastAsia="Arial" w:hAnsi="Arial" w:cs="Arial"/>
                <w:sz w:val="18"/>
                <w:szCs w:val="18"/>
              </w:rPr>
              <w:t>107</w:t>
            </w:r>
          </w:p>
        </w:tc>
        <w:tc>
          <w:tcPr>
            <w:tcW w:w="100" w:type="dxa"/>
            <w:vAlign w:val="bottom"/>
          </w:tcPr>
          <w:p w:rsidR="000728AD" w:rsidRDefault="000728AD">
            <w:pPr>
              <w:rPr>
                <w:sz w:val="15"/>
                <w:szCs w:val="15"/>
              </w:rPr>
            </w:pPr>
          </w:p>
        </w:tc>
        <w:tc>
          <w:tcPr>
            <w:tcW w:w="120" w:type="dxa"/>
            <w:vAlign w:val="bottom"/>
          </w:tcPr>
          <w:p w:rsidR="000728AD" w:rsidRDefault="000728AD">
            <w:pPr>
              <w:rPr>
                <w:sz w:val="15"/>
                <w:szCs w:val="15"/>
              </w:rPr>
            </w:pPr>
          </w:p>
        </w:tc>
        <w:tc>
          <w:tcPr>
            <w:tcW w:w="1280" w:type="dxa"/>
            <w:vAlign w:val="bottom"/>
          </w:tcPr>
          <w:p w:rsidR="000728AD" w:rsidRDefault="000728AD">
            <w:pPr>
              <w:rPr>
                <w:sz w:val="15"/>
                <w:szCs w:val="15"/>
              </w:rPr>
            </w:pPr>
          </w:p>
        </w:tc>
        <w:tc>
          <w:tcPr>
            <w:tcW w:w="100" w:type="dxa"/>
            <w:vAlign w:val="bottom"/>
          </w:tcPr>
          <w:p w:rsidR="000728AD" w:rsidRDefault="000728AD">
            <w:pPr>
              <w:rPr>
                <w:sz w:val="15"/>
                <w:szCs w:val="15"/>
              </w:rPr>
            </w:pPr>
          </w:p>
        </w:tc>
        <w:tc>
          <w:tcPr>
            <w:tcW w:w="120" w:type="dxa"/>
            <w:vAlign w:val="bottom"/>
          </w:tcPr>
          <w:p w:rsidR="000728AD" w:rsidRDefault="000728AD">
            <w:pPr>
              <w:rPr>
                <w:sz w:val="15"/>
                <w:szCs w:val="15"/>
              </w:rPr>
            </w:pPr>
          </w:p>
        </w:tc>
        <w:tc>
          <w:tcPr>
            <w:tcW w:w="1200" w:type="dxa"/>
            <w:vAlign w:val="bottom"/>
          </w:tcPr>
          <w:p w:rsidR="000728AD" w:rsidRDefault="000728AD">
            <w:pPr>
              <w:rPr>
                <w:sz w:val="15"/>
                <w:szCs w:val="15"/>
              </w:rPr>
            </w:pPr>
          </w:p>
        </w:tc>
        <w:tc>
          <w:tcPr>
            <w:tcW w:w="100" w:type="dxa"/>
            <w:vAlign w:val="bottom"/>
          </w:tcPr>
          <w:p w:rsidR="000728AD" w:rsidRDefault="000728AD">
            <w:pPr>
              <w:rPr>
                <w:sz w:val="15"/>
                <w:szCs w:val="15"/>
              </w:rPr>
            </w:pPr>
          </w:p>
        </w:tc>
        <w:tc>
          <w:tcPr>
            <w:tcW w:w="120" w:type="dxa"/>
            <w:vAlign w:val="bottom"/>
          </w:tcPr>
          <w:p w:rsidR="000728AD" w:rsidRDefault="000728AD">
            <w:pPr>
              <w:rPr>
                <w:sz w:val="15"/>
                <w:szCs w:val="15"/>
              </w:rPr>
            </w:pPr>
          </w:p>
        </w:tc>
        <w:tc>
          <w:tcPr>
            <w:tcW w:w="1200" w:type="dxa"/>
            <w:vMerge w:val="restart"/>
            <w:vAlign w:val="bottom"/>
          </w:tcPr>
          <w:p w:rsidR="000728AD" w:rsidRDefault="000561BE">
            <w:pPr>
              <w:jc w:val="right"/>
              <w:rPr>
                <w:sz w:val="20"/>
                <w:szCs w:val="20"/>
              </w:rPr>
            </w:pPr>
            <w:r>
              <w:rPr>
                <w:rFonts w:ascii="Arial" w:eastAsia="Arial" w:hAnsi="Arial" w:cs="Arial"/>
                <w:sz w:val="18"/>
                <w:szCs w:val="18"/>
              </w:rPr>
              <w:t>107</w:t>
            </w:r>
          </w:p>
        </w:tc>
        <w:tc>
          <w:tcPr>
            <w:tcW w:w="0" w:type="dxa"/>
            <w:vAlign w:val="bottom"/>
          </w:tcPr>
          <w:p w:rsidR="000728AD" w:rsidRDefault="000728AD">
            <w:pPr>
              <w:rPr>
                <w:sz w:val="1"/>
                <w:szCs w:val="1"/>
              </w:rPr>
            </w:pPr>
          </w:p>
        </w:tc>
      </w:tr>
      <w:tr w:rsidR="000728AD">
        <w:trPr>
          <w:trHeight w:val="229"/>
        </w:trPr>
        <w:tc>
          <w:tcPr>
            <w:tcW w:w="2800" w:type="dxa"/>
            <w:vAlign w:val="bottom"/>
          </w:tcPr>
          <w:p w:rsidR="000728AD" w:rsidRDefault="000561BE">
            <w:pPr>
              <w:ind w:left="20"/>
              <w:rPr>
                <w:sz w:val="20"/>
                <w:szCs w:val="20"/>
              </w:rPr>
            </w:pPr>
            <w:r>
              <w:rPr>
                <w:rFonts w:ascii="Arial" w:eastAsia="Arial" w:hAnsi="Arial" w:cs="Arial"/>
                <w:sz w:val="18"/>
                <w:szCs w:val="18"/>
              </w:rPr>
              <w:t>ESPP</w:t>
            </w:r>
          </w:p>
        </w:tc>
        <w:tc>
          <w:tcPr>
            <w:tcW w:w="1320" w:type="dxa"/>
            <w:vMerge/>
            <w:vAlign w:val="bottom"/>
          </w:tcPr>
          <w:p w:rsidR="000728AD" w:rsidRDefault="000728AD">
            <w:pPr>
              <w:rPr>
                <w:sz w:val="19"/>
                <w:szCs w:val="19"/>
              </w:rPr>
            </w:pPr>
          </w:p>
        </w:tc>
        <w:tc>
          <w:tcPr>
            <w:tcW w:w="80" w:type="dxa"/>
            <w:vAlign w:val="bottom"/>
          </w:tcPr>
          <w:p w:rsidR="000728AD" w:rsidRDefault="000728AD">
            <w:pPr>
              <w:rPr>
                <w:sz w:val="19"/>
                <w:szCs w:val="19"/>
              </w:rPr>
            </w:pPr>
          </w:p>
        </w:tc>
        <w:tc>
          <w:tcPr>
            <w:tcW w:w="1040" w:type="dxa"/>
            <w:vAlign w:val="bottom"/>
          </w:tcPr>
          <w:p w:rsidR="000728AD" w:rsidRDefault="000728AD">
            <w:pPr>
              <w:rPr>
                <w:sz w:val="19"/>
                <w:szCs w:val="19"/>
              </w:rPr>
            </w:pPr>
          </w:p>
        </w:tc>
        <w:tc>
          <w:tcPr>
            <w:tcW w:w="360" w:type="dxa"/>
            <w:gridSpan w:val="2"/>
            <w:vMerge/>
            <w:vAlign w:val="bottom"/>
          </w:tcPr>
          <w:p w:rsidR="000728AD" w:rsidRDefault="000728AD">
            <w:pPr>
              <w:rPr>
                <w:sz w:val="19"/>
                <w:szCs w:val="19"/>
              </w:rPr>
            </w:pPr>
          </w:p>
        </w:tc>
        <w:tc>
          <w:tcPr>
            <w:tcW w:w="180" w:type="dxa"/>
            <w:vAlign w:val="bottom"/>
          </w:tcPr>
          <w:p w:rsidR="000728AD" w:rsidRDefault="000728AD">
            <w:pPr>
              <w:rPr>
                <w:sz w:val="19"/>
                <w:szCs w:val="19"/>
              </w:rPr>
            </w:pPr>
          </w:p>
        </w:tc>
        <w:tc>
          <w:tcPr>
            <w:tcW w:w="1120" w:type="dxa"/>
            <w:vMerge/>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120" w:type="dxa"/>
            <w:vAlign w:val="bottom"/>
          </w:tcPr>
          <w:p w:rsidR="000728AD" w:rsidRDefault="000728AD">
            <w:pPr>
              <w:rPr>
                <w:sz w:val="19"/>
                <w:szCs w:val="19"/>
              </w:rPr>
            </w:pPr>
          </w:p>
        </w:tc>
        <w:tc>
          <w:tcPr>
            <w:tcW w:w="128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120" w:type="dxa"/>
            <w:vAlign w:val="bottom"/>
          </w:tcPr>
          <w:p w:rsidR="000728AD" w:rsidRDefault="000728AD">
            <w:pPr>
              <w:rPr>
                <w:sz w:val="19"/>
                <w:szCs w:val="19"/>
              </w:rPr>
            </w:pPr>
          </w:p>
        </w:tc>
        <w:tc>
          <w:tcPr>
            <w:tcW w:w="120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120" w:type="dxa"/>
            <w:vAlign w:val="bottom"/>
          </w:tcPr>
          <w:p w:rsidR="000728AD" w:rsidRDefault="000728AD">
            <w:pPr>
              <w:rPr>
                <w:sz w:val="19"/>
                <w:szCs w:val="19"/>
              </w:rPr>
            </w:pPr>
          </w:p>
        </w:tc>
        <w:tc>
          <w:tcPr>
            <w:tcW w:w="1200" w:type="dxa"/>
            <w:vMerge/>
            <w:vAlign w:val="bottom"/>
          </w:tcPr>
          <w:p w:rsidR="000728AD" w:rsidRDefault="000728AD">
            <w:pPr>
              <w:rPr>
                <w:sz w:val="19"/>
                <w:szCs w:val="19"/>
              </w:rPr>
            </w:pPr>
          </w:p>
        </w:tc>
        <w:tc>
          <w:tcPr>
            <w:tcW w:w="0" w:type="dxa"/>
            <w:vAlign w:val="bottom"/>
          </w:tcPr>
          <w:p w:rsidR="000728AD" w:rsidRDefault="000728AD">
            <w:pPr>
              <w:rPr>
                <w:sz w:val="1"/>
                <w:szCs w:val="1"/>
              </w:rPr>
            </w:pPr>
          </w:p>
        </w:tc>
      </w:tr>
      <w:tr w:rsidR="000728AD">
        <w:trPr>
          <w:trHeight w:val="230"/>
        </w:trPr>
        <w:tc>
          <w:tcPr>
            <w:tcW w:w="2800" w:type="dxa"/>
            <w:shd w:val="clear" w:color="auto" w:fill="CCEEFF"/>
            <w:vAlign w:val="bottom"/>
          </w:tcPr>
          <w:p w:rsidR="000728AD" w:rsidRDefault="000561BE">
            <w:pPr>
              <w:ind w:left="20"/>
              <w:rPr>
                <w:sz w:val="20"/>
                <w:szCs w:val="20"/>
              </w:rPr>
            </w:pPr>
            <w:r>
              <w:rPr>
                <w:rFonts w:ascii="Arial" w:eastAsia="Arial" w:hAnsi="Arial" w:cs="Arial"/>
                <w:sz w:val="18"/>
                <w:szCs w:val="18"/>
              </w:rPr>
              <w:t>Stock-based compensation</w:t>
            </w:r>
          </w:p>
        </w:tc>
        <w:tc>
          <w:tcPr>
            <w:tcW w:w="1320" w:type="dxa"/>
            <w:shd w:val="clear" w:color="auto" w:fill="CCEEFF"/>
            <w:vAlign w:val="bottom"/>
          </w:tcPr>
          <w:p w:rsidR="000728AD" w:rsidRDefault="000728AD">
            <w:pPr>
              <w:rPr>
                <w:sz w:val="19"/>
                <w:szCs w:val="19"/>
              </w:rPr>
            </w:pPr>
          </w:p>
        </w:tc>
        <w:tc>
          <w:tcPr>
            <w:tcW w:w="80" w:type="dxa"/>
            <w:shd w:val="clear" w:color="auto" w:fill="CCEEFF"/>
            <w:vAlign w:val="bottom"/>
          </w:tcPr>
          <w:p w:rsidR="000728AD" w:rsidRDefault="000728AD">
            <w:pPr>
              <w:rPr>
                <w:sz w:val="19"/>
                <w:szCs w:val="19"/>
              </w:rPr>
            </w:pPr>
          </w:p>
        </w:tc>
        <w:tc>
          <w:tcPr>
            <w:tcW w:w="1040" w:type="dxa"/>
            <w:shd w:val="clear" w:color="auto" w:fill="CCEEFF"/>
            <w:vAlign w:val="bottom"/>
          </w:tcPr>
          <w:p w:rsidR="000728AD" w:rsidRDefault="000728AD">
            <w:pPr>
              <w:rPr>
                <w:sz w:val="19"/>
                <w:szCs w:val="19"/>
              </w:rPr>
            </w:pPr>
          </w:p>
        </w:tc>
        <w:tc>
          <w:tcPr>
            <w:tcW w:w="260" w:type="dxa"/>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180" w:type="dxa"/>
            <w:shd w:val="clear" w:color="auto" w:fill="CCEEFF"/>
            <w:vAlign w:val="bottom"/>
          </w:tcPr>
          <w:p w:rsidR="000728AD" w:rsidRDefault="000728AD">
            <w:pPr>
              <w:rPr>
                <w:sz w:val="19"/>
                <w:szCs w:val="19"/>
              </w:rPr>
            </w:pPr>
          </w:p>
        </w:tc>
        <w:tc>
          <w:tcPr>
            <w:tcW w:w="1120" w:type="dxa"/>
            <w:shd w:val="clear" w:color="auto" w:fill="CCEEFF"/>
            <w:vAlign w:val="bottom"/>
          </w:tcPr>
          <w:p w:rsidR="000728AD" w:rsidRDefault="000561BE">
            <w:pPr>
              <w:jc w:val="right"/>
              <w:rPr>
                <w:sz w:val="20"/>
                <w:szCs w:val="20"/>
              </w:rPr>
            </w:pPr>
            <w:r>
              <w:rPr>
                <w:rFonts w:ascii="Arial" w:eastAsia="Arial" w:hAnsi="Arial" w:cs="Arial"/>
                <w:sz w:val="18"/>
                <w:szCs w:val="18"/>
              </w:rPr>
              <w:t>1,677</w:t>
            </w:r>
          </w:p>
        </w:tc>
        <w:tc>
          <w:tcPr>
            <w:tcW w:w="100" w:type="dxa"/>
            <w:shd w:val="clear" w:color="auto" w:fill="CCEEFF"/>
            <w:vAlign w:val="bottom"/>
          </w:tcPr>
          <w:p w:rsidR="000728AD" w:rsidRDefault="000728AD">
            <w:pPr>
              <w:rPr>
                <w:sz w:val="19"/>
                <w:szCs w:val="19"/>
              </w:rPr>
            </w:pPr>
          </w:p>
        </w:tc>
        <w:tc>
          <w:tcPr>
            <w:tcW w:w="120" w:type="dxa"/>
            <w:shd w:val="clear" w:color="auto" w:fill="CCEEFF"/>
            <w:vAlign w:val="bottom"/>
          </w:tcPr>
          <w:p w:rsidR="000728AD" w:rsidRDefault="000728AD">
            <w:pPr>
              <w:rPr>
                <w:sz w:val="19"/>
                <w:szCs w:val="19"/>
              </w:rPr>
            </w:pPr>
          </w:p>
        </w:tc>
        <w:tc>
          <w:tcPr>
            <w:tcW w:w="1280" w:type="dxa"/>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120" w:type="dxa"/>
            <w:shd w:val="clear" w:color="auto" w:fill="CCEEFF"/>
            <w:vAlign w:val="bottom"/>
          </w:tcPr>
          <w:p w:rsidR="000728AD" w:rsidRDefault="000728AD">
            <w:pPr>
              <w:rPr>
                <w:sz w:val="19"/>
                <w:szCs w:val="19"/>
              </w:rPr>
            </w:pPr>
          </w:p>
        </w:tc>
        <w:tc>
          <w:tcPr>
            <w:tcW w:w="1200" w:type="dxa"/>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120" w:type="dxa"/>
            <w:shd w:val="clear" w:color="auto" w:fill="CCEEFF"/>
            <w:vAlign w:val="bottom"/>
          </w:tcPr>
          <w:p w:rsidR="000728AD" w:rsidRDefault="000728AD">
            <w:pPr>
              <w:rPr>
                <w:sz w:val="19"/>
                <w:szCs w:val="19"/>
              </w:rPr>
            </w:pPr>
          </w:p>
        </w:tc>
        <w:tc>
          <w:tcPr>
            <w:tcW w:w="1200" w:type="dxa"/>
            <w:shd w:val="clear" w:color="auto" w:fill="CCEEFF"/>
            <w:vAlign w:val="bottom"/>
          </w:tcPr>
          <w:p w:rsidR="000728AD" w:rsidRDefault="000561BE">
            <w:pPr>
              <w:jc w:val="right"/>
              <w:rPr>
                <w:sz w:val="20"/>
                <w:szCs w:val="20"/>
              </w:rPr>
            </w:pPr>
            <w:r>
              <w:rPr>
                <w:rFonts w:ascii="Arial" w:eastAsia="Arial" w:hAnsi="Arial" w:cs="Arial"/>
                <w:sz w:val="18"/>
                <w:szCs w:val="18"/>
              </w:rPr>
              <w:t>1,677</w:t>
            </w:r>
          </w:p>
        </w:tc>
        <w:tc>
          <w:tcPr>
            <w:tcW w:w="0" w:type="dxa"/>
            <w:vAlign w:val="bottom"/>
          </w:tcPr>
          <w:p w:rsidR="000728AD" w:rsidRDefault="000728AD">
            <w:pPr>
              <w:rPr>
                <w:sz w:val="1"/>
                <w:szCs w:val="1"/>
              </w:rPr>
            </w:pPr>
          </w:p>
        </w:tc>
      </w:tr>
      <w:tr w:rsidR="000728AD">
        <w:trPr>
          <w:trHeight w:val="175"/>
        </w:trPr>
        <w:tc>
          <w:tcPr>
            <w:tcW w:w="2800" w:type="dxa"/>
            <w:vAlign w:val="bottom"/>
          </w:tcPr>
          <w:p w:rsidR="000728AD" w:rsidRDefault="000561BE">
            <w:pPr>
              <w:spacing w:line="176" w:lineRule="exact"/>
              <w:ind w:left="20"/>
              <w:rPr>
                <w:sz w:val="20"/>
                <w:szCs w:val="20"/>
              </w:rPr>
            </w:pPr>
            <w:r>
              <w:rPr>
                <w:rFonts w:ascii="Arial" w:eastAsia="Arial" w:hAnsi="Arial" w:cs="Arial"/>
                <w:sz w:val="18"/>
                <w:szCs w:val="18"/>
              </w:rPr>
              <w:t>Unrealized gain on marketable</w:t>
            </w:r>
          </w:p>
        </w:tc>
        <w:tc>
          <w:tcPr>
            <w:tcW w:w="1320" w:type="dxa"/>
            <w:vAlign w:val="bottom"/>
          </w:tcPr>
          <w:p w:rsidR="000728AD" w:rsidRDefault="000728AD">
            <w:pPr>
              <w:rPr>
                <w:sz w:val="15"/>
                <w:szCs w:val="15"/>
              </w:rPr>
            </w:pPr>
          </w:p>
        </w:tc>
        <w:tc>
          <w:tcPr>
            <w:tcW w:w="80" w:type="dxa"/>
            <w:vAlign w:val="bottom"/>
          </w:tcPr>
          <w:p w:rsidR="000728AD" w:rsidRDefault="000728AD">
            <w:pPr>
              <w:rPr>
                <w:sz w:val="15"/>
                <w:szCs w:val="15"/>
              </w:rPr>
            </w:pPr>
          </w:p>
        </w:tc>
        <w:tc>
          <w:tcPr>
            <w:tcW w:w="1040" w:type="dxa"/>
            <w:vAlign w:val="bottom"/>
          </w:tcPr>
          <w:p w:rsidR="000728AD" w:rsidRDefault="000728AD">
            <w:pPr>
              <w:rPr>
                <w:sz w:val="15"/>
                <w:szCs w:val="15"/>
              </w:rPr>
            </w:pPr>
          </w:p>
        </w:tc>
        <w:tc>
          <w:tcPr>
            <w:tcW w:w="260" w:type="dxa"/>
            <w:vAlign w:val="bottom"/>
          </w:tcPr>
          <w:p w:rsidR="000728AD" w:rsidRDefault="000728AD">
            <w:pPr>
              <w:rPr>
                <w:sz w:val="15"/>
                <w:szCs w:val="15"/>
              </w:rPr>
            </w:pPr>
          </w:p>
        </w:tc>
        <w:tc>
          <w:tcPr>
            <w:tcW w:w="100" w:type="dxa"/>
            <w:vAlign w:val="bottom"/>
          </w:tcPr>
          <w:p w:rsidR="000728AD" w:rsidRDefault="000728AD">
            <w:pPr>
              <w:rPr>
                <w:sz w:val="15"/>
                <w:szCs w:val="15"/>
              </w:rPr>
            </w:pPr>
          </w:p>
        </w:tc>
        <w:tc>
          <w:tcPr>
            <w:tcW w:w="180" w:type="dxa"/>
            <w:vAlign w:val="bottom"/>
          </w:tcPr>
          <w:p w:rsidR="000728AD" w:rsidRDefault="000728AD">
            <w:pPr>
              <w:rPr>
                <w:sz w:val="15"/>
                <w:szCs w:val="15"/>
              </w:rPr>
            </w:pPr>
          </w:p>
        </w:tc>
        <w:tc>
          <w:tcPr>
            <w:tcW w:w="1120" w:type="dxa"/>
            <w:vAlign w:val="bottom"/>
          </w:tcPr>
          <w:p w:rsidR="000728AD" w:rsidRDefault="000728AD">
            <w:pPr>
              <w:rPr>
                <w:sz w:val="15"/>
                <w:szCs w:val="15"/>
              </w:rPr>
            </w:pPr>
          </w:p>
        </w:tc>
        <w:tc>
          <w:tcPr>
            <w:tcW w:w="100" w:type="dxa"/>
            <w:vAlign w:val="bottom"/>
          </w:tcPr>
          <w:p w:rsidR="000728AD" w:rsidRDefault="000728AD">
            <w:pPr>
              <w:rPr>
                <w:sz w:val="15"/>
                <w:szCs w:val="15"/>
              </w:rPr>
            </w:pPr>
          </w:p>
        </w:tc>
        <w:tc>
          <w:tcPr>
            <w:tcW w:w="120" w:type="dxa"/>
            <w:vAlign w:val="bottom"/>
          </w:tcPr>
          <w:p w:rsidR="000728AD" w:rsidRDefault="000728AD">
            <w:pPr>
              <w:rPr>
                <w:sz w:val="15"/>
                <w:szCs w:val="15"/>
              </w:rPr>
            </w:pPr>
          </w:p>
        </w:tc>
        <w:tc>
          <w:tcPr>
            <w:tcW w:w="1280" w:type="dxa"/>
            <w:vMerge w:val="restart"/>
            <w:vAlign w:val="bottom"/>
          </w:tcPr>
          <w:p w:rsidR="000728AD" w:rsidRDefault="000561BE">
            <w:pPr>
              <w:jc w:val="right"/>
              <w:rPr>
                <w:sz w:val="20"/>
                <w:szCs w:val="20"/>
              </w:rPr>
            </w:pPr>
            <w:r>
              <w:rPr>
                <w:rFonts w:ascii="Arial" w:eastAsia="Arial" w:hAnsi="Arial" w:cs="Arial"/>
                <w:sz w:val="18"/>
                <w:szCs w:val="18"/>
              </w:rPr>
              <w:t>18</w:t>
            </w:r>
          </w:p>
        </w:tc>
        <w:tc>
          <w:tcPr>
            <w:tcW w:w="100" w:type="dxa"/>
            <w:vAlign w:val="bottom"/>
          </w:tcPr>
          <w:p w:rsidR="000728AD" w:rsidRDefault="000728AD">
            <w:pPr>
              <w:rPr>
                <w:sz w:val="15"/>
                <w:szCs w:val="15"/>
              </w:rPr>
            </w:pPr>
          </w:p>
        </w:tc>
        <w:tc>
          <w:tcPr>
            <w:tcW w:w="120" w:type="dxa"/>
            <w:vAlign w:val="bottom"/>
          </w:tcPr>
          <w:p w:rsidR="000728AD" w:rsidRDefault="000728AD">
            <w:pPr>
              <w:rPr>
                <w:sz w:val="15"/>
                <w:szCs w:val="15"/>
              </w:rPr>
            </w:pPr>
          </w:p>
        </w:tc>
        <w:tc>
          <w:tcPr>
            <w:tcW w:w="1200" w:type="dxa"/>
            <w:vAlign w:val="bottom"/>
          </w:tcPr>
          <w:p w:rsidR="000728AD" w:rsidRDefault="000728AD">
            <w:pPr>
              <w:rPr>
                <w:sz w:val="15"/>
                <w:szCs w:val="15"/>
              </w:rPr>
            </w:pPr>
          </w:p>
        </w:tc>
        <w:tc>
          <w:tcPr>
            <w:tcW w:w="100" w:type="dxa"/>
            <w:vAlign w:val="bottom"/>
          </w:tcPr>
          <w:p w:rsidR="000728AD" w:rsidRDefault="000728AD">
            <w:pPr>
              <w:rPr>
                <w:sz w:val="15"/>
                <w:szCs w:val="15"/>
              </w:rPr>
            </w:pPr>
          </w:p>
        </w:tc>
        <w:tc>
          <w:tcPr>
            <w:tcW w:w="120" w:type="dxa"/>
            <w:vAlign w:val="bottom"/>
          </w:tcPr>
          <w:p w:rsidR="000728AD" w:rsidRDefault="000728AD">
            <w:pPr>
              <w:rPr>
                <w:sz w:val="15"/>
                <w:szCs w:val="15"/>
              </w:rPr>
            </w:pPr>
          </w:p>
        </w:tc>
        <w:tc>
          <w:tcPr>
            <w:tcW w:w="1200" w:type="dxa"/>
            <w:vMerge w:val="restart"/>
            <w:vAlign w:val="bottom"/>
          </w:tcPr>
          <w:p w:rsidR="000728AD" w:rsidRDefault="000561BE">
            <w:pPr>
              <w:jc w:val="right"/>
              <w:rPr>
                <w:sz w:val="20"/>
                <w:szCs w:val="20"/>
              </w:rPr>
            </w:pPr>
            <w:r>
              <w:rPr>
                <w:rFonts w:ascii="Arial" w:eastAsia="Arial" w:hAnsi="Arial" w:cs="Arial"/>
                <w:sz w:val="18"/>
                <w:szCs w:val="18"/>
              </w:rPr>
              <w:t>18</w:t>
            </w:r>
          </w:p>
        </w:tc>
        <w:tc>
          <w:tcPr>
            <w:tcW w:w="0" w:type="dxa"/>
            <w:vAlign w:val="bottom"/>
          </w:tcPr>
          <w:p w:rsidR="000728AD" w:rsidRDefault="000728AD">
            <w:pPr>
              <w:rPr>
                <w:sz w:val="1"/>
                <w:szCs w:val="1"/>
              </w:rPr>
            </w:pPr>
          </w:p>
        </w:tc>
      </w:tr>
      <w:tr w:rsidR="000728AD">
        <w:trPr>
          <w:trHeight w:val="230"/>
        </w:trPr>
        <w:tc>
          <w:tcPr>
            <w:tcW w:w="2800" w:type="dxa"/>
            <w:vAlign w:val="bottom"/>
          </w:tcPr>
          <w:p w:rsidR="000728AD" w:rsidRDefault="000561BE">
            <w:pPr>
              <w:ind w:left="20"/>
              <w:rPr>
                <w:sz w:val="20"/>
                <w:szCs w:val="20"/>
              </w:rPr>
            </w:pPr>
            <w:r>
              <w:rPr>
                <w:rFonts w:ascii="Arial" w:eastAsia="Arial" w:hAnsi="Arial" w:cs="Arial"/>
                <w:sz w:val="18"/>
                <w:szCs w:val="18"/>
              </w:rPr>
              <w:t>securities</w:t>
            </w:r>
          </w:p>
        </w:tc>
        <w:tc>
          <w:tcPr>
            <w:tcW w:w="1320" w:type="dxa"/>
            <w:vAlign w:val="bottom"/>
          </w:tcPr>
          <w:p w:rsidR="000728AD" w:rsidRDefault="000728AD">
            <w:pPr>
              <w:rPr>
                <w:sz w:val="19"/>
                <w:szCs w:val="19"/>
              </w:rPr>
            </w:pPr>
          </w:p>
        </w:tc>
        <w:tc>
          <w:tcPr>
            <w:tcW w:w="80" w:type="dxa"/>
            <w:vAlign w:val="bottom"/>
          </w:tcPr>
          <w:p w:rsidR="000728AD" w:rsidRDefault="000728AD">
            <w:pPr>
              <w:rPr>
                <w:sz w:val="19"/>
                <w:szCs w:val="19"/>
              </w:rPr>
            </w:pPr>
          </w:p>
        </w:tc>
        <w:tc>
          <w:tcPr>
            <w:tcW w:w="1040" w:type="dxa"/>
            <w:vAlign w:val="bottom"/>
          </w:tcPr>
          <w:p w:rsidR="000728AD" w:rsidRDefault="000728AD">
            <w:pPr>
              <w:rPr>
                <w:sz w:val="19"/>
                <w:szCs w:val="19"/>
              </w:rPr>
            </w:pPr>
          </w:p>
        </w:tc>
        <w:tc>
          <w:tcPr>
            <w:tcW w:w="26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180" w:type="dxa"/>
            <w:vAlign w:val="bottom"/>
          </w:tcPr>
          <w:p w:rsidR="000728AD" w:rsidRDefault="000728AD">
            <w:pPr>
              <w:rPr>
                <w:sz w:val="19"/>
                <w:szCs w:val="19"/>
              </w:rPr>
            </w:pPr>
          </w:p>
        </w:tc>
        <w:tc>
          <w:tcPr>
            <w:tcW w:w="112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120" w:type="dxa"/>
            <w:vAlign w:val="bottom"/>
          </w:tcPr>
          <w:p w:rsidR="000728AD" w:rsidRDefault="000728AD">
            <w:pPr>
              <w:rPr>
                <w:sz w:val="19"/>
                <w:szCs w:val="19"/>
              </w:rPr>
            </w:pPr>
          </w:p>
        </w:tc>
        <w:tc>
          <w:tcPr>
            <w:tcW w:w="1280" w:type="dxa"/>
            <w:vMerge/>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120" w:type="dxa"/>
            <w:vAlign w:val="bottom"/>
          </w:tcPr>
          <w:p w:rsidR="000728AD" w:rsidRDefault="000728AD">
            <w:pPr>
              <w:rPr>
                <w:sz w:val="19"/>
                <w:szCs w:val="19"/>
              </w:rPr>
            </w:pPr>
          </w:p>
        </w:tc>
        <w:tc>
          <w:tcPr>
            <w:tcW w:w="120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120" w:type="dxa"/>
            <w:vAlign w:val="bottom"/>
          </w:tcPr>
          <w:p w:rsidR="000728AD" w:rsidRDefault="000728AD">
            <w:pPr>
              <w:rPr>
                <w:sz w:val="19"/>
                <w:szCs w:val="19"/>
              </w:rPr>
            </w:pPr>
          </w:p>
        </w:tc>
        <w:tc>
          <w:tcPr>
            <w:tcW w:w="1200" w:type="dxa"/>
            <w:vMerge/>
            <w:vAlign w:val="bottom"/>
          </w:tcPr>
          <w:p w:rsidR="000728AD" w:rsidRDefault="000728AD">
            <w:pPr>
              <w:rPr>
                <w:sz w:val="19"/>
                <w:szCs w:val="19"/>
              </w:rPr>
            </w:pPr>
          </w:p>
        </w:tc>
        <w:tc>
          <w:tcPr>
            <w:tcW w:w="0" w:type="dxa"/>
            <w:vAlign w:val="bottom"/>
          </w:tcPr>
          <w:p w:rsidR="000728AD" w:rsidRDefault="000728AD">
            <w:pPr>
              <w:rPr>
                <w:sz w:val="1"/>
                <w:szCs w:val="1"/>
              </w:rPr>
            </w:pPr>
          </w:p>
        </w:tc>
      </w:tr>
      <w:tr w:rsidR="000728AD">
        <w:trPr>
          <w:trHeight w:val="229"/>
        </w:trPr>
        <w:tc>
          <w:tcPr>
            <w:tcW w:w="2800" w:type="dxa"/>
            <w:shd w:val="clear" w:color="auto" w:fill="CCEEFF"/>
            <w:vAlign w:val="bottom"/>
          </w:tcPr>
          <w:p w:rsidR="000728AD" w:rsidRDefault="000561BE">
            <w:pPr>
              <w:ind w:left="20"/>
              <w:rPr>
                <w:sz w:val="20"/>
                <w:szCs w:val="20"/>
              </w:rPr>
            </w:pPr>
            <w:r>
              <w:rPr>
                <w:rFonts w:ascii="Arial" w:eastAsia="Arial" w:hAnsi="Arial" w:cs="Arial"/>
                <w:sz w:val="18"/>
                <w:szCs w:val="18"/>
              </w:rPr>
              <w:t>Net loss</w:t>
            </w:r>
          </w:p>
        </w:tc>
        <w:tc>
          <w:tcPr>
            <w:tcW w:w="1320" w:type="dxa"/>
            <w:tcBorders>
              <w:bottom w:val="single" w:sz="8" w:space="0" w:color="auto"/>
            </w:tcBorders>
            <w:shd w:val="clear" w:color="auto" w:fill="CCEEFF"/>
            <w:vAlign w:val="bottom"/>
          </w:tcPr>
          <w:p w:rsidR="000728AD" w:rsidRDefault="000728AD">
            <w:pPr>
              <w:rPr>
                <w:sz w:val="19"/>
                <w:szCs w:val="19"/>
              </w:rPr>
            </w:pPr>
          </w:p>
        </w:tc>
        <w:tc>
          <w:tcPr>
            <w:tcW w:w="80" w:type="dxa"/>
            <w:shd w:val="clear" w:color="auto" w:fill="CCEEFF"/>
            <w:vAlign w:val="bottom"/>
          </w:tcPr>
          <w:p w:rsidR="000728AD" w:rsidRDefault="000728AD">
            <w:pPr>
              <w:rPr>
                <w:sz w:val="19"/>
                <w:szCs w:val="19"/>
              </w:rPr>
            </w:pPr>
          </w:p>
        </w:tc>
        <w:tc>
          <w:tcPr>
            <w:tcW w:w="1040" w:type="dxa"/>
            <w:tcBorders>
              <w:bottom w:val="single" w:sz="8" w:space="0" w:color="auto"/>
            </w:tcBorders>
            <w:shd w:val="clear" w:color="auto" w:fill="CCEEFF"/>
            <w:vAlign w:val="bottom"/>
          </w:tcPr>
          <w:p w:rsidR="000728AD" w:rsidRDefault="000728AD">
            <w:pPr>
              <w:rPr>
                <w:sz w:val="19"/>
                <w:szCs w:val="19"/>
              </w:rPr>
            </w:pPr>
          </w:p>
        </w:tc>
        <w:tc>
          <w:tcPr>
            <w:tcW w:w="260" w:type="dxa"/>
            <w:tcBorders>
              <w:bottom w:val="single" w:sz="8" w:space="0" w:color="auto"/>
            </w:tcBorders>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180" w:type="dxa"/>
            <w:tcBorders>
              <w:bottom w:val="single" w:sz="8" w:space="0" w:color="auto"/>
            </w:tcBorders>
            <w:shd w:val="clear" w:color="auto" w:fill="CCEEFF"/>
            <w:vAlign w:val="bottom"/>
          </w:tcPr>
          <w:p w:rsidR="000728AD" w:rsidRDefault="000728AD">
            <w:pPr>
              <w:rPr>
                <w:sz w:val="19"/>
                <w:szCs w:val="19"/>
              </w:rPr>
            </w:pPr>
          </w:p>
        </w:tc>
        <w:tc>
          <w:tcPr>
            <w:tcW w:w="1120" w:type="dxa"/>
            <w:tcBorders>
              <w:bottom w:val="single" w:sz="8" w:space="0" w:color="auto"/>
            </w:tcBorders>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120" w:type="dxa"/>
            <w:tcBorders>
              <w:bottom w:val="single" w:sz="8" w:space="0" w:color="auto"/>
            </w:tcBorders>
            <w:shd w:val="clear" w:color="auto" w:fill="CCEEFF"/>
            <w:vAlign w:val="bottom"/>
          </w:tcPr>
          <w:p w:rsidR="000728AD" w:rsidRDefault="000728AD">
            <w:pPr>
              <w:rPr>
                <w:sz w:val="19"/>
                <w:szCs w:val="19"/>
              </w:rPr>
            </w:pPr>
          </w:p>
        </w:tc>
        <w:tc>
          <w:tcPr>
            <w:tcW w:w="1280" w:type="dxa"/>
            <w:tcBorders>
              <w:bottom w:val="single" w:sz="8" w:space="0" w:color="auto"/>
            </w:tcBorders>
            <w:shd w:val="clear" w:color="auto" w:fill="CCEEFF"/>
            <w:vAlign w:val="bottom"/>
          </w:tcPr>
          <w:p w:rsidR="000728AD" w:rsidRDefault="000728AD">
            <w:pPr>
              <w:rPr>
                <w:sz w:val="19"/>
                <w:szCs w:val="19"/>
              </w:rPr>
            </w:pPr>
          </w:p>
        </w:tc>
        <w:tc>
          <w:tcPr>
            <w:tcW w:w="100" w:type="dxa"/>
            <w:shd w:val="clear" w:color="auto" w:fill="CCEEFF"/>
            <w:vAlign w:val="bottom"/>
          </w:tcPr>
          <w:p w:rsidR="000728AD" w:rsidRDefault="000728AD">
            <w:pPr>
              <w:rPr>
                <w:sz w:val="19"/>
                <w:szCs w:val="19"/>
              </w:rPr>
            </w:pPr>
          </w:p>
        </w:tc>
        <w:tc>
          <w:tcPr>
            <w:tcW w:w="120" w:type="dxa"/>
            <w:tcBorders>
              <w:bottom w:val="single" w:sz="8" w:space="0" w:color="auto"/>
            </w:tcBorders>
            <w:shd w:val="clear" w:color="auto" w:fill="CCEEFF"/>
            <w:vAlign w:val="bottom"/>
          </w:tcPr>
          <w:p w:rsidR="000728AD" w:rsidRDefault="000728AD">
            <w:pPr>
              <w:rPr>
                <w:sz w:val="19"/>
                <w:szCs w:val="19"/>
              </w:rPr>
            </w:pPr>
          </w:p>
        </w:tc>
        <w:tc>
          <w:tcPr>
            <w:tcW w:w="120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18"/>
                <w:szCs w:val="18"/>
              </w:rPr>
              <w:t>(15,935)</w:t>
            </w:r>
          </w:p>
        </w:tc>
        <w:tc>
          <w:tcPr>
            <w:tcW w:w="100" w:type="dxa"/>
            <w:shd w:val="clear" w:color="auto" w:fill="CCEEFF"/>
            <w:vAlign w:val="bottom"/>
          </w:tcPr>
          <w:p w:rsidR="000728AD" w:rsidRDefault="000728AD">
            <w:pPr>
              <w:rPr>
                <w:sz w:val="19"/>
                <w:szCs w:val="19"/>
              </w:rPr>
            </w:pPr>
          </w:p>
        </w:tc>
        <w:tc>
          <w:tcPr>
            <w:tcW w:w="120" w:type="dxa"/>
            <w:tcBorders>
              <w:bottom w:val="single" w:sz="8" w:space="0" w:color="auto"/>
            </w:tcBorders>
            <w:shd w:val="clear" w:color="auto" w:fill="CCEEFF"/>
            <w:vAlign w:val="bottom"/>
          </w:tcPr>
          <w:p w:rsidR="000728AD" w:rsidRDefault="000728AD">
            <w:pPr>
              <w:rPr>
                <w:sz w:val="19"/>
                <w:szCs w:val="19"/>
              </w:rPr>
            </w:pPr>
          </w:p>
        </w:tc>
        <w:tc>
          <w:tcPr>
            <w:tcW w:w="120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18"/>
                <w:szCs w:val="18"/>
              </w:rPr>
              <w:t>(15,935)</w:t>
            </w:r>
          </w:p>
        </w:tc>
        <w:tc>
          <w:tcPr>
            <w:tcW w:w="0" w:type="dxa"/>
            <w:vAlign w:val="bottom"/>
          </w:tcPr>
          <w:p w:rsidR="000728AD" w:rsidRDefault="000728AD">
            <w:pPr>
              <w:rPr>
                <w:sz w:val="1"/>
                <w:szCs w:val="1"/>
              </w:rPr>
            </w:pPr>
          </w:p>
        </w:tc>
      </w:tr>
      <w:tr w:rsidR="000728AD">
        <w:trPr>
          <w:trHeight w:val="223"/>
        </w:trPr>
        <w:tc>
          <w:tcPr>
            <w:tcW w:w="2800" w:type="dxa"/>
            <w:vAlign w:val="bottom"/>
          </w:tcPr>
          <w:p w:rsidR="000728AD" w:rsidRDefault="000561BE">
            <w:pPr>
              <w:ind w:left="20"/>
              <w:rPr>
                <w:sz w:val="20"/>
                <w:szCs w:val="20"/>
              </w:rPr>
            </w:pPr>
            <w:r>
              <w:rPr>
                <w:rFonts w:ascii="Arial" w:eastAsia="Arial" w:hAnsi="Arial" w:cs="Arial"/>
                <w:b/>
                <w:bCs/>
                <w:sz w:val="18"/>
                <w:szCs w:val="18"/>
              </w:rPr>
              <w:t>BALANCE - June 30, 2021</w:t>
            </w:r>
          </w:p>
        </w:tc>
        <w:tc>
          <w:tcPr>
            <w:tcW w:w="1320" w:type="dxa"/>
            <w:tcBorders>
              <w:bottom w:val="single" w:sz="8" w:space="0" w:color="auto"/>
            </w:tcBorders>
            <w:vAlign w:val="bottom"/>
          </w:tcPr>
          <w:p w:rsidR="000728AD" w:rsidRDefault="000561BE">
            <w:pPr>
              <w:jc w:val="right"/>
              <w:rPr>
                <w:sz w:val="20"/>
                <w:szCs w:val="20"/>
              </w:rPr>
            </w:pPr>
            <w:r>
              <w:rPr>
                <w:rFonts w:ascii="Arial" w:eastAsia="Arial" w:hAnsi="Arial" w:cs="Arial"/>
                <w:sz w:val="18"/>
                <w:szCs w:val="18"/>
              </w:rPr>
              <w:t>38,274,269</w:t>
            </w:r>
          </w:p>
        </w:tc>
        <w:tc>
          <w:tcPr>
            <w:tcW w:w="80" w:type="dxa"/>
            <w:vAlign w:val="bottom"/>
          </w:tcPr>
          <w:p w:rsidR="000728AD" w:rsidRDefault="000728AD">
            <w:pPr>
              <w:rPr>
                <w:sz w:val="19"/>
                <w:szCs w:val="19"/>
              </w:rPr>
            </w:pPr>
          </w:p>
        </w:tc>
        <w:tc>
          <w:tcPr>
            <w:tcW w:w="1040" w:type="dxa"/>
            <w:tcBorders>
              <w:bottom w:val="single" w:sz="8" w:space="0" w:color="auto"/>
            </w:tcBorders>
            <w:vAlign w:val="bottom"/>
          </w:tcPr>
          <w:p w:rsidR="000728AD" w:rsidRDefault="000561BE">
            <w:pPr>
              <w:ind w:right="830"/>
              <w:jc w:val="right"/>
              <w:rPr>
                <w:sz w:val="20"/>
                <w:szCs w:val="20"/>
              </w:rPr>
            </w:pPr>
            <w:r>
              <w:rPr>
                <w:rFonts w:ascii="Arial" w:eastAsia="Arial" w:hAnsi="Arial" w:cs="Arial"/>
                <w:w w:val="99"/>
                <w:sz w:val="18"/>
                <w:szCs w:val="18"/>
              </w:rPr>
              <w:t>$</w:t>
            </w:r>
          </w:p>
        </w:tc>
        <w:tc>
          <w:tcPr>
            <w:tcW w:w="260" w:type="dxa"/>
            <w:tcBorders>
              <w:bottom w:val="single" w:sz="8" w:space="0" w:color="auto"/>
            </w:tcBorders>
            <w:vAlign w:val="bottom"/>
          </w:tcPr>
          <w:p w:rsidR="000728AD" w:rsidRDefault="000561BE">
            <w:pPr>
              <w:jc w:val="right"/>
              <w:rPr>
                <w:sz w:val="20"/>
                <w:szCs w:val="20"/>
              </w:rPr>
            </w:pPr>
            <w:r>
              <w:rPr>
                <w:rFonts w:ascii="Arial" w:eastAsia="Arial" w:hAnsi="Arial" w:cs="Arial"/>
                <w:w w:val="89"/>
                <w:sz w:val="18"/>
                <w:szCs w:val="18"/>
              </w:rPr>
              <w:t>39</w:t>
            </w:r>
          </w:p>
        </w:tc>
        <w:tc>
          <w:tcPr>
            <w:tcW w:w="100" w:type="dxa"/>
            <w:vAlign w:val="bottom"/>
          </w:tcPr>
          <w:p w:rsidR="000728AD" w:rsidRDefault="000728AD">
            <w:pPr>
              <w:rPr>
                <w:sz w:val="19"/>
                <w:szCs w:val="19"/>
              </w:rPr>
            </w:pPr>
          </w:p>
        </w:tc>
        <w:tc>
          <w:tcPr>
            <w:tcW w:w="180" w:type="dxa"/>
            <w:tcBorders>
              <w:bottom w:val="single" w:sz="8" w:space="0" w:color="auto"/>
            </w:tcBorders>
            <w:vAlign w:val="bottom"/>
          </w:tcPr>
          <w:p w:rsidR="000728AD" w:rsidRDefault="000561BE">
            <w:pPr>
              <w:jc w:val="right"/>
              <w:rPr>
                <w:sz w:val="20"/>
                <w:szCs w:val="20"/>
              </w:rPr>
            </w:pPr>
            <w:r>
              <w:rPr>
                <w:rFonts w:ascii="Arial" w:eastAsia="Arial" w:hAnsi="Arial" w:cs="Arial"/>
                <w:w w:val="79"/>
                <w:sz w:val="18"/>
                <w:szCs w:val="18"/>
              </w:rPr>
              <w:t>$</w:t>
            </w:r>
          </w:p>
        </w:tc>
        <w:tc>
          <w:tcPr>
            <w:tcW w:w="1120" w:type="dxa"/>
            <w:tcBorders>
              <w:bottom w:val="single" w:sz="8" w:space="0" w:color="auto"/>
            </w:tcBorders>
            <w:vAlign w:val="bottom"/>
          </w:tcPr>
          <w:p w:rsidR="000728AD" w:rsidRDefault="000561BE">
            <w:pPr>
              <w:jc w:val="right"/>
              <w:rPr>
                <w:sz w:val="20"/>
                <w:szCs w:val="20"/>
              </w:rPr>
            </w:pPr>
            <w:r>
              <w:rPr>
                <w:rFonts w:ascii="Arial" w:eastAsia="Arial" w:hAnsi="Arial" w:cs="Arial"/>
                <w:sz w:val="18"/>
                <w:szCs w:val="18"/>
              </w:rPr>
              <w:t>351,794</w:t>
            </w:r>
          </w:p>
        </w:tc>
        <w:tc>
          <w:tcPr>
            <w:tcW w:w="100" w:type="dxa"/>
            <w:vAlign w:val="bottom"/>
          </w:tcPr>
          <w:p w:rsidR="000728AD" w:rsidRDefault="000728AD">
            <w:pPr>
              <w:rPr>
                <w:sz w:val="19"/>
                <w:szCs w:val="19"/>
              </w:rPr>
            </w:pPr>
          </w:p>
        </w:tc>
        <w:tc>
          <w:tcPr>
            <w:tcW w:w="120" w:type="dxa"/>
            <w:tcBorders>
              <w:bottom w:val="single" w:sz="8" w:space="0" w:color="auto"/>
            </w:tcBorders>
            <w:vAlign w:val="bottom"/>
          </w:tcPr>
          <w:p w:rsidR="000728AD" w:rsidRDefault="000561BE">
            <w:pPr>
              <w:jc w:val="center"/>
              <w:rPr>
                <w:sz w:val="20"/>
                <w:szCs w:val="20"/>
              </w:rPr>
            </w:pPr>
            <w:r>
              <w:rPr>
                <w:rFonts w:ascii="Arial" w:eastAsia="Arial" w:hAnsi="Arial" w:cs="Arial"/>
                <w:w w:val="79"/>
                <w:sz w:val="18"/>
                <w:szCs w:val="18"/>
              </w:rPr>
              <w:t>$</w:t>
            </w:r>
          </w:p>
        </w:tc>
        <w:tc>
          <w:tcPr>
            <w:tcW w:w="1280" w:type="dxa"/>
            <w:tcBorders>
              <w:bottom w:val="single" w:sz="8" w:space="0" w:color="auto"/>
            </w:tcBorders>
            <w:vAlign w:val="bottom"/>
          </w:tcPr>
          <w:p w:rsidR="000728AD" w:rsidRDefault="000561BE">
            <w:pPr>
              <w:jc w:val="right"/>
              <w:rPr>
                <w:sz w:val="20"/>
                <w:szCs w:val="20"/>
              </w:rPr>
            </w:pPr>
            <w:r>
              <w:rPr>
                <w:rFonts w:ascii="Arial" w:eastAsia="Arial" w:hAnsi="Arial" w:cs="Arial"/>
                <w:sz w:val="18"/>
                <w:szCs w:val="18"/>
              </w:rPr>
              <w:t>(9)</w:t>
            </w:r>
          </w:p>
        </w:tc>
        <w:tc>
          <w:tcPr>
            <w:tcW w:w="100" w:type="dxa"/>
            <w:vAlign w:val="bottom"/>
          </w:tcPr>
          <w:p w:rsidR="000728AD" w:rsidRDefault="000728AD">
            <w:pPr>
              <w:rPr>
                <w:sz w:val="19"/>
                <w:szCs w:val="19"/>
              </w:rPr>
            </w:pPr>
          </w:p>
        </w:tc>
        <w:tc>
          <w:tcPr>
            <w:tcW w:w="120" w:type="dxa"/>
            <w:tcBorders>
              <w:bottom w:val="single" w:sz="8" w:space="0" w:color="auto"/>
            </w:tcBorders>
            <w:vAlign w:val="bottom"/>
          </w:tcPr>
          <w:p w:rsidR="000728AD" w:rsidRDefault="000561BE">
            <w:pPr>
              <w:jc w:val="right"/>
              <w:rPr>
                <w:sz w:val="20"/>
                <w:szCs w:val="20"/>
              </w:rPr>
            </w:pPr>
            <w:r>
              <w:rPr>
                <w:rFonts w:ascii="Arial" w:eastAsia="Arial" w:hAnsi="Arial" w:cs="Arial"/>
                <w:w w:val="79"/>
                <w:sz w:val="18"/>
                <w:szCs w:val="18"/>
              </w:rPr>
              <w:t>$</w:t>
            </w:r>
          </w:p>
        </w:tc>
        <w:tc>
          <w:tcPr>
            <w:tcW w:w="1200" w:type="dxa"/>
            <w:tcBorders>
              <w:bottom w:val="single" w:sz="8" w:space="0" w:color="auto"/>
            </w:tcBorders>
            <w:vAlign w:val="bottom"/>
          </w:tcPr>
          <w:p w:rsidR="000728AD" w:rsidRDefault="000561BE">
            <w:pPr>
              <w:jc w:val="right"/>
              <w:rPr>
                <w:sz w:val="20"/>
                <w:szCs w:val="20"/>
              </w:rPr>
            </w:pPr>
            <w:r>
              <w:rPr>
                <w:rFonts w:ascii="Arial" w:eastAsia="Arial" w:hAnsi="Arial" w:cs="Arial"/>
                <w:sz w:val="18"/>
                <w:szCs w:val="18"/>
              </w:rPr>
              <w:t>(303,737)</w:t>
            </w:r>
          </w:p>
        </w:tc>
        <w:tc>
          <w:tcPr>
            <w:tcW w:w="100" w:type="dxa"/>
            <w:vAlign w:val="bottom"/>
          </w:tcPr>
          <w:p w:rsidR="000728AD" w:rsidRDefault="000728AD">
            <w:pPr>
              <w:rPr>
                <w:sz w:val="19"/>
                <w:szCs w:val="19"/>
              </w:rPr>
            </w:pPr>
          </w:p>
        </w:tc>
        <w:tc>
          <w:tcPr>
            <w:tcW w:w="120" w:type="dxa"/>
            <w:tcBorders>
              <w:bottom w:val="single" w:sz="8" w:space="0" w:color="auto"/>
            </w:tcBorders>
            <w:vAlign w:val="bottom"/>
          </w:tcPr>
          <w:p w:rsidR="000728AD" w:rsidRDefault="000561BE">
            <w:pPr>
              <w:jc w:val="right"/>
              <w:rPr>
                <w:sz w:val="20"/>
                <w:szCs w:val="20"/>
              </w:rPr>
            </w:pPr>
            <w:r>
              <w:rPr>
                <w:rFonts w:ascii="Arial" w:eastAsia="Arial" w:hAnsi="Arial" w:cs="Arial"/>
                <w:w w:val="79"/>
                <w:sz w:val="18"/>
                <w:szCs w:val="18"/>
              </w:rPr>
              <w:t>$</w:t>
            </w:r>
          </w:p>
        </w:tc>
        <w:tc>
          <w:tcPr>
            <w:tcW w:w="1200" w:type="dxa"/>
            <w:tcBorders>
              <w:bottom w:val="single" w:sz="8" w:space="0" w:color="auto"/>
            </w:tcBorders>
            <w:vAlign w:val="bottom"/>
          </w:tcPr>
          <w:p w:rsidR="000728AD" w:rsidRDefault="000561BE">
            <w:pPr>
              <w:jc w:val="right"/>
              <w:rPr>
                <w:sz w:val="20"/>
                <w:szCs w:val="20"/>
              </w:rPr>
            </w:pPr>
            <w:r>
              <w:rPr>
                <w:rFonts w:ascii="Arial" w:eastAsia="Arial" w:hAnsi="Arial" w:cs="Arial"/>
                <w:sz w:val="18"/>
                <w:szCs w:val="18"/>
              </w:rPr>
              <w:t>48,087</w:t>
            </w:r>
          </w:p>
        </w:tc>
        <w:tc>
          <w:tcPr>
            <w:tcW w:w="0" w:type="dxa"/>
            <w:vAlign w:val="bottom"/>
          </w:tcPr>
          <w:p w:rsidR="000728AD" w:rsidRDefault="000728AD">
            <w:pPr>
              <w:rPr>
                <w:sz w:val="1"/>
                <w:szCs w:val="1"/>
              </w:rPr>
            </w:pPr>
          </w:p>
        </w:tc>
      </w:tr>
      <w:tr w:rsidR="000728AD">
        <w:trPr>
          <w:trHeight w:val="20"/>
        </w:trPr>
        <w:tc>
          <w:tcPr>
            <w:tcW w:w="2800" w:type="dxa"/>
            <w:vAlign w:val="bottom"/>
          </w:tcPr>
          <w:p w:rsidR="000728AD" w:rsidRDefault="000728AD">
            <w:pPr>
              <w:spacing w:line="20" w:lineRule="exact"/>
              <w:rPr>
                <w:sz w:val="1"/>
                <w:szCs w:val="1"/>
              </w:rPr>
            </w:pPr>
          </w:p>
        </w:tc>
        <w:tc>
          <w:tcPr>
            <w:tcW w:w="1320" w:type="dxa"/>
            <w:tcBorders>
              <w:bottom w:val="single" w:sz="8" w:space="0" w:color="auto"/>
            </w:tcBorders>
            <w:vAlign w:val="bottom"/>
          </w:tcPr>
          <w:p w:rsidR="000728AD" w:rsidRDefault="000728AD">
            <w:pPr>
              <w:spacing w:line="20" w:lineRule="exact"/>
              <w:rPr>
                <w:sz w:val="1"/>
                <w:szCs w:val="1"/>
              </w:rPr>
            </w:pPr>
          </w:p>
        </w:tc>
        <w:tc>
          <w:tcPr>
            <w:tcW w:w="80" w:type="dxa"/>
            <w:vAlign w:val="bottom"/>
          </w:tcPr>
          <w:p w:rsidR="000728AD" w:rsidRDefault="000728AD">
            <w:pPr>
              <w:spacing w:line="20" w:lineRule="exact"/>
              <w:rPr>
                <w:sz w:val="1"/>
                <w:szCs w:val="1"/>
              </w:rPr>
            </w:pPr>
          </w:p>
        </w:tc>
        <w:tc>
          <w:tcPr>
            <w:tcW w:w="1040" w:type="dxa"/>
            <w:tcBorders>
              <w:bottom w:val="single" w:sz="8" w:space="0" w:color="auto"/>
            </w:tcBorders>
            <w:vAlign w:val="bottom"/>
          </w:tcPr>
          <w:p w:rsidR="000728AD" w:rsidRDefault="000728AD">
            <w:pPr>
              <w:spacing w:line="20" w:lineRule="exact"/>
              <w:rPr>
                <w:sz w:val="1"/>
                <w:szCs w:val="1"/>
              </w:rPr>
            </w:pPr>
          </w:p>
        </w:tc>
        <w:tc>
          <w:tcPr>
            <w:tcW w:w="260" w:type="dxa"/>
            <w:tcBorders>
              <w:bottom w:val="single" w:sz="8" w:space="0" w:color="auto"/>
            </w:tcBorders>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180" w:type="dxa"/>
            <w:tcBorders>
              <w:bottom w:val="single" w:sz="8" w:space="0" w:color="auto"/>
            </w:tcBorders>
            <w:vAlign w:val="bottom"/>
          </w:tcPr>
          <w:p w:rsidR="000728AD" w:rsidRDefault="000728AD">
            <w:pPr>
              <w:spacing w:line="20" w:lineRule="exact"/>
              <w:rPr>
                <w:sz w:val="1"/>
                <w:szCs w:val="1"/>
              </w:rPr>
            </w:pPr>
          </w:p>
        </w:tc>
        <w:tc>
          <w:tcPr>
            <w:tcW w:w="1120" w:type="dxa"/>
            <w:tcBorders>
              <w:bottom w:val="single" w:sz="8" w:space="0" w:color="auto"/>
            </w:tcBorders>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120" w:type="dxa"/>
            <w:tcBorders>
              <w:bottom w:val="single" w:sz="8" w:space="0" w:color="auto"/>
            </w:tcBorders>
            <w:vAlign w:val="bottom"/>
          </w:tcPr>
          <w:p w:rsidR="000728AD" w:rsidRDefault="000728AD">
            <w:pPr>
              <w:spacing w:line="20" w:lineRule="exact"/>
              <w:rPr>
                <w:sz w:val="1"/>
                <w:szCs w:val="1"/>
              </w:rPr>
            </w:pPr>
          </w:p>
        </w:tc>
        <w:tc>
          <w:tcPr>
            <w:tcW w:w="1280" w:type="dxa"/>
            <w:tcBorders>
              <w:bottom w:val="single" w:sz="8" w:space="0" w:color="auto"/>
            </w:tcBorders>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120" w:type="dxa"/>
            <w:tcBorders>
              <w:bottom w:val="single" w:sz="8" w:space="0" w:color="auto"/>
            </w:tcBorders>
            <w:vAlign w:val="bottom"/>
          </w:tcPr>
          <w:p w:rsidR="000728AD" w:rsidRDefault="000728AD">
            <w:pPr>
              <w:spacing w:line="20" w:lineRule="exact"/>
              <w:rPr>
                <w:sz w:val="1"/>
                <w:szCs w:val="1"/>
              </w:rPr>
            </w:pPr>
          </w:p>
        </w:tc>
        <w:tc>
          <w:tcPr>
            <w:tcW w:w="1200" w:type="dxa"/>
            <w:tcBorders>
              <w:bottom w:val="single" w:sz="8" w:space="0" w:color="auto"/>
            </w:tcBorders>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120" w:type="dxa"/>
            <w:tcBorders>
              <w:bottom w:val="single" w:sz="8" w:space="0" w:color="auto"/>
            </w:tcBorders>
            <w:vAlign w:val="bottom"/>
          </w:tcPr>
          <w:p w:rsidR="000728AD" w:rsidRDefault="000728AD">
            <w:pPr>
              <w:spacing w:line="20" w:lineRule="exact"/>
              <w:rPr>
                <w:sz w:val="1"/>
                <w:szCs w:val="1"/>
              </w:rPr>
            </w:pPr>
          </w:p>
        </w:tc>
        <w:tc>
          <w:tcPr>
            <w:tcW w:w="1200" w:type="dxa"/>
            <w:tcBorders>
              <w:bottom w:val="single" w:sz="8" w:space="0" w:color="auto"/>
            </w:tcBorders>
            <w:vAlign w:val="bottom"/>
          </w:tcPr>
          <w:p w:rsidR="000728AD" w:rsidRDefault="000728AD">
            <w:pPr>
              <w:spacing w:line="20" w:lineRule="exact"/>
              <w:rPr>
                <w:sz w:val="1"/>
                <w:szCs w:val="1"/>
              </w:rPr>
            </w:pPr>
          </w:p>
        </w:tc>
        <w:tc>
          <w:tcPr>
            <w:tcW w:w="0" w:type="dxa"/>
            <w:vAlign w:val="bottom"/>
          </w:tcPr>
          <w:p w:rsidR="000728AD" w:rsidRDefault="000728AD">
            <w:pPr>
              <w:rPr>
                <w:sz w:val="1"/>
                <w:szCs w:val="1"/>
              </w:rPr>
            </w:pPr>
          </w:p>
        </w:tc>
      </w:tr>
    </w:tbl>
    <w:p w:rsidR="000728AD" w:rsidRDefault="000728AD">
      <w:pPr>
        <w:spacing w:line="294" w:lineRule="exact"/>
        <w:rPr>
          <w:sz w:val="20"/>
          <w:szCs w:val="20"/>
        </w:rPr>
      </w:pPr>
    </w:p>
    <w:p w:rsidR="000728AD" w:rsidRDefault="000561BE">
      <w:pPr>
        <w:jc w:val="center"/>
        <w:rPr>
          <w:sz w:val="20"/>
          <w:szCs w:val="20"/>
        </w:rPr>
      </w:pPr>
      <w:r>
        <w:rPr>
          <w:rFonts w:ascii="Arial" w:eastAsia="Arial" w:hAnsi="Arial" w:cs="Arial"/>
          <w:sz w:val="20"/>
          <w:szCs w:val="20"/>
        </w:rPr>
        <w:t>The accompanying notes are an integral part of these unaudited condensed consolidated financial statements.</w:t>
      </w:r>
    </w:p>
    <w:p w:rsidR="000728AD" w:rsidRDefault="000728AD">
      <w:pPr>
        <w:spacing w:line="200" w:lineRule="exact"/>
        <w:rPr>
          <w:sz w:val="20"/>
          <w:szCs w:val="20"/>
        </w:rPr>
      </w:pPr>
    </w:p>
    <w:p w:rsidR="000728AD" w:rsidRDefault="000728AD">
      <w:pPr>
        <w:spacing w:line="396" w:lineRule="exact"/>
        <w:rPr>
          <w:sz w:val="20"/>
          <w:szCs w:val="20"/>
        </w:rPr>
      </w:pPr>
    </w:p>
    <w:p w:rsidR="000728AD" w:rsidRDefault="000561BE">
      <w:pPr>
        <w:jc w:val="center"/>
        <w:rPr>
          <w:sz w:val="20"/>
          <w:szCs w:val="20"/>
        </w:rPr>
      </w:pPr>
      <w:r>
        <w:rPr>
          <w:rFonts w:ascii="Arial" w:eastAsia="Arial" w:hAnsi="Arial" w:cs="Arial"/>
          <w:sz w:val="18"/>
          <w:szCs w:val="18"/>
        </w:rPr>
        <w:t>9</w:t>
      </w:r>
    </w:p>
    <w:p w:rsidR="000728AD" w:rsidRDefault="000561BE">
      <w:pPr>
        <w:spacing w:line="20" w:lineRule="exact"/>
        <w:rPr>
          <w:sz w:val="20"/>
          <w:szCs w:val="20"/>
        </w:rPr>
      </w:pPr>
      <w:r>
        <w:rPr>
          <w:noProof/>
          <w:sz w:val="20"/>
          <w:szCs w:val="20"/>
        </w:rPr>
        <w:drawing>
          <wp:anchor distT="0" distB="0" distL="114300" distR="114300" simplePos="0" relativeHeight="251613184"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10" w:name="page10"/>
    <w:bookmarkEnd w:id="10"/>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395" w:lineRule="exact"/>
        <w:rPr>
          <w:sz w:val="20"/>
          <w:szCs w:val="20"/>
        </w:rPr>
      </w:pPr>
    </w:p>
    <w:p w:rsidR="000728AD" w:rsidRDefault="000561BE">
      <w:pPr>
        <w:ind w:right="-79"/>
        <w:jc w:val="center"/>
        <w:rPr>
          <w:sz w:val="20"/>
          <w:szCs w:val="20"/>
        </w:rPr>
      </w:pPr>
      <w:r>
        <w:rPr>
          <w:rFonts w:ascii="Arial" w:eastAsia="Arial" w:hAnsi="Arial" w:cs="Arial"/>
          <w:b/>
          <w:bCs/>
          <w:sz w:val="20"/>
          <w:szCs w:val="20"/>
        </w:rPr>
        <w:t>AXCELLA HEALTH INC.</w:t>
      </w:r>
    </w:p>
    <w:p w:rsidR="000728AD" w:rsidRDefault="000728AD">
      <w:pPr>
        <w:spacing w:line="22" w:lineRule="exact"/>
        <w:rPr>
          <w:sz w:val="20"/>
          <w:szCs w:val="20"/>
        </w:rPr>
      </w:pPr>
    </w:p>
    <w:p w:rsidR="000728AD" w:rsidRDefault="000561BE">
      <w:pPr>
        <w:ind w:right="-79"/>
        <w:jc w:val="center"/>
        <w:rPr>
          <w:sz w:val="20"/>
          <w:szCs w:val="20"/>
        </w:rPr>
      </w:pPr>
      <w:r>
        <w:rPr>
          <w:rFonts w:ascii="Arial" w:eastAsia="Arial" w:hAnsi="Arial" w:cs="Arial"/>
          <w:b/>
          <w:bCs/>
          <w:sz w:val="20"/>
          <w:szCs w:val="20"/>
        </w:rPr>
        <w:t>NOTES TO CONDENSED CONSOLIDATED FINANCIAL STATEMENTS (Unaudited)</w:t>
      </w:r>
    </w:p>
    <w:p w:rsidR="000728AD" w:rsidRDefault="000728AD">
      <w:pPr>
        <w:spacing w:line="194" w:lineRule="exact"/>
        <w:rPr>
          <w:sz w:val="20"/>
          <w:szCs w:val="20"/>
        </w:rPr>
      </w:pPr>
    </w:p>
    <w:p w:rsidR="000728AD" w:rsidRDefault="000561BE">
      <w:pPr>
        <w:rPr>
          <w:sz w:val="20"/>
          <w:szCs w:val="20"/>
        </w:rPr>
      </w:pPr>
      <w:r>
        <w:rPr>
          <w:rFonts w:ascii="Arial" w:eastAsia="Arial" w:hAnsi="Arial" w:cs="Arial"/>
          <w:b/>
          <w:bCs/>
          <w:sz w:val="20"/>
          <w:szCs w:val="20"/>
        </w:rPr>
        <w:t>1. NATURE OF BUSINESS</w:t>
      </w:r>
    </w:p>
    <w:p w:rsidR="000728AD" w:rsidRDefault="000728AD">
      <w:pPr>
        <w:spacing w:line="222" w:lineRule="exact"/>
        <w:rPr>
          <w:sz w:val="20"/>
          <w:szCs w:val="20"/>
        </w:rPr>
      </w:pPr>
    </w:p>
    <w:p w:rsidR="000728AD" w:rsidRDefault="000561BE">
      <w:pPr>
        <w:spacing w:line="244" w:lineRule="auto"/>
        <w:ind w:right="40"/>
        <w:rPr>
          <w:sz w:val="20"/>
          <w:szCs w:val="20"/>
        </w:rPr>
      </w:pPr>
      <w:r>
        <w:rPr>
          <w:rFonts w:ascii="Arial" w:eastAsia="Arial" w:hAnsi="Arial" w:cs="Arial"/>
          <w:sz w:val="20"/>
          <w:szCs w:val="20"/>
        </w:rPr>
        <w:t>Axcella Health Inc. and subsidiaries ("Axcella," the "Company" or "we") is a biotechnology company t</w:t>
      </w:r>
      <w:r>
        <w:rPr>
          <w:rFonts w:ascii="Arial" w:eastAsia="Arial" w:hAnsi="Arial" w:cs="Arial"/>
          <w:sz w:val="20"/>
          <w:szCs w:val="20"/>
        </w:rPr>
        <w:t>hat was incorporated in Delaware on August 27, 2008 and has a principal place of business in Cambridge, Massachusetts. The Company is focused on pioneering a new approach to treat complex diseases and improve health using endogenous metabolic modulator, or</w:t>
      </w:r>
      <w:r>
        <w:rPr>
          <w:rFonts w:ascii="Arial" w:eastAsia="Arial" w:hAnsi="Arial" w:cs="Arial"/>
          <w:sz w:val="20"/>
          <w:szCs w:val="20"/>
        </w:rPr>
        <w:t xml:space="preserve"> EMM, compositions. The Company's product candidates are comprised of multiple EMMs that are engineered in distinct combinations and ratios with the goal of simultaneously impacting multiple biological pathways.</w:t>
      </w:r>
    </w:p>
    <w:p w:rsidR="000728AD" w:rsidRDefault="000728AD">
      <w:pPr>
        <w:spacing w:line="194" w:lineRule="exact"/>
        <w:rPr>
          <w:sz w:val="20"/>
          <w:szCs w:val="20"/>
        </w:rPr>
      </w:pPr>
    </w:p>
    <w:p w:rsidR="000728AD" w:rsidRDefault="000561BE">
      <w:pPr>
        <w:spacing w:line="255" w:lineRule="auto"/>
        <w:rPr>
          <w:sz w:val="20"/>
          <w:szCs w:val="20"/>
        </w:rPr>
      </w:pPr>
      <w:r>
        <w:rPr>
          <w:rFonts w:ascii="Arial" w:eastAsia="Arial" w:hAnsi="Arial" w:cs="Arial"/>
          <w:sz w:val="19"/>
          <w:szCs w:val="19"/>
        </w:rPr>
        <w:t>The Company is subject to risks and uncerta</w:t>
      </w:r>
      <w:r>
        <w:rPr>
          <w:rFonts w:ascii="Arial" w:eastAsia="Arial" w:hAnsi="Arial" w:cs="Arial"/>
          <w:sz w:val="19"/>
          <w:szCs w:val="19"/>
        </w:rPr>
        <w:t xml:space="preserve">inties common to early-stage companies in the biotechnology industry, including, but not limited to, successful development of technology, obtaining additional funding, protection of proprietary technology, compliance with government regulations, risks of </w:t>
      </w:r>
      <w:r>
        <w:rPr>
          <w:rFonts w:ascii="Arial" w:eastAsia="Arial" w:hAnsi="Arial" w:cs="Arial"/>
          <w:sz w:val="19"/>
          <w:szCs w:val="19"/>
        </w:rPr>
        <w:t>failure of preclinical studies, Clinical Studies and Clinical Trials, the need to obtain marketing approval for its product candidates, if required, and successfully market products, fluctuations in operating results, economic pressure impacting therapeuti</w:t>
      </w:r>
      <w:r>
        <w:rPr>
          <w:rFonts w:ascii="Arial" w:eastAsia="Arial" w:hAnsi="Arial" w:cs="Arial"/>
          <w:sz w:val="19"/>
          <w:szCs w:val="19"/>
        </w:rPr>
        <w:t xml:space="preserve">c pricing, dependence on key personnel, risks associated with changes in technologies, development by competitors of technological innovations and the ability to scale manufacturing to large scale production. Product candidates currently under development </w:t>
      </w:r>
      <w:r>
        <w:rPr>
          <w:rFonts w:ascii="Arial" w:eastAsia="Arial" w:hAnsi="Arial" w:cs="Arial"/>
          <w:sz w:val="19"/>
          <w:szCs w:val="19"/>
        </w:rPr>
        <w:t>will require significant additional research and development efforts, including preclinical and clinical testing and any necessary regulatory approval prior to commercialization. These efforts require significant amounts of additional capital, adequate per</w:t>
      </w:r>
      <w:r>
        <w:rPr>
          <w:rFonts w:ascii="Arial" w:eastAsia="Arial" w:hAnsi="Arial" w:cs="Arial"/>
          <w:sz w:val="19"/>
          <w:szCs w:val="19"/>
        </w:rPr>
        <w:t>sonnel and infrastructure and extensive compliance-reporting capabilities. Even if development efforts are successful, it is uncertain when, if ever, the Company will realize significant revenue from product sales.</w:t>
      </w:r>
    </w:p>
    <w:p w:rsidR="000728AD" w:rsidRDefault="000728AD">
      <w:pPr>
        <w:spacing w:line="190" w:lineRule="exact"/>
        <w:rPr>
          <w:sz w:val="20"/>
          <w:szCs w:val="20"/>
        </w:rPr>
      </w:pPr>
    </w:p>
    <w:p w:rsidR="000728AD" w:rsidRDefault="000561BE">
      <w:pPr>
        <w:spacing w:line="270" w:lineRule="auto"/>
        <w:ind w:right="80"/>
        <w:rPr>
          <w:sz w:val="20"/>
          <w:szCs w:val="20"/>
        </w:rPr>
      </w:pPr>
      <w:r>
        <w:rPr>
          <w:rFonts w:ascii="Arial" w:eastAsia="Arial" w:hAnsi="Arial" w:cs="Arial"/>
          <w:sz w:val="18"/>
          <w:szCs w:val="18"/>
        </w:rPr>
        <w:t xml:space="preserve">The accompanying condensed </w:t>
      </w:r>
      <w:r>
        <w:rPr>
          <w:rFonts w:ascii="Arial" w:eastAsia="Arial" w:hAnsi="Arial" w:cs="Arial"/>
          <w:sz w:val="18"/>
          <w:szCs w:val="18"/>
        </w:rPr>
        <w:t>consolidated financial statements have been prepared on a going concern basis, which contemplates the realization of assets and the satisfaction of liabilities and commitments in the ordinary course of business. Consequently, Management has evaluated wheth</w:t>
      </w:r>
      <w:r>
        <w:rPr>
          <w:rFonts w:ascii="Arial" w:eastAsia="Arial" w:hAnsi="Arial" w:cs="Arial"/>
          <w:sz w:val="18"/>
          <w:szCs w:val="18"/>
        </w:rPr>
        <w:t>er there are conditions and events, considered in the aggregate, that raise substantial doubt about the Company’s ability to continue as a going concern within 12 months after the date the quarterly financial statements herein are issued. As of June 30, 20</w:t>
      </w:r>
      <w:r>
        <w:rPr>
          <w:rFonts w:ascii="Arial" w:eastAsia="Arial" w:hAnsi="Arial" w:cs="Arial"/>
          <w:sz w:val="18"/>
          <w:szCs w:val="18"/>
        </w:rPr>
        <w:t>21, the Company had cash, cash equivalents and marketable securities of $78.9 million, and an accumulated deficit of $303.7 million. Management believes that its cash, cash equivalents and marketable securities on hand as of June 30, 2021, will be sufficie</w:t>
      </w:r>
      <w:r>
        <w:rPr>
          <w:rFonts w:ascii="Arial" w:eastAsia="Arial" w:hAnsi="Arial" w:cs="Arial"/>
          <w:sz w:val="18"/>
          <w:szCs w:val="18"/>
        </w:rPr>
        <w:t>nt to continue funding the Company’s current research and development activities for at least 12 months from the date these financial statements are issued. Management has based this estimate on assumptions that may prove to be wrong, and the Company could</w:t>
      </w:r>
      <w:r>
        <w:rPr>
          <w:rFonts w:ascii="Arial" w:eastAsia="Arial" w:hAnsi="Arial" w:cs="Arial"/>
          <w:sz w:val="18"/>
          <w:szCs w:val="18"/>
        </w:rPr>
        <w:t xml:space="preserve"> utilize its available capital resources sooner than expected if it elects to pursue and develop new clinical and preclinical programs in addition to its existing programs. Thus, additional funding will be necessary beyond this point to continue to fund th</w:t>
      </w:r>
      <w:r>
        <w:rPr>
          <w:rFonts w:ascii="Arial" w:eastAsia="Arial" w:hAnsi="Arial" w:cs="Arial"/>
          <w:sz w:val="18"/>
          <w:szCs w:val="18"/>
        </w:rPr>
        <w:t>e Company’s research and development activities. The Company may seek additional funding through the sale of its common stock, refinancing its outstanding loan and security agreement, collaboration agreements, strategic alliances and licensing arrangements</w:t>
      </w:r>
      <w:r>
        <w:rPr>
          <w:rFonts w:ascii="Arial" w:eastAsia="Arial" w:hAnsi="Arial" w:cs="Arial"/>
          <w:sz w:val="18"/>
          <w:szCs w:val="18"/>
        </w:rPr>
        <w:t>.</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72" w:lineRule="exact"/>
        <w:rPr>
          <w:sz w:val="20"/>
          <w:szCs w:val="20"/>
        </w:rPr>
      </w:pPr>
    </w:p>
    <w:p w:rsidR="000728AD" w:rsidRDefault="000561BE">
      <w:pPr>
        <w:ind w:right="-79"/>
        <w:jc w:val="center"/>
        <w:rPr>
          <w:sz w:val="20"/>
          <w:szCs w:val="20"/>
        </w:rPr>
      </w:pPr>
      <w:r>
        <w:rPr>
          <w:rFonts w:ascii="Arial" w:eastAsia="Arial" w:hAnsi="Arial" w:cs="Arial"/>
          <w:sz w:val="18"/>
          <w:szCs w:val="18"/>
        </w:rPr>
        <w:t>10</w:t>
      </w:r>
    </w:p>
    <w:p w:rsidR="000728AD" w:rsidRDefault="000561BE">
      <w:pPr>
        <w:spacing w:line="20" w:lineRule="exact"/>
        <w:rPr>
          <w:sz w:val="20"/>
          <w:szCs w:val="20"/>
        </w:rPr>
      </w:pPr>
      <w:r>
        <w:rPr>
          <w:noProof/>
          <w:sz w:val="20"/>
          <w:szCs w:val="20"/>
        </w:rPr>
        <w:drawing>
          <wp:anchor distT="0" distB="0" distL="114300" distR="114300" simplePos="0" relativeHeight="251614208"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99" w:bottom="1440" w:left="320" w:header="0" w:footer="0" w:gutter="0"/>
          <w:cols w:space="720" w:equalWidth="0">
            <w:col w:w="11180"/>
          </w:cols>
        </w:sectPr>
      </w:pPr>
    </w:p>
    <w:bookmarkStart w:id="11" w:name="page11"/>
    <w:bookmarkEnd w:id="11"/>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11" w:lineRule="exact"/>
        <w:rPr>
          <w:sz w:val="20"/>
          <w:szCs w:val="20"/>
        </w:rPr>
      </w:pPr>
    </w:p>
    <w:p w:rsidR="000728AD" w:rsidRDefault="000561BE">
      <w:pPr>
        <w:rPr>
          <w:sz w:val="20"/>
          <w:szCs w:val="20"/>
        </w:rPr>
      </w:pPr>
      <w:r>
        <w:rPr>
          <w:rFonts w:ascii="Arial" w:eastAsia="Arial" w:hAnsi="Arial" w:cs="Arial"/>
          <w:b/>
          <w:bCs/>
          <w:sz w:val="20"/>
          <w:szCs w:val="20"/>
        </w:rPr>
        <w:t>2. SUMMARY OF SIGNIFICANT ACCOUNTING POLICIES</w:t>
      </w:r>
    </w:p>
    <w:p w:rsidR="000728AD" w:rsidRDefault="000728AD">
      <w:pPr>
        <w:spacing w:line="222" w:lineRule="exact"/>
        <w:rPr>
          <w:sz w:val="20"/>
          <w:szCs w:val="20"/>
        </w:rPr>
      </w:pPr>
    </w:p>
    <w:p w:rsidR="000728AD" w:rsidRDefault="000561BE">
      <w:pPr>
        <w:rPr>
          <w:sz w:val="20"/>
          <w:szCs w:val="20"/>
        </w:rPr>
      </w:pPr>
      <w:r>
        <w:rPr>
          <w:rFonts w:ascii="Arial" w:eastAsia="Arial" w:hAnsi="Arial" w:cs="Arial"/>
          <w:b/>
          <w:bCs/>
          <w:i/>
          <w:iCs/>
          <w:sz w:val="20"/>
          <w:szCs w:val="20"/>
        </w:rPr>
        <w:t>Basis of Presentation</w:t>
      </w:r>
    </w:p>
    <w:p w:rsidR="000728AD" w:rsidRDefault="000728AD">
      <w:pPr>
        <w:spacing w:line="216" w:lineRule="exact"/>
        <w:rPr>
          <w:sz w:val="20"/>
          <w:szCs w:val="20"/>
        </w:rPr>
      </w:pPr>
    </w:p>
    <w:p w:rsidR="000728AD" w:rsidRDefault="000561BE">
      <w:pPr>
        <w:spacing w:line="246" w:lineRule="auto"/>
        <w:ind w:right="20"/>
        <w:rPr>
          <w:sz w:val="20"/>
          <w:szCs w:val="20"/>
        </w:rPr>
      </w:pPr>
      <w:r>
        <w:rPr>
          <w:rFonts w:ascii="Arial" w:eastAsia="Arial" w:hAnsi="Arial" w:cs="Arial"/>
          <w:sz w:val="20"/>
          <w:szCs w:val="20"/>
        </w:rPr>
        <w:t xml:space="preserve">The accompanying condensed consolidated financial statements have been prepared in conformity with </w:t>
      </w:r>
      <w:r>
        <w:rPr>
          <w:rFonts w:ascii="Arial" w:eastAsia="Arial" w:hAnsi="Arial" w:cs="Arial"/>
          <w:sz w:val="20"/>
          <w:szCs w:val="20"/>
        </w:rPr>
        <w:t xml:space="preserve">accounting principles generally accepted in the United States of America (“GAAP”). Any reference in these notes to applicable guidance is meant to refer to the authoritative United States generally accepted accounting principles as found in the Accounting </w:t>
      </w:r>
      <w:r>
        <w:rPr>
          <w:rFonts w:ascii="Arial" w:eastAsia="Arial" w:hAnsi="Arial" w:cs="Arial"/>
          <w:sz w:val="20"/>
          <w:szCs w:val="20"/>
        </w:rPr>
        <w:t>Standards Codification (“ASC”) and Accounting Standards Update (“ASU”) of the Financial Accounting Standards Board (“FASB”).</w:t>
      </w:r>
    </w:p>
    <w:p w:rsidR="000728AD" w:rsidRDefault="000728AD">
      <w:pPr>
        <w:spacing w:line="191" w:lineRule="exact"/>
        <w:rPr>
          <w:sz w:val="20"/>
          <w:szCs w:val="20"/>
        </w:rPr>
      </w:pPr>
    </w:p>
    <w:p w:rsidR="000728AD" w:rsidRDefault="000561BE">
      <w:pPr>
        <w:spacing w:line="272" w:lineRule="auto"/>
        <w:rPr>
          <w:sz w:val="20"/>
          <w:szCs w:val="20"/>
        </w:rPr>
      </w:pPr>
      <w:r>
        <w:rPr>
          <w:rFonts w:ascii="Arial" w:eastAsia="Arial" w:hAnsi="Arial" w:cs="Arial"/>
          <w:sz w:val="18"/>
          <w:szCs w:val="18"/>
        </w:rPr>
        <w:t>Furthermore, the accompanying condensed consolidated financial statements are unaudited and certain information and footnote discl</w:t>
      </w:r>
      <w:r>
        <w:rPr>
          <w:rFonts w:ascii="Arial" w:eastAsia="Arial" w:hAnsi="Arial" w:cs="Arial"/>
          <w:sz w:val="18"/>
          <w:szCs w:val="18"/>
        </w:rPr>
        <w:t>osures normally included in financial statements prepared in accordance with GAAP have been condensed or omitted from this report, as is permitted by such rules and regulations. As of June 30, 2021, the Company’s significant accounting policies and estimat</w:t>
      </w:r>
      <w:r>
        <w:rPr>
          <w:rFonts w:ascii="Arial" w:eastAsia="Arial" w:hAnsi="Arial" w:cs="Arial"/>
          <w:sz w:val="18"/>
          <w:szCs w:val="18"/>
        </w:rPr>
        <w:t xml:space="preserve">es, which are detailed in the Company’s Annual Report on Form 10-K for the year ended December 31, 2020, have not changed, and the unaudited interim financial statements have been prepared on the same basis as the audited annual financial statements as of </w:t>
      </w:r>
      <w:r>
        <w:rPr>
          <w:rFonts w:ascii="Arial" w:eastAsia="Arial" w:hAnsi="Arial" w:cs="Arial"/>
          <w:sz w:val="18"/>
          <w:szCs w:val="18"/>
        </w:rPr>
        <w:t>and for the year ended December 31, 2020. The accompanying interim condensed consolidated financial statements reflect all adjustments, consisting of normal recurring adjustments, necessary for the fair presentation of the Company’s financial position as o</w:t>
      </w:r>
      <w:r>
        <w:rPr>
          <w:rFonts w:ascii="Arial" w:eastAsia="Arial" w:hAnsi="Arial" w:cs="Arial"/>
          <w:sz w:val="18"/>
          <w:szCs w:val="18"/>
        </w:rPr>
        <w:t>f June 30, 2021, the results of its operations for the three and six months ended June 30, 2021 and 2020, its cash flows for the six months ended June 30, 2021 and 2020, and its statements of stockholders’ equity for the three and six months ended June 30,</w:t>
      </w:r>
      <w:r>
        <w:rPr>
          <w:rFonts w:ascii="Arial" w:eastAsia="Arial" w:hAnsi="Arial" w:cs="Arial"/>
          <w:sz w:val="18"/>
          <w:szCs w:val="18"/>
        </w:rPr>
        <w:t xml:space="preserve"> 2021 and 2020.</w:t>
      </w:r>
    </w:p>
    <w:p w:rsidR="000728AD" w:rsidRDefault="000728AD">
      <w:pPr>
        <w:spacing w:line="170" w:lineRule="exact"/>
        <w:rPr>
          <w:sz w:val="20"/>
          <w:szCs w:val="20"/>
        </w:rPr>
      </w:pPr>
    </w:p>
    <w:p w:rsidR="000728AD" w:rsidRDefault="000561BE">
      <w:pPr>
        <w:spacing w:line="244" w:lineRule="auto"/>
        <w:ind w:right="60"/>
        <w:rPr>
          <w:sz w:val="20"/>
          <w:szCs w:val="20"/>
        </w:rPr>
      </w:pPr>
      <w:r>
        <w:rPr>
          <w:rFonts w:ascii="Arial" w:eastAsia="Arial" w:hAnsi="Arial" w:cs="Arial"/>
          <w:sz w:val="20"/>
          <w:szCs w:val="20"/>
        </w:rPr>
        <w:t xml:space="preserve">The results for the three and six months ended June 30, 2021 are not necessarily indicative of the results to be expected for the year ending December 31, 2021, any other interim periods, or any future year or period. These interim </w:t>
      </w:r>
      <w:r>
        <w:rPr>
          <w:rFonts w:ascii="Arial" w:eastAsia="Arial" w:hAnsi="Arial" w:cs="Arial"/>
          <w:sz w:val="20"/>
          <w:szCs w:val="20"/>
        </w:rPr>
        <w:t>financial statements should be read in conjunction with the audited financial statements as of and for the year ended December 31, 2020, and the notes thereto, together with Management’s Discussion and Analysis of Financial Condition and Results of Operati</w:t>
      </w:r>
      <w:r>
        <w:rPr>
          <w:rFonts w:ascii="Arial" w:eastAsia="Arial" w:hAnsi="Arial" w:cs="Arial"/>
          <w:sz w:val="20"/>
          <w:szCs w:val="20"/>
        </w:rPr>
        <w:t>ons, contained in the Company’s Annual Report on Form 10-K for the year ended December 31, 2020.</w:t>
      </w:r>
    </w:p>
    <w:p w:rsidR="000728AD" w:rsidRDefault="000728AD">
      <w:pPr>
        <w:spacing w:line="194" w:lineRule="exact"/>
        <w:rPr>
          <w:sz w:val="20"/>
          <w:szCs w:val="20"/>
        </w:rPr>
      </w:pPr>
    </w:p>
    <w:p w:rsidR="000728AD" w:rsidRDefault="000561BE">
      <w:pPr>
        <w:rPr>
          <w:sz w:val="20"/>
          <w:szCs w:val="20"/>
        </w:rPr>
      </w:pPr>
      <w:r>
        <w:rPr>
          <w:rFonts w:ascii="Arial" w:eastAsia="Arial" w:hAnsi="Arial" w:cs="Arial"/>
          <w:b/>
          <w:bCs/>
          <w:i/>
          <w:iCs/>
          <w:sz w:val="20"/>
          <w:szCs w:val="20"/>
        </w:rPr>
        <w:t>Principles of Consolidation</w:t>
      </w:r>
    </w:p>
    <w:p w:rsidR="000728AD" w:rsidRDefault="000728AD">
      <w:pPr>
        <w:spacing w:line="216" w:lineRule="exact"/>
        <w:rPr>
          <w:sz w:val="20"/>
          <w:szCs w:val="20"/>
        </w:rPr>
      </w:pPr>
    </w:p>
    <w:p w:rsidR="000728AD" w:rsidRDefault="000561BE">
      <w:pPr>
        <w:spacing w:line="260" w:lineRule="auto"/>
        <w:ind w:right="940"/>
        <w:rPr>
          <w:sz w:val="20"/>
          <w:szCs w:val="20"/>
        </w:rPr>
      </w:pPr>
      <w:r>
        <w:rPr>
          <w:rFonts w:ascii="Arial" w:eastAsia="Arial" w:hAnsi="Arial" w:cs="Arial"/>
          <w:sz w:val="20"/>
          <w:szCs w:val="20"/>
        </w:rPr>
        <w:t>The accompanying condensed consolidated financial statements include the accounts of Axcella Health Inc. and its wholly owned sub</w:t>
      </w:r>
      <w:r>
        <w:rPr>
          <w:rFonts w:ascii="Arial" w:eastAsia="Arial" w:hAnsi="Arial" w:cs="Arial"/>
          <w:sz w:val="20"/>
          <w:szCs w:val="20"/>
        </w:rPr>
        <w:t>sidiaries. All intercompany transactions and balances have been eliminated in consolidation.</w:t>
      </w:r>
    </w:p>
    <w:p w:rsidR="000728AD" w:rsidRDefault="000728AD">
      <w:pPr>
        <w:spacing w:line="177" w:lineRule="exact"/>
        <w:rPr>
          <w:sz w:val="20"/>
          <w:szCs w:val="20"/>
        </w:rPr>
      </w:pPr>
    </w:p>
    <w:p w:rsidR="000728AD" w:rsidRDefault="000561BE">
      <w:pPr>
        <w:rPr>
          <w:sz w:val="20"/>
          <w:szCs w:val="20"/>
        </w:rPr>
      </w:pPr>
      <w:r>
        <w:rPr>
          <w:rFonts w:ascii="Arial" w:eastAsia="Arial" w:hAnsi="Arial" w:cs="Arial"/>
          <w:b/>
          <w:bCs/>
          <w:i/>
          <w:iCs/>
          <w:sz w:val="20"/>
          <w:szCs w:val="20"/>
        </w:rPr>
        <w:t>Segment Information</w:t>
      </w:r>
    </w:p>
    <w:p w:rsidR="000728AD" w:rsidRDefault="000728AD">
      <w:pPr>
        <w:spacing w:line="216" w:lineRule="exact"/>
        <w:rPr>
          <w:sz w:val="20"/>
          <w:szCs w:val="20"/>
        </w:rPr>
      </w:pPr>
    </w:p>
    <w:p w:rsidR="000728AD" w:rsidRDefault="000561BE">
      <w:pPr>
        <w:spacing w:line="250" w:lineRule="auto"/>
        <w:ind w:right="80"/>
        <w:rPr>
          <w:sz w:val="20"/>
          <w:szCs w:val="20"/>
        </w:rPr>
      </w:pPr>
      <w:r>
        <w:rPr>
          <w:rFonts w:ascii="Arial" w:eastAsia="Arial" w:hAnsi="Arial" w:cs="Arial"/>
          <w:sz w:val="20"/>
          <w:szCs w:val="20"/>
        </w:rPr>
        <w:t>Operating segments are identified as components of an enterprise about which separate discrete financial information is available for evaluat</w:t>
      </w:r>
      <w:r>
        <w:rPr>
          <w:rFonts w:ascii="Arial" w:eastAsia="Arial" w:hAnsi="Arial" w:cs="Arial"/>
          <w:sz w:val="20"/>
          <w:szCs w:val="20"/>
        </w:rPr>
        <w:t>ion by the CEO, who is the chief operating decision maker, in making decisions on how to allocate resources and assess performance. The Company operates in one reportable business segment.</w:t>
      </w:r>
    </w:p>
    <w:p w:rsidR="000728AD" w:rsidRDefault="000728AD">
      <w:pPr>
        <w:spacing w:line="186" w:lineRule="exact"/>
        <w:rPr>
          <w:sz w:val="20"/>
          <w:szCs w:val="20"/>
        </w:rPr>
      </w:pPr>
    </w:p>
    <w:p w:rsidR="000728AD" w:rsidRDefault="000561BE">
      <w:pPr>
        <w:rPr>
          <w:sz w:val="20"/>
          <w:szCs w:val="20"/>
        </w:rPr>
      </w:pPr>
      <w:r>
        <w:rPr>
          <w:rFonts w:ascii="Arial" w:eastAsia="Arial" w:hAnsi="Arial" w:cs="Arial"/>
          <w:b/>
          <w:bCs/>
          <w:i/>
          <w:iCs/>
          <w:sz w:val="20"/>
          <w:szCs w:val="20"/>
        </w:rPr>
        <w:t>Use of Estimates</w:t>
      </w:r>
    </w:p>
    <w:p w:rsidR="000728AD" w:rsidRDefault="000728AD">
      <w:pPr>
        <w:spacing w:line="216" w:lineRule="exact"/>
        <w:rPr>
          <w:sz w:val="20"/>
          <w:szCs w:val="20"/>
        </w:rPr>
      </w:pPr>
    </w:p>
    <w:p w:rsidR="000728AD" w:rsidRDefault="000561BE">
      <w:pPr>
        <w:spacing w:line="259" w:lineRule="auto"/>
        <w:ind w:right="120"/>
        <w:rPr>
          <w:sz w:val="20"/>
          <w:szCs w:val="20"/>
        </w:rPr>
      </w:pPr>
      <w:r>
        <w:rPr>
          <w:rFonts w:ascii="Arial" w:eastAsia="Arial" w:hAnsi="Arial" w:cs="Arial"/>
          <w:sz w:val="19"/>
          <w:szCs w:val="19"/>
        </w:rPr>
        <w:t>The preparation of the condensed consolidated fi</w:t>
      </w:r>
      <w:r>
        <w:rPr>
          <w:rFonts w:ascii="Arial" w:eastAsia="Arial" w:hAnsi="Arial" w:cs="Arial"/>
          <w:sz w:val="19"/>
          <w:szCs w:val="19"/>
        </w:rPr>
        <w:t>nancial statements in accordance with GAAP requires management to make estimates and assumptions that affect the reported amounts of assets and liabilities and disclosure of contingent assets and liabilities at the date of the condensed consolidated financ</w:t>
      </w:r>
      <w:r>
        <w:rPr>
          <w:rFonts w:ascii="Arial" w:eastAsia="Arial" w:hAnsi="Arial" w:cs="Arial"/>
          <w:sz w:val="19"/>
          <w:szCs w:val="19"/>
        </w:rPr>
        <w:t>ial statements and the reported amounts of expenses during the reporting period. The Company bases its estimates on historical experience, known trends and other market-specific or relevant factors that it believes to be reasonable under the circumstances.</w:t>
      </w:r>
      <w:r>
        <w:rPr>
          <w:rFonts w:ascii="Arial" w:eastAsia="Arial" w:hAnsi="Arial" w:cs="Arial"/>
          <w:sz w:val="19"/>
          <w:szCs w:val="19"/>
        </w:rPr>
        <w:t xml:space="preserve"> On an ongoing basis, management evaluates its estimates as there are changes in circumstances, facts and experience. Actual results may differ from those estimates or assumptions.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75" w:lineRule="exact"/>
        <w:rPr>
          <w:sz w:val="20"/>
          <w:szCs w:val="20"/>
        </w:rPr>
      </w:pPr>
    </w:p>
    <w:p w:rsidR="000728AD" w:rsidRDefault="000561BE">
      <w:pPr>
        <w:jc w:val="center"/>
        <w:rPr>
          <w:sz w:val="20"/>
          <w:szCs w:val="20"/>
        </w:rPr>
      </w:pPr>
      <w:r>
        <w:rPr>
          <w:rFonts w:ascii="Arial" w:eastAsia="Arial" w:hAnsi="Arial" w:cs="Arial"/>
          <w:sz w:val="18"/>
          <w:szCs w:val="18"/>
        </w:rPr>
        <w:t>11</w:t>
      </w:r>
    </w:p>
    <w:p w:rsidR="000728AD" w:rsidRDefault="000561BE">
      <w:pPr>
        <w:spacing w:line="20" w:lineRule="exact"/>
        <w:rPr>
          <w:sz w:val="20"/>
          <w:szCs w:val="20"/>
        </w:rPr>
      </w:pPr>
      <w:r>
        <w:rPr>
          <w:noProof/>
          <w:sz w:val="20"/>
          <w:szCs w:val="20"/>
        </w:rPr>
        <w:drawing>
          <wp:anchor distT="0" distB="0" distL="114300" distR="114300" simplePos="0" relativeHeight="251615232"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12" w:name="page12"/>
    <w:bookmarkEnd w:id="12"/>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rPr>
          <w:sz w:val="20"/>
          <w:szCs w:val="20"/>
        </w:rPr>
      </w:pPr>
      <w:r>
        <w:rPr>
          <w:rFonts w:ascii="Arial" w:eastAsia="Arial" w:hAnsi="Arial" w:cs="Arial"/>
          <w:b/>
          <w:bCs/>
          <w:i/>
          <w:iCs/>
          <w:sz w:val="20"/>
          <w:szCs w:val="20"/>
        </w:rPr>
        <w:t>Cash and Cash Equivalents</w:t>
      </w:r>
    </w:p>
    <w:p w:rsidR="000728AD" w:rsidRDefault="000728AD">
      <w:pPr>
        <w:spacing w:line="216" w:lineRule="exact"/>
        <w:rPr>
          <w:sz w:val="20"/>
          <w:szCs w:val="20"/>
        </w:rPr>
      </w:pPr>
    </w:p>
    <w:p w:rsidR="000728AD" w:rsidRDefault="000561BE">
      <w:pPr>
        <w:spacing w:line="250" w:lineRule="auto"/>
        <w:ind w:right="180"/>
        <w:rPr>
          <w:sz w:val="20"/>
          <w:szCs w:val="20"/>
        </w:rPr>
      </w:pPr>
      <w:r>
        <w:rPr>
          <w:rFonts w:ascii="Arial" w:eastAsia="Arial" w:hAnsi="Arial" w:cs="Arial"/>
          <w:sz w:val="20"/>
          <w:szCs w:val="20"/>
        </w:rPr>
        <w:t>Cash and cash equivalents include cash held in banks and amounts held in interest-bearing money market accounts. Cash equivalents are carried at cost, which approximates their fair market value. The Company considers all highl</w:t>
      </w:r>
      <w:r>
        <w:rPr>
          <w:rFonts w:ascii="Arial" w:eastAsia="Arial" w:hAnsi="Arial" w:cs="Arial"/>
          <w:sz w:val="20"/>
          <w:szCs w:val="20"/>
        </w:rPr>
        <w:t>y liquid investments with a remaining maturity when purchased of three months or less to also be cash equivalents.</w:t>
      </w:r>
    </w:p>
    <w:p w:rsidR="000728AD" w:rsidRDefault="000728AD">
      <w:pPr>
        <w:spacing w:line="186" w:lineRule="exact"/>
        <w:rPr>
          <w:sz w:val="20"/>
          <w:szCs w:val="20"/>
        </w:rPr>
      </w:pPr>
    </w:p>
    <w:p w:rsidR="000728AD" w:rsidRDefault="000561BE">
      <w:pPr>
        <w:rPr>
          <w:sz w:val="20"/>
          <w:szCs w:val="20"/>
        </w:rPr>
      </w:pPr>
      <w:r>
        <w:rPr>
          <w:rFonts w:ascii="Arial" w:eastAsia="Arial" w:hAnsi="Arial" w:cs="Arial"/>
          <w:b/>
          <w:bCs/>
          <w:i/>
          <w:iCs/>
          <w:sz w:val="20"/>
          <w:szCs w:val="20"/>
        </w:rPr>
        <w:t>Marketable Securities</w:t>
      </w:r>
    </w:p>
    <w:p w:rsidR="000728AD" w:rsidRDefault="000728AD">
      <w:pPr>
        <w:spacing w:line="216" w:lineRule="exact"/>
        <w:rPr>
          <w:sz w:val="20"/>
          <w:szCs w:val="20"/>
        </w:rPr>
      </w:pPr>
    </w:p>
    <w:p w:rsidR="000728AD" w:rsidRDefault="000561BE">
      <w:pPr>
        <w:spacing w:line="244" w:lineRule="auto"/>
        <w:ind w:right="20"/>
        <w:rPr>
          <w:sz w:val="20"/>
          <w:szCs w:val="20"/>
        </w:rPr>
      </w:pPr>
      <w:r>
        <w:rPr>
          <w:rFonts w:ascii="Arial" w:eastAsia="Arial" w:hAnsi="Arial" w:cs="Arial"/>
          <w:sz w:val="20"/>
          <w:szCs w:val="20"/>
        </w:rPr>
        <w:t>The Company’s marketable securities, which consisted of corporate debt obligations as of June 30, 2021, are classifie</w:t>
      </w:r>
      <w:r>
        <w:rPr>
          <w:rFonts w:ascii="Arial" w:eastAsia="Arial" w:hAnsi="Arial" w:cs="Arial"/>
          <w:sz w:val="20"/>
          <w:szCs w:val="20"/>
        </w:rPr>
        <w:t>d as available-for-sale and are reported at fair value. Unrealized gains and losses on available-for-sale securities are reported as a component of accumulated other comprehensive income (loss) in stockholders’ equity. Realized gains and losses and decline</w:t>
      </w:r>
      <w:r>
        <w:rPr>
          <w:rFonts w:ascii="Arial" w:eastAsia="Arial" w:hAnsi="Arial" w:cs="Arial"/>
          <w:sz w:val="20"/>
          <w:szCs w:val="20"/>
        </w:rPr>
        <w:t>s in value determined to be other than temporary are based on the specific identification method and are included as a component of other income (expense), net in the condensed consolidated statements of operations and comprehensive loss.</w:t>
      </w:r>
    </w:p>
    <w:p w:rsidR="000728AD" w:rsidRDefault="000728AD">
      <w:pPr>
        <w:spacing w:line="194" w:lineRule="exact"/>
        <w:rPr>
          <w:sz w:val="20"/>
          <w:szCs w:val="20"/>
        </w:rPr>
      </w:pPr>
    </w:p>
    <w:p w:rsidR="000728AD" w:rsidRDefault="000561BE">
      <w:pPr>
        <w:spacing w:line="274" w:lineRule="auto"/>
        <w:rPr>
          <w:sz w:val="20"/>
          <w:szCs w:val="20"/>
        </w:rPr>
      </w:pPr>
      <w:r>
        <w:rPr>
          <w:rFonts w:ascii="Arial" w:eastAsia="Arial" w:hAnsi="Arial" w:cs="Arial"/>
          <w:sz w:val="18"/>
          <w:szCs w:val="18"/>
        </w:rPr>
        <w:t>The Company eval</w:t>
      </w:r>
      <w:r>
        <w:rPr>
          <w:rFonts w:ascii="Arial" w:eastAsia="Arial" w:hAnsi="Arial" w:cs="Arial"/>
          <w:sz w:val="18"/>
          <w:szCs w:val="18"/>
        </w:rPr>
        <w:t>uates its marketable securities with unrealized losses for other-than-temporary impairment. When assessing marketable securities for other-than-temporary declines in value, the Company considers such factors as, among other things, how significant the decl</w:t>
      </w:r>
      <w:r>
        <w:rPr>
          <w:rFonts w:ascii="Arial" w:eastAsia="Arial" w:hAnsi="Arial" w:cs="Arial"/>
          <w:sz w:val="18"/>
          <w:szCs w:val="18"/>
        </w:rPr>
        <w:t>ine in value is as a percentage of the original cost, how long the market value of the investment has been less than its original cost, the Company’s ability and intent to retain the investment for a period of time sufficient to allow for any anticipated r</w:t>
      </w:r>
      <w:r>
        <w:rPr>
          <w:rFonts w:ascii="Arial" w:eastAsia="Arial" w:hAnsi="Arial" w:cs="Arial"/>
          <w:sz w:val="18"/>
          <w:szCs w:val="18"/>
        </w:rPr>
        <w:t>ecovery in fair value and market conditions in general. If any adjustment to fair value reflects a decline in the value of the investment that the Company considers to be “other than temporary,” the Company reduces the investment to fair value through a ch</w:t>
      </w:r>
      <w:r>
        <w:rPr>
          <w:rFonts w:ascii="Arial" w:eastAsia="Arial" w:hAnsi="Arial" w:cs="Arial"/>
          <w:sz w:val="18"/>
          <w:szCs w:val="18"/>
        </w:rPr>
        <w:t>arge to the condensed consolidated statements of operations and comprehensive loss. No such adjustments were necessary during the periods presented.</w:t>
      </w:r>
    </w:p>
    <w:p w:rsidR="000728AD" w:rsidRDefault="000728AD">
      <w:pPr>
        <w:spacing w:line="168" w:lineRule="exact"/>
        <w:rPr>
          <w:sz w:val="20"/>
          <w:szCs w:val="20"/>
        </w:rPr>
      </w:pPr>
    </w:p>
    <w:p w:rsidR="000728AD" w:rsidRDefault="000561BE">
      <w:pPr>
        <w:rPr>
          <w:sz w:val="20"/>
          <w:szCs w:val="20"/>
        </w:rPr>
      </w:pPr>
      <w:r>
        <w:rPr>
          <w:rFonts w:ascii="Arial" w:eastAsia="Arial" w:hAnsi="Arial" w:cs="Arial"/>
          <w:b/>
          <w:bCs/>
          <w:i/>
          <w:iCs/>
          <w:sz w:val="20"/>
          <w:szCs w:val="20"/>
        </w:rPr>
        <w:t>Concentrations of Credit Risk</w:t>
      </w:r>
    </w:p>
    <w:p w:rsidR="000728AD" w:rsidRDefault="000728AD">
      <w:pPr>
        <w:spacing w:line="216" w:lineRule="exact"/>
        <w:rPr>
          <w:sz w:val="20"/>
          <w:szCs w:val="20"/>
        </w:rPr>
      </w:pPr>
    </w:p>
    <w:p w:rsidR="000728AD" w:rsidRDefault="000561BE">
      <w:pPr>
        <w:spacing w:line="278" w:lineRule="auto"/>
        <w:ind w:right="20"/>
        <w:rPr>
          <w:sz w:val="20"/>
          <w:szCs w:val="20"/>
        </w:rPr>
      </w:pPr>
      <w:r>
        <w:rPr>
          <w:rFonts w:ascii="Arial" w:eastAsia="Arial" w:hAnsi="Arial" w:cs="Arial"/>
          <w:sz w:val="18"/>
          <w:szCs w:val="18"/>
        </w:rPr>
        <w:t xml:space="preserve">The Company has no off-balance sheet risk, such as foreign exchange </w:t>
      </w:r>
      <w:r>
        <w:rPr>
          <w:rFonts w:ascii="Arial" w:eastAsia="Arial" w:hAnsi="Arial" w:cs="Arial"/>
          <w:sz w:val="18"/>
          <w:szCs w:val="18"/>
        </w:rPr>
        <w:t>contracts, option contracts, or other foreign hedging arrangements. Financial instruments that potentially expose the Company to concentrations of credit risk consist primarily of cash, cash equivalents and marketable securities. The Company’s cash equival</w:t>
      </w:r>
      <w:r>
        <w:rPr>
          <w:rFonts w:ascii="Arial" w:eastAsia="Arial" w:hAnsi="Arial" w:cs="Arial"/>
          <w:sz w:val="18"/>
          <w:szCs w:val="18"/>
        </w:rPr>
        <w:t xml:space="preserve">ents and marketable securities as of June 30, 2021 consisted of bank deposits, money market funds that invest in U.S. treasury securities, and corporate obligations. We invest in high-quality financial instruments and our portfolio does not consist of any </w:t>
      </w:r>
      <w:r>
        <w:rPr>
          <w:rFonts w:ascii="Arial" w:eastAsia="Arial" w:hAnsi="Arial" w:cs="Arial"/>
          <w:sz w:val="18"/>
          <w:szCs w:val="18"/>
        </w:rPr>
        <w:t>instrument with a maturity duration in excess of twenty-four months, which we believe limits our credit risk.</w:t>
      </w:r>
    </w:p>
    <w:p w:rsidR="000728AD" w:rsidRDefault="000728AD">
      <w:pPr>
        <w:spacing w:line="165" w:lineRule="exact"/>
        <w:rPr>
          <w:sz w:val="20"/>
          <w:szCs w:val="20"/>
        </w:rPr>
      </w:pPr>
    </w:p>
    <w:p w:rsidR="000728AD" w:rsidRDefault="000561BE">
      <w:pPr>
        <w:spacing w:line="250" w:lineRule="auto"/>
        <w:ind w:right="80"/>
        <w:rPr>
          <w:sz w:val="20"/>
          <w:szCs w:val="20"/>
        </w:rPr>
      </w:pPr>
      <w:r>
        <w:rPr>
          <w:rFonts w:ascii="Arial" w:eastAsia="Arial" w:hAnsi="Arial" w:cs="Arial"/>
          <w:sz w:val="20"/>
          <w:szCs w:val="20"/>
        </w:rPr>
        <w:t>In addition, the Company's investment policy includes guidelines on the quality of the institutions and financial instruments and defines the all</w:t>
      </w:r>
      <w:r>
        <w:rPr>
          <w:rFonts w:ascii="Arial" w:eastAsia="Arial" w:hAnsi="Arial" w:cs="Arial"/>
          <w:sz w:val="20"/>
          <w:szCs w:val="20"/>
        </w:rPr>
        <w:t>owable investments that the Company believes minimizes the exposure to concentrations of credit risk. The Company has not experienced any credit losses and does not believe that it is subject to significant credit risk.</w:t>
      </w:r>
    </w:p>
    <w:p w:rsidR="000728AD" w:rsidRDefault="000728AD">
      <w:pPr>
        <w:spacing w:line="186" w:lineRule="exact"/>
        <w:rPr>
          <w:sz w:val="20"/>
          <w:szCs w:val="20"/>
        </w:rPr>
      </w:pPr>
    </w:p>
    <w:p w:rsidR="000728AD" w:rsidRDefault="000561BE">
      <w:pPr>
        <w:rPr>
          <w:sz w:val="20"/>
          <w:szCs w:val="20"/>
        </w:rPr>
      </w:pPr>
      <w:r>
        <w:rPr>
          <w:rFonts w:ascii="Arial" w:eastAsia="Arial" w:hAnsi="Arial" w:cs="Arial"/>
          <w:b/>
          <w:bCs/>
          <w:i/>
          <w:iCs/>
          <w:sz w:val="20"/>
          <w:szCs w:val="20"/>
        </w:rPr>
        <w:t>Fair Value Measurements</w:t>
      </w:r>
    </w:p>
    <w:p w:rsidR="000728AD" w:rsidRDefault="000728AD">
      <w:pPr>
        <w:spacing w:line="216" w:lineRule="exact"/>
        <w:rPr>
          <w:sz w:val="20"/>
          <w:szCs w:val="20"/>
        </w:rPr>
      </w:pPr>
    </w:p>
    <w:p w:rsidR="000728AD" w:rsidRDefault="000561BE">
      <w:pPr>
        <w:spacing w:line="246" w:lineRule="auto"/>
        <w:ind w:right="100"/>
        <w:rPr>
          <w:sz w:val="20"/>
          <w:szCs w:val="20"/>
        </w:rPr>
      </w:pPr>
      <w:r>
        <w:rPr>
          <w:rFonts w:ascii="Arial" w:eastAsia="Arial" w:hAnsi="Arial" w:cs="Arial"/>
          <w:sz w:val="20"/>
          <w:szCs w:val="20"/>
        </w:rPr>
        <w:t>Certain assets and liabilities of the Company are carried at fair value. Fair value is defined as the exchange price that would be received for an asset or paid to transfer a liability (an exit price) in the principal or most advantageous market for the as</w:t>
      </w:r>
      <w:r>
        <w:rPr>
          <w:rFonts w:ascii="Arial" w:eastAsia="Arial" w:hAnsi="Arial" w:cs="Arial"/>
          <w:sz w:val="20"/>
          <w:szCs w:val="20"/>
        </w:rPr>
        <w:t>set or liability in an orderly transaction between market participants on the measurement date. Valuation techniques used to measure fair value must maximize the use of observable inputs and minimize the use of unobservable inputs.</w:t>
      </w:r>
    </w:p>
    <w:p w:rsidR="000728AD" w:rsidRDefault="000728AD">
      <w:pPr>
        <w:spacing w:line="191" w:lineRule="exact"/>
        <w:rPr>
          <w:sz w:val="20"/>
          <w:szCs w:val="20"/>
        </w:rPr>
      </w:pPr>
    </w:p>
    <w:p w:rsidR="000728AD" w:rsidRDefault="000561BE">
      <w:pPr>
        <w:spacing w:line="260" w:lineRule="auto"/>
        <w:ind w:right="500"/>
        <w:rPr>
          <w:sz w:val="20"/>
          <w:szCs w:val="20"/>
        </w:rPr>
      </w:pPr>
      <w:r>
        <w:rPr>
          <w:rFonts w:ascii="Arial" w:eastAsia="Arial" w:hAnsi="Arial" w:cs="Arial"/>
          <w:sz w:val="20"/>
          <w:szCs w:val="20"/>
        </w:rPr>
        <w:t>Financial assets and li</w:t>
      </w:r>
      <w:r>
        <w:rPr>
          <w:rFonts w:ascii="Arial" w:eastAsia="Arial" w:hAnsi="Arial" w:cs="Arial"/>
          <w:sz w:val="20"/>
          <w:szCs w:val="20"/>
        </w:rPr>
        <w:t>abilities carried at fair value are to be classified and disclosed in one of the following three levels of the fair value hierarchy, of which the first two are considered observable and the last is considered unobservable:</w:t>
      </w:r>
    </w:p>
    <w:p w:rsidR="000728AD" w:rsidRDefault="000728AD">
      <w:pPr>
        <w:spacing w:line="177" w:lineRule="exact"/>
        <w:rPr>
          <w:sz w:val="20"/>
          <w:szCs w:val="20"/>
        </w:rPr>
      </w:pPr>
    </w:p>
    <w:p w:rsidR="000728AD" w:rsidRDefault="000561BE">
      <w:pPr>
        <w:numPr>
          <w:ilvl w:val="0"/>
          <w:numId w:val="5"/>
        </w:numPr>
        <w:tabs>
          <w:tab w:val="left" w:pos="640"/>
        </w:tabs>
        <w:ind w:left="640" w:hanging="308"/>
        <w:rPr>
          <w:rFonts w:ascii="Arial" w:eastAsia="Arial" w:hAnsi="Arial" w:cs="Arial"/>
          <w:sz w:val="20"/>
          <w:szCs w:val="20"/>
        </w:rPr>
      </w:pPr>
      <w:r>
        <w:rPr>
          <w:rFonts w:ascii="Arial" w:eastAsia="Arial" w:hAnsi="Arial" w:cs="Arial"/>
          <w:sz w:val="20"/>
          <w:szCs w:val="20"/>
        </w:rPr>
        <w:t>Level 1 — Quoted prices in activ</w:t>
      </w:r>
      <w:r>
        <w:rPr>
          <w:rFonts w:ascii="Arial" w:eastAsia="Arial" w:hAnsi="Arial" w:cs="Arial"/>
          <w:sz w:val="20"/>
          <w:szCs w:val="20"/>
        </w:rPr>
        <w:t>e markets for identical assets or liabilities.</w:t>
      </w:r>
    </w:p>
    <w:p w:rsidR="000728AD" w:rsidRDefault="000728AD">
      <w:pPr>
        <w:spacing w:line="200" w:lineRule="exact"/>
        <w:rPr>
          <w:rFonts w:ascii="Arial" w:eastAsia="Arial" w:hAnsi="Arial" w:cs="Arial"/>
          <w:sz w:val="20"/>
          <w:szCs w:val="20"/>
        </w:rPr>
      </w:pPr>
    </w:p>
    <w:p w:rsidR="000728AD" w:rsidRDefault="000728AD">
      <w:pPr>
        <w:spacing w:line="200" w:lineRule="exact"/>
        <w:rPr>
          <w:rFonts w:ascii="Arial" w:eastAsia="Arial" w:hAnsi="Arial" w:cs="Arial"/>
          <w:sz w:val="20"/>
          <w:szCs w:val="20"/>
        </w:rPr>
      </w:pPr>
    </w:p>
    <w:p w:rsidR="000728AD" w:rsidRDefault="000728AD">
      <w:pPr>
        <w:spacing w:line="200" w:lineRule="exact"/>
        <w:rPr>
          <w:rFonts w:ascii="Arial" w:eastAsia="Arial" w:hAnsi="Arial" w:cs="Arial"/>
          <w:sz w:val="20"/>
          <w:szCs w:val="20"/>
        </w:rPr>
      </w:pPr>
    </w:p>
    <w:p w:rsidR="000728AD" w:rsidRDefault="000728AD">
      <w:pPr>
        <w:spacing w:line="212" w:lineRule="exact"/>
        <w:rPr>
          <w:rFonts w:ascii="Arial" w:eastAsia="Arial" w:hAnsi="Arial" w:cs="Arial"/>
          <w:sz w:val="20"/>
          <w:szCs w:val="20"/>
        </w:rPr>
      </w:pPr>
    </w:p>
    <w:p w:rsidR="000728AD" w:rsidRDefault="000561BE">
      <w:pPr>
        <w:ind w:left="5540"/>
        <w:rPr>
          <w:rFonts w:ascii="Arial" w:eastAsia="Arial" w:hAnsi="Arial" w:cs="Arial"/>
          <w:sz w:val="20"/>
          <w:szCs w:val="20"/>
        </w:rPr>
      </w:pPr>
      <w:r>
        <w:rPr>
          <w:rFonts w:ascii="Arial" w:eastAsia="Arial" w:hAnsi="Arial" w:cs="Arial"/>
          <w:sz w:val="18"/>
          <w:szCs w:val="18"/>
        </w:rPr>
        <w:t>12</w:t>
      </w:r>
    </w:p>
    <w:p w:rsidR="000728AD" w:rsidRDefault="000561BE">
      <w:pPr>
        <w:spacing w:line="20" w:lineRule="exact"/>
        <w:rPr>
          <w:sz w:val="20"/>
          <w:szCs w:val="20"/>
        </w:rPr>
      </w:pPr>
      <w:r>
        <w:rPr>
          <w:noProof/>
          <w:sz w:val="20"/>
          <w:szCs w:val="20"/>
        </w:rPr>
        <w:drawing>
          <wp:anchor distT="0" distB="0" distL="114300" distR="114300" simplePos="0" relativeHeight="251616256"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13" w:name="page13"/>
    <w:bookmarkEnd w:id="13"/>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numPr>
          <w:ilvl w:val="0"/>
          <w:numId w:val="6"/>
        </w:numPr>
        <w:tabs>
          <w:tab w:val="left" w:pos="648"/>
        </w:tabs>
        <w:spacing w:line="250" w:lineRule="auto"/>
        <w:ind w:left="660" w:hanging="328"/>
        <w:rPr>
          <w:rFonts w:ascii="Arial" w:eastAsia="Arial" w:hAnsi="Arial" w:cs="Arial"/>
          <w:sz w:val="20"/>
          <w:szCs w:val="20"/>
        </w:rPr>
      </w:pPr>
      <w:r>
        <w:rPr>
          <w:rFonts w:ascii="Arial" w:eastAsia="Arial" w:hAnsi="Arial" w:cs="Arial"/>
          <w:sz w:val="20"/>
          <w:szCs w:val="20"/>
        </w:rPr>
        <w:t>Level 2 — Observable inputs (other than Level 1 quoted prices), such as quoted prices in active markets for similar assets or liabi</w:t>
      </w:r>
      <w:r>
        <w:rPr>
          <w:rFonts w:ascii="Arial" w:eastAsia="Arial" w:hAnsi="Arial" w:cs="Arial"/>
          <w:sz w:val="20"/>
          <w:szCs w:val="20"/>
        </w:rPr>
        <w:t>lities, quoted prices in markets that are not active for identical or similar assets or liabilities, or other inputs that are observable or can be corroborated by observable market data.</w:t>
      </w:r>
    </w:p>
    <w:p w:rsidR="000728AD" w:rsidRDefault="000728AD">
      <w:pPr>
        <w:spacing w:line="185" w:lineRule="exact"/>
        <w:rPr>
          <w:rFonts w:ascii="Arial" w:eastAsia="Arial" w:hAnsi="Arial" w:cs="Arial"/>
          <w:sz w:val="20"/>
          <w:szCs w:val="20"/>
        </w:rPr>
      </w:pPr>
    </w:p>
    <w:p w:rsidR="000728AD" w:rsidRDefault="000561BE">
      <w:pPr>
        <w:numPr>
          <w:ilvl w:val="0"/>
          <w:numId w:val="6"/>
        </w:numPr>
        <w:tabs>
          <w:tab w:val="left" w:pos="648"/>
        </w:tabs>
        <w:spacing w:line="287" w:lineRule="auto"/>
        <w:ind w:left="660" w:right="200" w:hanging="328"/>
        <w:rPr>
          <w:rFonts w:ascii="Arial" w:eastAsia="Arial" w:hAnsi="Arial" w:cs="Arial"/>
          <w:sz w:val="19"/>
          <w:szCs w:val="19"/>
        </w:rPr>
      </w:pPr>
      <w:r>
        <w:rPr>
          <w:rFonts w:ascii="Arial" w:eastAsia="Arial" w:hAnsi="Arial" w:cs="Arial"/>
          <w:sz w:val="19"/>
          <w:szCs w:val="19"/>
        </w:rPr>
        <w:t xml:space="preserve">Level 3 — Unobservable inputs that are supported by little or no </w:t>
      </w:r>
      <w:r>
        <w:rPr>
          <w:rFonts w:ascii="Arial" w:eastAsia="Arial" w:hAnsi="Arial" w:cs="Arial"/>
          <w:sz w:val="19"/>
          <w:szCs w:val="19"/>
        </w:rPr>
        <w:t>market activity that are significant to determining the fair value of the assets or liabilities, including pricing models, discounted cash flow methodologies and similar techniques.</w:t>
      </w:r>
    </w:p>
    <w:p w:rsidR="000728AD" w:rsidRDefault="000728AD">
      <w:pPr>
        <w:spacing w:line="152" w:lineRule="exact"/>
        <w:rPr>
          <w:sz w:val="20"/>
          <w:szCs w:val="20"/>
        </w:rPr>
      </w:pPr>
    </w:p>
    <w:p w:rsidR="000728AD" w:rsidRDefault="000561BE">
      <w:pPr>
        <w:spacing w:line="246" w:lineRule="auto"/>
        <w:ind w:right="60"/>
        <w:rPr>
          <w:sz w:val="20"/>
          <w:szCs w:val="20"/>
        </w:rPr>
      </w:pPr>
      <w:r>
        <w:rPr>
          <w:rFonts w:ascii="Arial" w:eastAsia="Arial" w:hAnsi="Arial" w:cs="Arial"/>
          <w:sz w:val="20"/>
          <w:szCs w:val="20"/>
        </w:rPr>
        <w:t xml:space="preserve">The Company’s cash equivalents and marketable securities are </w:t>
      </w:r>
      <w:r>
        <w:rPr>
          <w:rFonts w:ascii="Arial" w:eastAsia="Arial" w:hAnsi="Arial" w:cs="Arial"/>
          <w:sz w:val="20"/>
          <w:szCs w:val="20"/>
        </w:rPr>
        <w:t>carried at fair value, determined according to the fair value hierarchy described above. The carrying values of the Company’s accounts payable and accrued expenses approximate their fair values due to the short-term nature of these liabilities. The carryin</w:t>
      </w:r>
      <w:r>
        <w:rPr>
          <w:rFonts w:ascii="Arial" w:eastAsia="Arial" w:hAnsi="Arial" w:cs="Arial"/>
          <w:sz w:val="20"/>
          <w:szCs w:val="20"/>
        </w:rPr>
        <w:t>g value of the long-term debt approximates fair value as evidenced by the recent amendment to the Company's debt facility.</w:t>
      </w:r>
    </w:p>
    <w:p w:rsidR="000728AD" w:rsidRDefault="000728AD">
      <w:pPr>
        <w:spacing w:line="191" w:lineRule="exact"/>
        <w:rPr>
          <w:sz w:val="20"/>
          <w:szCs w:val="20"/>
        </w:rPr>
      </w:pPr>
    </w:p>
    <w:p w:rsidR="000728AD" w:rsidRDefault="000561BE">
      <w:pPr>
        <w:rPr>
          <w:sz w:val="20"/>
          <w:szCs w:val="20"/>
        </w:rPr>
      </w:pPr>
      <w:r>
        <w:rPr>
          <w:rFonts w:ascii="Arial" w:eastAsia="Arial" w:hAnsi="Arial" w:cs="Arial"/>
          <w:b/>
          <w:bCs/>
          <w:i/>
          <w:iCs/>
          <w:sz w:val="20"/>
          <w:szCs w:val="20"/>
        </w:rPr>
        <w:t>Comprehensive loss</w:t>
      </w:r>
    </w:p>
    <w:p w:rsidR="000728AD" w:rsidRDefault="000728AD">
      <w:pPr>
        <w:spacing w:line="216" w:lineRule="exact"/>
        <w:rPr>
          <w:sz w:val="20"/>
          <w:szCs w:val="20"/>
        </w:rPr>
      </w:pPr>
    </w:p>
    <w:p w:rsidR="000728AD" w:rsidRDefault="000561BE">
      <w:pPr>
        <w:spacing w:line="250" w:lineRule="auto"/>
        <w:ind w:right="340"/>
        <w:rPr>
          <w:sz w:val="20"/>
          <w:szCs w:val="20"/>
        </w:rPr>
      </w:pPr>
      <w:r>
        <w:rPr>
          <w:rFonts w:ascii="Arial" w:eastAsia="Arial" w:hAnsi="Arial" w:cs="Arial"/>
          <w:sz w:val="20"/>
          <w:szCs w:val="20"/>
        </w:rPr>
        <w:t>Comprehensive loss includes net loss as well as other changes in stockholders’ equity (deficit) that result from</w:t>
      </w:r>
      <w:r>
        <w:rPr>
          <w:rFonts w:ascii="Arial" w:eastAsia="Arial" w:hAnsi="Arial" w:cs="Arial"/>
          <w:sz w:val="20"/>
          <w:szCs w:val="20"/>
        </w:rPr>
        <w:t xml:space="preserve"> transactions and economic events other than those with stockholders. For the three and six months ended June 30, 2021, the Company’s only element of other comprehensive loss was unrealized gains (losses) on marketable securities.</w:t>
      </w:r>
    </w:p>
    <w:p w:rsidR="000728AD" w:rsidRDefault="000728AD">
      <w:pPr>
        <w:spacing w:line="186" w:lineRule="exact"/>
        <w:rPr>
          <w:sz w:val="20"/>
          <w:szCs w:val="20"/>
        </w:rPr>
      </w:pPr>
    </w:p>
    <w:p w:rsidR="000728AD" w:rsidRDefault="000561BE">
      <w:pPr>
        <w:rPr>
          <w:sz w:val="20"/>
          <w:szCs w:val="20"/>
        </w:rPr>
      </w:pPr>
      <w:r>
        <w:rPr>
          <w:rFonts w:ascii="Arial" w:eastAsia="Arial" w:hAnsi="Arial" w:cs="Arial"/>
          <w:b/>
          <w:bCs/>
          <w:i/>
          <w:iCs/>
          <w:sz w:val="20"/>
          <w:szCs w:val="20"/>
        </w:rPr>
        <w:t>Net Loss Per Share</w:t>
      </w:r>
    </w:p>
    <w:p w:rsidR="000728AD" w:rsidRDefault="000728AD">
      <w:pPr>
        <w:spacing w:line="216" w:lineRule="exact"/>
        <w:rPr>
          <w:sz w:val="20"/>
          <w:szCs w:val="20"/>
        </w:rPr>
      </w:pPr>
    </w:p>
    <w:p w:rsidR="000728AD" w:rsidRDefault="000561BE">
      <w:pPr>
        <w:spacing w:line="246" w:lineRule="auto"/>
        <w:ind w:right="40"/>
        <w:rPr>
          <w:sz w:val="20"/>
          <w:szCs w:val="20"/>
        </w:rPr>
      </w:pPr>
      <w:r>
        <w:rPr>
          <w:rFonts w:ascii="Arial" w:eastAsia="Arial" w:hAnsi="Arial" w:cs="Arial"/>
          <w:sz w:val="20"/>
          <w:szCs w:val="20"/>
        </w:rPr>
        <w:t>Basi</w:t>
      </w:r>
      <w:r>
        <w:rPr>
          <w:rFonts w:ascii="Arial" w:eastAsia="Arial" w:hAnsi="Arial" w:cs="Arial"/>
          <w:sz w:val="20"/>
          <w:szCs w:val="20"/>
        </w:rPr>
        <w:t>c net loss per share attributable to common stockholders is calculated by dividing net loss by the weighted average shares outstanding during the period. Diluted net income (loss) per share is calculated by adjusting weighted average shares outstanding for</w:t>
      </w:r>
      <w:r>
        <w:rPr>
          <w:rFonts w:ascii="Arial" w:eastAsia="Arial" w:hAnsi="Arial" w:cs="Arial"/>
          <w:sz w:val="20"/>
          <w:szCs w:val="20"/>
        </w:rPr>
        <w:t xml:space="preserve"> the dilutive effect of common stock equivalents outstanding for the period. All common stock equivalents have been excluded from the calculation of diluted net loss per share, as their effect would be anti-dilutive for all periods presented.</w:t>
      </w:r>
    </w:p>
    <w:p w:rsidR="000728AD" w:rsidRDefault="000728AD">
      <w:pPr>
        <w:spacing w:line="191" w:lineRule="exact"/>
        <w:rPr>
          <w:sz w:val="20"/>
          <w:szCs w:val="20"/>
        </w:rPr>
      </w:pPr>
    </w:p>
    <w:p w:rsidR="000728AD" w:rsidRDefault="000561BE">
      <w:pPr>
        <w:rPr>
          <w:sz w:val="20"/>
          <w:szCs w:val="20"/>
        </w:rPr>
      </w:pPr>
      <w:r>
        <w:rPr>
          <w:rFonts w:ascii="Arial" w:eastAsia="Arial" w:hAnsi="Arial" w:cs="Arial"/>
          <w:b/>
          <w:bCs/>
          <w:i/>
          <w:iCs/>
          <w:sz w:val="20"/>
          <w:szCs w:val="20"/>
        </w:rPr>
        <w:t>Accounting P</w:t>
      </w:r>
      <w:r>
        <w:rPr>
          <w:rFonts w:ascii="Arial" w:eastAsia="Arial" w:hAnsi="Arial" w:cs="Arial"/>
          <w:b/>
          <w:bCs/>
          <w:i/>
          <w:iCs/>
          <w:sz w:val="20"/>
          <w:szCs w:val="20"/>
        </w:rPr>
        <w:t>ronouncements Issued and Not Adopted</w:t>
      </w:r>
    </w:p>
    <w:p w:rsidR="000728AD" w:rsidRDefault="000728AD">
      <w:pPr>
        <w:spacing w:line="216" w:lineRule="exact"/>
        <w:rPr>
          <w:sz w:val="20"/>
          <w:szCs w:val="20"/>
        </w:rPr>
      </w:pPr>
    </w:p>
    <w:p w:rsidR="000728AD" w:rsidRDefault="000561BE">
      <w:pPr>
        <w:spacing w:line="273" w:lineRule="auto"/>
        <w:rPr>
          <w:sz w:val="20"/>
          <w:szCs w:val="20"/>
        </w:rPr>
      </w:pPr>
      <w:r>
        <w:rPr>
          <w:rFonts w:ascii="Arial" w:eastAsia="Arial" w:hAnsi="Arial" w:cs="Arial"/>
          <w:sz w:val="18"/>
          <w:szCs w:val="18"/>
        </w:rPr>
        <w:t xml:space="preserve">In February 2016, the FASB issued ASU No. 2016-02, </w:t>
      </w:r>
      <w:r>
        <w:rPr>
          <w:rFonts w:ascii="Arial" w:eastAsia="Arial" w:hAnsi="Arial" w:cs="Arial"/>
          <w:i/>
          <w:iCs/>
          <w:sz w:val="18"/>
          <w:szCs w:val="18"/>
        </w:rPr>
        <w:t>Leases (Topic 842)</w:t>
      </w:r>
      <w:r>
        <w:rPr>
          <w:rFonts w:ascii="Arial" w:eastAsia="Arial" w:hAnsi="Arial" w:cs="Arial"/>
          <w:sz w:val="18"/>
          <w:szCs w:val="18"/>
        </w:rPr>
        <w:t xml:space="preserve"> (“ASU 2016-02”), as amended by various subsequently issued ASUs. The standard requires lessees to recognize an operating lease with a term greater t</w:t>
      </w:r>
      <w:r>
        <w:rPr>
          <w:rFonts w:ascii="Arial" w:eastAsia="Arial" w:hAnsi="Arial" w:cs="Arial"/>
          <w:sz w:val="18"/>
          <w:szCs w:val="18"/>
        </w:rPr>
        <w:t>han one year on their balance sheets as a right-of-use asset and corresponding lease liability, measured at the present value of the lease payments. The new standard will become effective for the Company on January 1, 2022. The Company expects to apply the</w:t>
      </w:r>
      <w:r>
        <w:rPr>
          <w:rFonts w:ascii="Arial" w:eastAsia="Arial" w:hAnsi="Arial" w:cs="Arial"/>
          <w:sz w:val="18"/>
          <w:szCs w:val="18"/>
        </w:rPr>
        <w:t xml:space="preserve"> modified retrospective approach as of the date of adoption such that prior periods will not be restated. The Company is evaluating the effect that adoption of the standard is expected to have on the Company’s condensed consolidated financial statements an</w:t>
      </w:r>
      <w:r>
        <w:rPr>
          <w:rFonts w:ascii="Arial" w:eastAsia="Arial" w:hAnsi="Arial" w:cs="Arial"/>
          <w:sz w:val="18"/>
          <w:szCs w:val="18"/>
        </w:rPr>
        <w:t>d related disclosures and will recognize a lease obligation and right of use asset for its existing operating leases with a lease term greater than one year upon adoption. The Company anticipates that the adoption of ASU 2016-02 will have a material impact</w:t>
      </w:r>
      <w:r>
        <w:rPr>
          <w:rFonts w:ascii="Arial" w:eastAsia="Arial" w:hAnsi="Arial" w:cs="Arial"/>
          <w:sz w:val="18"/>
          <w:szCs w:val="18"/>
        </w:rPr>
        <w:t xml:space="preserve"> on the Company’s financial position and the related footnote disclosures.</w:t>
      </w:r>
    </w:p>
    <w:p w:rsidR="000728AD" w:rsidRDefault="000728AD">
      <w:pPr>
        <w:spacing w:line="168" w:lineRule="exact"/>
        <w:rPr>
          <w:sz w:val="20"/>
          <w:szCs w:val="20"/>
        </w:rPr>
      </w:pPr>
    </w:p>
    <w:p w:rsidR="000728AD" w:rsidRDefault="000561BE">
      <w:pPr>
        <w:spacing w:line="259" w:lineRule="auto"/>
        <w:ind w:right="60"/>
        <w:rPr>
          <w:sz w:val="20"/>
          <w:szCs w:val="20"/>
        </w:rPr>
      </w:pPr>
      <w:r>
        <w:rPr>
          <w:rFonts w:ascii="Arial" w:eastAsia="Arial" w:hAnsi="Arial" w:cs="Arial"/>
          <w:sz w:val="19"/>
          <w:szCs w:val="19"/>
        </w:rPr>
        <w:t xml:space="preserve">In June 2016, the FASB issued ASU 2016-13, </w:t>
      </w:r>
      <w:r>
        <w:rPr>
          <w:rFonts w:ascii="Arial" w:eastAsia="Arial" w:hAnsi="Arial" w:cs="Arial"/>
          <w:i/>
          <w:iCs/>
          <w:sz w:val="19"/>
          <w:szCs w:val="19"/>
        </w:rPr>
        <w:t>Financial Instruments – Credit Losses (Topic 326)</w:t>
      </w:r>
      <w:r>
        <w:rPr>
          <w:rFonts w:ascii="Arial" w:eastAsia="Arial" w:hAnsi="Arial" w:cs="Arial"/>
          <w:sz w:val="19"/>
          <w:szCs w:val="19"/>
        </w:rPr>
        <w:t>. The new standard adjusts the accounting for assets held at amortized cost basis, inclu</w:t>
      </w:r>
      <w:r>
        <w:rPr>
          <w:rFonts w:ascii="Arial" w:eastAsia="Arial" w:hAnsi="Arial" w:cs="Arial"/>
          <w:sz w:val="19"/>
          <w:szCs w:val="19"/>
        </w:rPr>
        <w:t>ding marketable securities accounted for as available-for-sale. The standard eliminates the probable initial recognition threshold and requires an entity to reflect its current estimate of all expected credit losses. The allowance for credit losses is a va</w:t>
      </w:r>
      <w:r>
        <w:rPr>
          <w:rFonts w:ascii="Arial" w:eastAsia="Arial" w:hAnsi="Arial" w:cs="Arial"/>
          <w:sz w:val="19"/>
          <w:szCs w:val="19"/>
        </w:rPr>
        <w:t>luation account that is deducted from the amortized cost basis of the financial assets to present the net amount expected to be collected. The Company is required to adopt this standard effective January 1, 2023 and the Company is evaluating the impact the</w:t>
      </w:r>
      <w:r>
        <w:rPr>
          <w:rFonts w:ascii="Arial" w:eastAsia="Arial" w:hAnsi="Arial" w:cs="Arial"/>
          <w:sz w:val="19"/>
          <w:szCs w:val="19"/>
        </w:rPr>
        <w:t xml:space="preserve"> guidance will have on its condensed consolidated financial statements.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75" w:lineRule="exact"/>
        <w:rPr>
          <w:sz w:val="20"/>
          <w:szCs w:val="20"/>
        </w:rPr>
      </w:pPr>
    </w:p>
    <w:p w:rsidR="000728AD" w:rsidRDefault="000561BE">
      <w:pPr>
        <w:jc w:val="center"/>
        <w:rPr>
          <w:sz w:val="20"/>
          <w:szCs w:val="20"/>
        </w:rPr>
      </w:pPr>
      <w:r>
        <w:rPr>
          <w:rFonts w:ascii="Arial" w:eastAsia="Arial" w:hAnsi="Arial" w:cs="Arial"/>
          <w:sz w:val="18"/>
          <w:szCs w:val="18"/>
        </w:rPr>
        <w:t>13</w:t>
      </w:r>
    </w:p>
    <w:p w:rsidR="000728AD" w:rsidRDefault="000561BE">
      <w:pPr>
        <w:spacing w:line="20" w:lineRule="exact"/>
        <w:rPr>
          <w:sz w:val="20"/>
          <w:szCs w:val="20"/>
        </w:rPr>
      </w:pPr>
      <w:r>
        <w:rPr>
          <w:noProof/>
          <w:sz w:val="20"/>
          <w:szCs w:val="20"/>
        </w:rPr>
        <w:drawing>
          <wp:anchor distT="0" distB="0" distL="114300" distR="114300" simplePos="0" relativeHeight="251617280"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14" w:name="page14"/>
    <w:bookmarkEnd w:id="14"/>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49" w:lineRule="exact"/>
        <w:rPr>
          <w:sz w:val="20"/>
          <w:szCs w:val="20"/>
        </w:rPr>
      </w:pPr>
    </w:p>
    <w:p w:rsidR="000728AD" w:rsidRDefault="000561BE">
      <w:pPr>
        <w:rPr>
          <w:sz w:val="20"/>
          <w:szCs w:val="20"/>
        </w:rPr>
      </w:pPr>
      <w:r>
        <w:rPr>
          <w:rFonts w:ascii="Arial" w:eastAsia="Arial" w:hAnsi="Arial" w:cs="Arial"/>
          <w:b/>
          <w:bCs/>
          <w:sz w:val="20"/>
          <w:szCs w:val="20"/>
        </w:rPr>
        <w:t>3. FAIR VALUE MEASUREMENTS</w:t>
      </w:r>
    </w:p>
    <w:p w:rsidR="000728AD" w:rsidRDefault="000728AD">
      <w:pPr>
        <w:spacing w:line="222" w:lineRule="exact"/>
        <w:rPr>
          <w:sz w:val="20"/>
          <w:szCs w:val="20"/>
        </w:rPr>
      </w:pPr>
    </w:p>
    <w:p w:rsidR="000728AD" w:rsidRDefault="000561BE">
      <w:pPr>
        <w:spacing w:line="260" w:lineRule="auto"/>
        <w:ind w:right="280"/>
        <w:rPr>
          <w:sz w:val="20"/>
          <w:szCs w:val="20"/>
        </w:rPr>
      </w:pPr>
      <w:r>
        <w:rPr>
          <w:rFonts w:ascii="Arial" w:eastAsia="Arial" w:hAnsi="Arial" w:cs="Arial"/>
          <w:sz w:val="20"/>
          <w:szCs w:val="20"/>
        </w:rPr>
        <w:t xml:space="preserve">The following tables present the Company’s assets that are measured at fair </w:t>
      </w:r>
      <w:r>
        <w:rPr>
          <w:rFonts w:ascii="Arial" w:eastAsia="Arial" w:hAnsi="Arial" w:cs="Arial"/>
          <w:sz w:val="20"/>
          <w:szCs w:val="20"/>
        </w:rPr>
        <w:t>value on a recurring basis and indicate the level within the fair value hierarchy (in thousands):</w:t>
      </w:r>
    </w:p>
    <w:p w:rsidR="000728AD" w:rsidRDefault="000728AD">
      <w:pPr>
        <w:spacing w:line="2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60"/>
        <w:gridCol w:w="300"/>
        <w:gridCol w:w="1220"/>
        <w:gridCol w:w="100"/>
        <w:gridCol w:w="300"/>
        <w:gridCol w:w="1220"/>
        <w:gridCol w:w="100"/>
        <w:gridCol w:w="300"/>
        <w:gridCol w:w="1220"/>
        <w:gridCol w:w="100"/>
        <w:gridCol w:w="500"/>
        <w:gridCol w:w="1020"/>
      </w:tblGrid>
      <w:tr w:rsidR="000728AD">
        <w:trPr>
          <w:trHeight w:val="234"/>
        </w:trPr>
        <w:tc>
          <w:tcPr>
            <w:tcW w:w="4860" w:type="dxa"/>
            <w:vAlign w:val="bottom"/>
          </w:tcPr>
          <w:p w:rsidR="000728AD" w:rsidRDefault="000728AD">
            <w:pPr>
              <w:rPr>
                <w:sz w:val="20"/>
                <w:szCs w:val="20"/>
              </w:rPr>
            </w:pPr>
          </w:p>
        </w:tc>
        <w:tc>
          <w:tcPr>
            <w:tcW w:w="300" w:type="dxa"/>
            <w:tcBorders>
              <w:bottom w:val="single" w:sz="8" w:space="0" w:color="auto"/>
            </w:tcBorders>
            <w:vAlign w:val="bottom"/>
          </w:tcPr>
          <w:p w:rsidR="000728AD" w:rsidRDefault="000728AD">
            <w:pPr>
              <w:rPr>
                <w:sz w:val="20"/>
                <w:szCs w:val="20"/>
              </w:rPr>
            </w:pPr>
          </w:p>
        </w:tc>
        <w:tc>
          <w:tcPr>
            <w:tcW w:w="5060" w:type="dxa"/>
            <w:gridSpan w:val="9"/>
            <w:tcBorders>
              <w:bottom w:val="single" w:sz="8" w:space="0" w:color="auto"/>
            </w:tcBorders>
            <w:vAlign w:val="bottom"/>
          </w:tcPr>
          <w:p w:rsidR="000728AD" w:rsidRDefault="000561BE">
            <w:pPr>
              <w:ind w:right="181"/>
              <w:jc w:val="right"/>
              <w:rPr>
                <w:sz w:val="20"/>
                <w:szCs w:val="20"/>
              </w:rPr>
            </w:pPr>
            <w:r>
              <w:rPr>
                <w:rFonts w:ascii="Arial" w:eastAsia="Arial" w:hAnsi="Arial" w:cs="Arial"/>
                <w:b/>
                <w:bCs/>
                <w:sz w:val="18"/>
                <w:szCs w:val="18"/>
              </w:rPr>
              <w:t>Fair Value Measurements at June 30, 2021 using:</w:t>
            </w:r>
          </w:p>
        </w:tc>
        <w:tc>
          <w:tcPr>
            <w:tcW w:w="1020" w:type="dxa"/>
            <w:tcBorders>
              <w:bottom w:val="single" w:sz="8" w:space="0" w:color="auto"/>
            </w:tcBorders>
            <w:vAlign w:val="bottom"/>
          </w:tcPr>
          <w:p w:rsidR="000728AD" w:rsidRDefault="000728AD">
            <w:pPr>
              <w:rPr>
                <w:sz w:val="20"/>
                <w:szCs w:val="20"/>
              </w:rPr>
            </w:pPr>
          </w:p>
        </w:tc>
      </w:tr>
      <w:tr w:rsidR="000728AD">
        <w:trPr>
          <w:trHeight w:val="223"/>
        </w:trPr>
        <w:tc>
          <w:tcPr>
            <w:tcW w:w="4860" w:type="dxa"/>
            <w:vAlign w:val="bottom"/>
          </w:tcPr>
          <w:p w:rsidR="000728AD" w:rsidRDefault="000728AD">
            <w:pPr>
              <w:rPr>
                <w:sz w:val="19"/>
                <w:szCs w:val="19"/>
              </w:rPr>
            </w:pPr>
          </w:p>
        </w:tc>
        <w:tc>
          <w:tcPr>
            <w:tcW w:w="300" w:type="dxa"/>
            <w:vAlign w:val="bottom"/>
          </w:tcPr>
          <w:p w:rsidR="000728AD" w:rsidRDefault="000728AD">
            <w:pPr>
              <w:rPr>
                <w:sz w:val="19"/>
                <w:szCs w:val="19"/>
              </w:rPr>
            </w:pPr>
          </w:p>
        </w:tc>
        <w:tc>
          <w:tcPr>
            <w:tcW w:w="1320" w:type="dxa"/>
            <w:gridSpan w:val="2"/>
            <w:vAlign w:val="bottom"/>
          </w:tcPr>
          <w:p w:rsidR="000728AD" w:rsidRDefault="000561BE">
            <w:pPr>
              <w:ind w:right="400"/>
              <w:jc w:val="center"/>
              <w:rPr>
                <w:sz w:val="20"/>
                <w:szCs w:val="20"/>
              </w:rPr>
            </w:pPr>
            <w:r>
              <w:rPr>
                <w:rFonts w:ascii="Arial" w:eastAsia="Arial" w:hAnsi="Arial" w:cs="Arial"/>
                <w:b/>
                <w:bCs/>
                <w:w w:val="91"/>
                <w:sz w:val="18"/>
                <w:szCs w:val="18"/>
              </w:rPr>
              <w:t>Level 1</w:t>
            </w:r>
          </w:p>
        </w:tc>
        <w:tc>
          <w:tcPr>
            <w:tcW w:w="300" w:type="dxa"/>
            <w:vAlign w:val="bottom"/>
          </w:tcPr>
          <w:p w:rsidR="000728AD" w:rsidRDefault="000728AD">
            <w:pPr>
              <w:rPr>
                <w:sz w:val="19"/>
                <w:szCs w:val="19"/>
              </w:rPr>
            </w:pPr>
          </w:p>
        </w:tc>
        <w:tc>
          <w:tcPr>
            <w:tcW w:w="1320" w:type="dxa"/>
            <w:gridSpan w:val="2"/>
            <w:vAlign w:val="bottom"/>
          </w:tcPr>
          <w:p w:rsidR="000728AD" w:rsidRDefault="000561BE">
            <w:pPr>
              <w:ind w:left="180"/>
              <w:rPr>
                <w:sz w:val="20"/>
                <w:szCs w:val="20"/>
              </w:rPr>
            </w:pPr>
            <w:r>
              <w:rPr>
                <w:rFonts w:ascii="Arial" w:eastAsia="Arial" w:hAnsi="Arial" w:cs="Arial"/>
                <w:b/>
                <w:bCs/>
                <w:sz w:val="18"/>
                <w:szCs w:val="18"/>
              </w:rPr>
              <w:t>Level 2</w:t>
            </w:r>
          </w:p>
        </w:tc>
        <w:tc>
          <w:tcPr>
            <w:tcW w:w="300" w:type="dxa"/>
            <w:vAlign w:val="bottom"/>
          </w:tcPr>
          <w:p w:rsidR="000728AD" w:rsidRDefault="000728AD">
            <w:pPr>
              <w:rPr>
                <w:sz w:val="19"/>
                <w:szCs w:val="19"/>
              </w:rPr>
            </w:pPr>
          </w:p>
        </w:tc>
        <w:tc>
          <w:tcPr>
            <w:tcW w:w="1320" w:type="dxa"/>
            <w:gridSpan w:val="2"/>
            <w:vAlign w:val="bottom"/>
          </w:tcPr>
          <w:p w:rsidR="000728AD" w:rsidRDefault="000561BE">
            <w:pPr>
              <w:ind w:left="180"/>
              <w:rPr>
                <w:sz w:val="20"/>
                <w:szCs w:val="20"/>
              </w:rPr>
            </w:pPr>
            <w:r>
              <w:rPr>
                <w:rFonts w:ascii="Arial" w:eastAsia="Arial" w:hAnsi="Arial" w:cs="Arial"/>
                <w:b/>
                <w:bCs/>
                <w:sz w:val="18"/>
                <w:szCs w:val="18"/>
              </w:rPr>
              <w:t>Level 3</w:t>
            </w:r>
          </w:p>
        </w:tc>
        <w:tc>
          <w:tcPr>
            <w:tcW w:w="500" w:type="dxa"/>
            <w:vAlign w:val="bottom"/>
          </w:tcPr>
          <w:p w:rsidR="000728AD" w:rsidRDefault="000728AD">
            <w:pPr>
              <w:rPr>
                <w:sz w:val="19"/>
                <w:szCs w:val="19"/>
              </w:rPr>
            </w:pPr>
          </w:p>
        </w:tc>
        <w:tc>
          <w:tcPr>
            <w:tcW w:w="1020" w:type="dxa"/>
            <w:vAlign w:val="bottom"/>
          </w:tcPr>
          <w:p w:rsidR="000728AD" w:rsidRDefault="000561BE">
            <w:pPr>
              <w:ind w:right="463"/>
              <w:jc w:val="right"/>
              <w:rPr>
                <w:sz w:val="20"/>
                <w:szCs w:val="20"/>
              </w:rPr>
            </w:pPr>
            <w:r>
              <w:rPr>
                <w:rFonts w:ascii="Arial" w:eastAsia="Arial" w:hAnsi="Arial" w:cs="Arial"/>
                <w:b/>
                <w:bCs/>
                <w:sz w:val="18"/>
                <w:szCs w:val="18"/>
              </w:rPr>
              <w:t>Total</w:t>
            </w:r>
          </w:p>
        </w:tc>
      </w:tr>
      <w:tr w:rsidR="000728AD">
        <w:trPr>
          <w:trHeight w:val="223"/>
        </w:trPr>
        <w:tc>
          <w:tcPr>
            <w:tcW w:w="4860" w:type="dxa"/>
            <w:tcBorders>
              <w:top w:val="single" w:sz="8" w:space="0" w:color="CCEEFF"/>
            </w:tcBorders>
            <w:shd w:val="clear" w:color="auto" w:fill="CCEEFF"/>
            <w:vAlign w:val="bottom"/>
          </w:tcPr>
          <w:p w:rsidR="000728AD" w:rsidRDefault="000561BE">
            <w:pPr>
              <w:spacing w:line="223" w:lineRule="exact"/>
              <w:ind w:left="20"/>
              <w:rPr>
                <w:sz w:val="20"/>
                <w:szCs w:val="20"/>
              </w:rPr>
            </w:pPr>
            <w:r>
              <w:rPr>
                <w:rFonts w:ascii="Arial" w:eastAsia="Arial" w:hAnsi="Arial" w:cs="Arial"/>
                <w:sz w:val="20"/>
                <w:szCs w:val="20"/>
              </w:rPr>
              <w:t>Assets:</w:t>
            </w:r>
          </w:p>
        </w:tc>
        <w:tc>
          <w:tcPr>
            <w:tcW w:w="300" w:type="dxa"/>
            <w:tcBorders>
              <w:top w:val="single" w:sz="8" w:space="0" w:color="auto"/>
            </w:tcBorders>
            <w:shd w:val="clear" w:color="auto" w:fill="CCEEFF"/>
            <w:vAlign w:val="bottom"/>
          </w:tcPr>
          <w:p w:rsidR="000728AD" w:rsidRDefault="000728AD">
            <w:pPr>
              <w:rPr>
                <w:sz w:val="19"/>
                <w:szCs w:val="19"/>
              </w:rPr>
            </w:pPr>
          </w:p>
        </w:tc>
        <w:tc>
          <w:tcPr>
            <w:tcW w:w="1220" w:type="dxa"/>
            <w:tcBorders>
              <w:top w:val="single" w:sz="8" w:space="0" w:color="auto"/>
            </w:tcBorders>
            <w:shd w:val="clear" w:color="auto" w:fill="CCEEFF"/>
            <w:vAlign w:val="bottom"/>
          </w:tcPr>
          <w:p w:rsidR="000728AD" w:rsidRDefault="000728AD">
            <w:pPr>
              <w:rPr>
                <w:sz w:val="19"/>
                <w:szCs w:val="19"/>
              </w:rPr>
            </w:pPr>
          </w:p>
        </w:tc>
        <w:tc>
          <w:tcPr>
            <w:tcW w:w="100" w:type="dxa"/>
            <w:tcBorders>
              <w:top w:val="single" w:sz="8" w:space="0" w:color="CCEEFF"/>
            </w:tcBorders>
            <w:shd w:val="clear" w:color="auto" w:fill="CCEEFF"/>
            <w:vAlign w:val="bottom"/>
          </w:tcPr>
          <w:p w:rsidR="000728AD" w:rsidRDefault="000728AD">
            <w:pPr>
              <w:rPr>
                <w:sz w:val="19"/>
                <w:szCs w:val="19"/>
              </w:rPr>
            </w:pPr>
          </w:p>
        </w:tc>
        <w:tc>
          <w:tcPr>
            <w:tcW w:w="300" w:type="dxa"/>
            <w:tcBorders>
              <w:top w:val="single" w:sz="8" w:space="0" w:color="auto"/>
            </w:tcBorders>
            <w:shd w:val="clear" w:color="auto" w:fill="CCEEFF"/>
            <w:vAlign w:val="bottom"/>
          </w:tcPr>
          <w:p w:rsidR="000728AD" w:rsidRDefault="000728AD">
            <w:pPr>
              <w:rPr>
                <w:sz w:val="19"/>
                <w:szCs w:val="19"/>
              </w:rPr>
            </w:pPr>
          </w:p>
        </w:tc>
        <w:tc>
          <w:tcPr>
            <w:tcW w:w="1220" w:type="dxa"/>
            <w:tcBorders>
              <w:top w:val="single" w:sz="8" w:space="0" w:color="auto"/>
            </w:tcBorders>
            <w:shd w:val="clear" w:color="auto" w:fill="CCEEFF"/>
            <w:vAlign w:val="bottom"/>
          </w:tcPr>
          <w:p w:rsidR="000728AD" w:rsidRDefault="000728AD">
            <w:pPr>
              <w:rPr>
                <w:sz w:val="19"/>
                <w:szCs w:val="19"/>
              </w:rPr>
            </w:pPr>
          </w:p>
        </w:tc>
        <w:tc>
          <w:tcPr>
            <w:tcW w:w="100" w:type="dxa"/>
            <w:tcBorders>
              <w:top w:val="single" w:sz="8" w:space="0" w:color="CCEEFF"/>
            </w:tcBorders>
            <w:shd w:val="clear" w:color="auto" w:fill="CCEEFF"/>
            <w:vAlign w:val="bottom"/>
          </w:tcPr>
          <w:p w:rsidR="000728AD" w:rsidRDefault="000728AD">
            <w:pPr>
              <w:rPr>
                <w:sz w:val="19"/>
                <w:szCs w:val="19"/>
              </w:rPr>
            </w:pPr>
          </w:p>
        </w:tc>
        <w:tc>
          <w:tcPr>
            <w:tcW w:w="300" w:type="dxa"/>
            <w:tcBorders>
              <w:top w:val="single" w:sz="8" w:space="0" w:color="auto"/>
            </w:tcBorders>
            <w:shd w:val="clear" w:color="auto" w:fill="CCEEFF"/>
            <w:vAlign w:val="bottom"/>
          </w:tcPr>
          <w:p w:rsidR="000728AD" w:rsidRDefault="000728AD">
            <w:pPr>
              <w:rPr>
                <w:sz w:val="19"/>
                <w:szCs w:val="19"/>
              </w:rPr>
            </w:pPr>
          </w:p>
        </w:tc>
        <w:tc>
          <w:tcPr>
            <w:tcW w:w="1220" w:type="dxa"/>
            <w:tcBorders>
              <w:top w:val="single" w:sz="8" w:space="0" w:color="auto"/>
            </w:tcBorders>
            <w:shd w:val="clear" w:color="auto" w:fill="CCEEFF"/>
            <w:vAlign w:val="bottom"/>
          </w:tcPr>
          <w:p w:rsidR="000728AD" w:rsidRDefault="000728AD">
            <w:pPr>
              <w:rPr>
                <w:sz w:val="19"/>
                <w:szCs w:val="19"/>
              </w:rPr>
            </w:pPr>
          </w:p>
        </w:tc>
        <w:tc>
          <w:tcPr>
            <w:tcW w:w="100" w:type="dxa"/>
            <w:tcBorders>
              <w:top w:val="single" w:sz="8" w:space="0" w:color="CCEEFF"/>
            </w:tcBorders>
            <w:shd w:val="clear" w:color="auto" w:fill="CCEEFF"/>
            <w:vAlign w:val="bottom"/>
          </w:tcPr>
          <w:p w:rsidR="000728AD" w:rsidRDefault="000728AD">
            <w:pPr>
              <w:rPr>
                <w:sz w:val="19"/>
                <w:szCs w:val="19"/>
              </w:rPr>
            </w:pPr>
          </w:p>
        </w:tc>
        <w:tc>
          <w:tcPr>
            <w:tcW w:w="500" w:type="dxa"/>
            <w:tcBorders>
              <w:top w:val="single" w:sz="8" w:space="0" w:color="auto"/>
            </w:tcBorders>
            <w:shd w:val="clear" w:color="auto" w:fill="CCEEFF"/>
            <w:vAlign w:val="bottom"/>
          </w:tcPr>
          <w:p w:rsidR="000728AD" w:rsidRDefault="000728AD">
            <w:pPr>
              <w:rPr>
                <w:sz w:val="19"/>
                <w:szCs w:val="19"/>
              </w:rPr>
            </w:pPr>
          </w:p>
        </w:tc>
        <w:tc>
          <w:tcPr>
            <w:tcW w:w="1020" w:type="dxa"/>
            <w:tcBorders>
              <w:top w:val="single" w:sz="8" w:space="0" w:color="auto"/>
            </w:tcBorders>
            <w:shd w:val="clear" w:color="auto" w:fill="CCEEFF"/>
            <w:vAlign w:val="bottom"/>
          </w:tcPr>
          <w:p w:rsidR="000728AD" w:rsidRDefault="000728AD">
            <w:pPr>
              <w:rPr>
                <w:sz w:val="19"/>
                <w:szCs w:val="19"/>
              </w:rPr>
            </w:pPr>
          </w:p>
        </w:tc>
      </w:tr>
      <w:tr w:rsidR="000728AD">
        <w:trPr>
          <w:trHeight w:val="243"/>
        </w:trPr>
        <w:tc>
          <w:tcPr>
            <w:tcW w:w="4860" w:type="dxa"/>
            <w:vAlign w:val="bottom"/>
          </w:tcPr>
          <w:p w:rsidR="000728AD" w:rsidRDefault="000561BE">
            <w:pPr>
              <w:ind w:left="40"/>
              <w:rPr>
                <w:sz w:val="20"/>
                <w:szCs w:val="20"/>
              </w:rPr>
            </w:pPr>
            <w:r>
              <w:rPr>
                <w:rFonts w:ascii="Arial" w:eastAsia="Arial" w:hAnsi="Arial" w:cs="Arial"/>
                <w:sz w:val="20"/>
                <w:szCs w:val="20"/>
              </w:rPr>
              <w:t>Cash equivalents:</w:t>
            </w:r>
          </w:p>
        </w:tc>
        <w:tc>
          <w:tcPr>
            <w:tcW w:w="300" w:type="dxa"/>
            <w:vAlign w:val="bottom"/>
          </w:tcPr>
          <w:p w:rsidR="000728AD" w:rsidRDefault="000728AD">
            <w:pPr>
              <w:rPr>
                <w:sz w:val="21"/>
                <w:szCs w:val="21"/>
              </w:rPr>
            </w:pPr>
          </w:p>
        </w:tc>
        <w:tc>
          <w:tcPr>
            <w:tcW w:w="1220" w:type="dxa"/>
            <w:vAlign w:val="bottom"/>
          </w:tcPr>
          <w:p w:rsidR="000728AD" w:rsidRDefault="000728AD">
            <w:pPr>
              <w:rPr>
                <w:sz w:val="21"/>
                <w:szCs w:val="21"/>
              </w:rPr>
            </w:pPr>
          </w:p>
        </w:tc>
        <w:tc>
          <w:tcPr>
            <w:tcW w:w="100" w:type="dxa"/>
            <w:vAlign w:val="bottom"/>
          </w:tcPr>
          <w:p w:rsidR="000728AD" w:rsidRDefault="000728AD">
            <w:pPr>
              <w:rPr>
                <w:sz w:val="21"/>
                <w:szCs w:val="21"/>
              </w:rPr>
            </w:pPr>
          </w:p>
        </w:tc>
        <w:tc>
          <w:tcPr>
            <w:tcW w:w="300" w:type="dxa"/>
            <w:vAlign w:val="bottom"/>
          </w:tcPr>
          <w:p w:rsidR="000728AD" w:rsidRDefault="000728AD">
            <w:pPr>
              <w:rPr>
                <w:sz w:val="21"/>
                <w:szCs w:val="21"/>
              </w:rPr>
            </w:pPr>
          </w:p>
        </w:tc>
        <w:tc>
          <w:tcPr>
            <w:tcW w:w="1220" w:type="dxa"/>
            <w:vAlign w:val="bottom"/>
          </w:tcPr>
          <w:p w:rsidR="000728AD" w:rsidRDefault="000728AD">
            <w:pPr>
              <w:rPr>
                <w:sz w:val="21"/>
                <w:szCs w:val="21"/>
              </w:rPr>
            </w:pPr>
          </w:p>
        </w:tc>
        <w:tc>
          <w:tcPr>
            <w:tcW w:w="100" w:type="dxa"/>
            <w:vAlign w:val="bottom"/>
          </w:tcPr>
          <w:p w:rsidR="000728AD" w:rsidRDefault="000728AD">
            <w:pPr>
              <w:rPr>
                <w:sz w:val="21"/>
                <w:szCs w:val="21"/>
              </w:rPr>
            </w:pPr>
          </w:p>
        </w:tc>
        <w:tc>
          <w:tcPr>
            <w:tcW w:w="300" w:type="dxa"/>
            <w:vAlign w:val="bottom"/>
          </w:tcPr>
          <w:p w:rsidR="000728AD" w:rsidRDefault="000728AD">
            <w:pPr>
              <w:rPr>
                <w:sz w:val="21"/>
                <w:szCs w:val="21"/>
              </w:rPr>
            </w:pPr>
          </w:p>
        </w:tc>
        <w:tc>
          <w:tcPr>
            <w:tcW w:w="1220" w:type="dxa"/>
            <w:vAlign w:val="bottom"/>
          </w:tcPr>
          <w:p w:rsidR="000728AD" w:rsidRDefault="000728AD">
            <w:pPr>
              <w:rPr>
                <w:sz w:val="21"/>
                <w:szCs w:val="21"/>
              </w:rPr>
            </w:pPr>
          </w:p>
        </w:tc>
        <w:tc>
          <w:tcPr>
            <w:tcW w:w="100" w:type="dxa"/>
            <w:vAlign w:val="bottom"/>
          </w:tcPr>
          <w:p w:rsidR="000728AD" w:rsidRDefault="000728AD">
            <w:pPr>
              <w:rPr>
                <w:sz w:val="21"/>
                <w:szCs w:val="21"/>
              </w:rPr>
            </w:pPr>
          </w:p>
        </w:tc>
        <w:tc>
          <w:tcPr>
            <w:tcW w:w="500" w:type="dxa"/>
            <w:vAlign w:val="bottom"/>
          </w:tcPr>
          <w:p w:rsidR="000728AD" w:rsidRDefault="000728AD">
            <w:pPr>
              <w:rPr>
                <w:sz w:val="21"/>
                <w:szCs w:val="21"/>
              </w:rPr>
            </w:pPr>
          </w:p>
        </w:tc>
        <w:tc>
          <w:tcPr>
            <w:tcW w:w="1020" w:type="dxa"/>
            <w:vAlign w:val="bottom"/>
          </w:tcPr>
          <w:p w:rsidR="000728AD" w:rsidRDefault="000728AD">
            <w:pPr>
              <w:rPr>
                <w:sz w:val="21"/>
                <w:szCs w:val="21"/>
              </w:rPr>
            </w:pPr>
          </w:p>
        </w:tc>
      </w:tr>
      <w:tr w:rsidR="000728AD">
        <w:trPr>
          <w:trHeight w:val="243"/>
        </w:trPr>
        <w:tc>
          <w:tcPr>
            <w:tcW w:w="4860" w:type="dxa"/>
            <w:shd w:val="clear" w:color="auto" w:fill="CCEEFF"/>
            <w:vAlign w:val="bottom"/>
          </w:tcPr>
          <w:p w:rsidR="000728AD" w:rsidRDefault="000561BE">
            <w:pPr>
              <w:ind w:left="140"/>
              <w:rPr>
                <w:sz w:val="20"/>
                <w:szCs w:val="20"/>
              </w:rPr>
            </w:pPr>
            <w:r>
              <w:rPr>
                <w:rFonts w:ascii="Arial" w:eastAsia="Arial" w:hAnsi="Arial" w:cs="Arial"/>
                <w:sz w:val="20"/>
                <w:szCs w:val="20"/>
              </w:rPr>
              <w:t xml:space="preserve">Money market </w:t>
            </w:r>
            <w:r>
              <w:rPr>
                <w:rFonts w:ascii="Arial" w:eastAsia="Arial" w:hAnsi="Arial" w:cs="Arial"/>
                <w:sz w:val="20"/>
                <w:szCs w:val="20"/>
              </w:rPr>
              <w:t>funds</w:t>
            </w:r>
          </w:p>
        </w:tc>
        <w:tc>
          <w:tcPr>
            <w:tcW w:w="300" w:type="dxa"/>
            <w:shd w:val="clear" w:color="auto" w:fill="CCEEFF"/>
            <w:vAlign w:val="bottom"/>
          </w:tcPr>
          <w:p w:rsidR="000728AD" w:rsidRDefault="000561BE">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rsidR="000728AD" w:rsidRDefault="000561BE">
            <w:pPr>
              <w:jc w:val="right"/>
              <w:rPr>
                <w:sz w:val="20"/>
                <w:szCs w:val="20"/>
              </w:rPr>
            </w:pPr>
            <w:r>
              <w:rPr>
                <w:rFonts w:ascii="Arial" w:eastAsia="Arial" w:hAnsi="Arial" w:cs="Arial"/>
                <w:sz w:val="20"/>
                <w:szCs w:val="20"/>
              </w:rPr>
              <w:t>31,440</w:t>
            </w:r>
          </w:p>
        </w:tc>
        <w:tc>
          <w:tcPr>
            <w:tcW w:w="100" w:type="dxa"/>
            <w:shd w:val="clear" w:color="auto" w:fill="CCEEFF"/>
            <w:vAlign w:val="bottom"/>
          </w:tcPr>
          <w:p w:rsidR="000728AD" w:rsidRDefault="000728AD">
            <w:pPr>
              <w:rPr>
                <w:sz w:val="21"/>
                <w:szCs w:val="21"/>
              </w:rPr>
            </w:pPr>
          </w:p>
        </w:tc>
        <w:tc>
          <w:tcPr>
            <w:tcW w:w="300" w:type="dxa"/>
            <w:shd w:val="clear" w:color="auto" w:fill="CCEEFF"/>
            <w:vAlign w:val="bottom"/>
          </w:tcPr>
          <w:p w:rsidR="000728AD" w:rsidRDefault="000561BE">
            <w:pPr>
              <w:ind w:right="81"/>
              <w:jc w:val="right"/>
              <w:rPr>
                <w:sz w:val="20"/>
                <w:szCs w:val="20"/>
              </w:rPr>
            </w:pPr>
            <w:r>
              <w:rPr>
                <w:rFonts w:ascii="Arial" w:eastAsia="Arial" w:hAnsi="Arial" w:cs="Arial"/>
                <w:w w:val="89"/>
                <w:sz w:val="20"/>
                <w:szCs w:val="20"/>
              </w:rPr>
              <w:t>$</w:t>
            </w:r>
          </w:p>
        </w:tc>
        <w:tc>
          <w:tcPr>
            <w:tcW w:w="1320" w:type="dxa"/>
            <w:gridSpan w:val="2"/>
            <w:shd w:val="clear" w:color="auto" w:fill="CCEEFF"/>
            <w:vAlign w:val="bottom"/>
          </w:tcPr>
          <w:p w:rsidR="000728AD" w:rsidRDefault="000561BE">
            <w:pPr>
              <w:ind w:right="180"/>
              <w:jc w:val="right"/>
              <w:rPr>
                <w:sz w:val="20"/>
                <w:szCs w:val="20"/>
              </w:rPr>
            </w:pPr>
            <w:r>
              <w:rPr>
                <w:rFonts w:ascii="Arial" w:eastAsia="Arial" w:hAnsi="Arial" w:cs="Arial"/>
                <w:sz w:val="20"/>
                <w:szCs w:val="20"/>
              </w:rPr>
              <w:t>—</w:t>
            </w:r>
          </w:p>
        </w:tc>
        <w:tc>
          <w:tcPr>
            <w:tcW w:w="300" w:type="dxa"/>
            <w:shd w:val="clear" w:color="auto" w:fill="CCEEFF"/>
            <w:vAlign w:val="bottom"/>
          </w:tcPr>
          <w:p w:rsidR="000728AD" w:rsidRDefault="000561BE">
            <w:pPr>
              <w:ind w:right="81"/>
              <w:jc w:val="right"/>
              <w:rPr>
                <w:sz w:val="20"/>
                <w:szCs w:val="20"/>
              </w:rPr>
            </w:pPr>
            <w:r>
              <w:rPr>
                <w:rFonts w:ascii="Arial" w:eastAsia="Arial" w:hAnsi="Arial" w:cs="Arial"/>
                <w:w w:val="89"/>
                <w:sz w:val="20"/>
                <w:szCs w:val="20"/>
              </w:rPr>
              <w:t>$</w:t>
            </w:r>
          </w:p>
        </w:tc>
        <w:tc>
          <w:tcPr>
            <w:tcW w:w="1320" w:type="dxa"/>
            <w:gridSpan w:val="2"/>
            <w:shd w:val="clear" w:color="auto" w:fill="CCEEFF"/>
            <w:vAlign w:val="bottom"/>
          </w:tcPr>
          <w:p w:rsidR="000728AD" w:rsidRDefault="000561BE">
            <w:pPr>
              <w:ind w:left="940"/>
              <w:rPr>
                <w:sz w:val="20"/>
                <w:szCs w:val="20"/>
              </w:rPr>
            </w:pPr>
            <w:r>
              <w:rPr>
                <w:rFonts w:ascii="Arial" w:eastAsia="Arial" w:hAnsi="Arial" w:cs="Arial"/>
                <w:sz w:val="20"/>
                <w:szCs w:val="20"/>
              </w:rPr>
              <w:t>—</w:t>
            </w:r>
          </w:p>
        </w:tc>
        <w:tc>
          <w:tcPr>
            <w:tcW w:w="500" w:type="dxa"/>
            <w:shd w:val="clear" w:color="auto" w:fill="CCEEFF"/>
            <w:vAlign w:val="bottom"/>
          </w:tcPr>
          <w:p w:rsidR="000728AD" w:rsidRDefault="000561BE">
            <w:pPr>
              <w:ind w:right="281"/>
              <w:jc w:val="right"/>
              <w:rPr>
                <w:sz w:val="20"/>
                <w:szCs w:val="20"/>
              </w:rPr>
            </w:pPr>
            <w:r>
              <w:rPr>
                <w:rFonts w:ascii="Arial" w:eastAsia="Arial" w:hAnsi="Arial" w:cs="Arial"/>
                <w:w w:val="89"/>
                <w:sz w:val="20"/>
                <w:szCs w:val="20"/>
              </w:rPr>
              <w:t>$</w:t>
            </w:r>
          </w:p>
        </w:tc>
        <w:tc>
          <w:tcPr>
            <w:tcW w:w="1020" w:type="dxa"/>
            <w:shd w:val="clear" w:color="auto" w:fill="CCEEFF"/>
            <w:vAlign w:val="bottom"/>
          </w:tcPr>
          <w:p w:rsidR="000728AD" w:rsidRDefault="000561BE">
            <w:pPr>
              <w:jc w:val="right"/>
              <w:rPr>
                <w:sz w:val="20"/>
                <w:szCs w:val="20"/>
              </w:rPr>
            </w:pPr>
            <w:r>
              <w:rPr>
                <w:rFonts w:ascii="Arial" w:eastAsia="Arial" w:hAnsi="Arial" w:cs="Arial"/>
                <w:sz w:val="20"/>
                <w:szCs w:val="20"/>
              </w:rPr>
              <w:t>31,440</w:t>
            </w:r>
          </w:p>
        </w:tc>
      </w:tr>
      <w:tr w:rsidR="000728AD">
        <w:trPr>
          <w:trHeight w:val="243"/>
        </w:trPr>
        <w:tc>
          <w:tcPr>
            <w:tcW w:w="4860" w:type="dxa"/>
            <w:vAlign w:val="bottom"/>
          </w:tcPr>
          <w:p w:rsidR="000728AD" w:rsidRDefault="000561BE">
            <w:pPr>
              <w:ind w:left="20"/>
              <w:rPr>
                <w:sz w:val="20"/>
                <w:szCs w:val="20"/>
              </w:rPr>
            </w:pPr>
            <w:r>
              <w:rPr>
                <w:rFonts w:ascii="Arial" w:eastAsia="Arial" w:hAnsi="Arial" w:cs="Arial"/>
                <w:sz w:val="20"/>
                <w:szCs w:val="20"/>
              </w:rPr>
              <w:t>Marketable securities:</w:t>
            </w:r>
          </w:p>
        </w:tc>
        <w:tc>
          <w:tcPr>
            <w:tcW w:w="300" w:type="dxa"/>
            <w:vAlign w:val="bottom"/>
          </w:tcPr>
          <w:p w:rsidR="000728AD" w:rsidRDefault="000728AD">
            <w:pPr>
              <w:rPr>
                <w:sz w:val="21"/>
                <w:szCs w:val="21"/>
              </w:rPr>
            </w:pPr>
          </w:p>
        </w:tc>
        <w:tc>
          <w:tcPr>
            <w:tcW w:w="1220" w:type="dxa"/>
            <w:vAlign w:val="bottom"/>
          </w:tcPr>
          <w:p w:rsidR="000728AD" w:rsidRDefault="000728AD">
            <w:pPr>
              <w:rPr>
                <w:sz w:val="21"/>
                <w:szCs w:val="21"/>
              </w:rPr>
            </w:pPr>
          </w:p>
        </w:tc>
        <w:tc>
          <w:tcPr>
            <w:tcW w:w="100" w:type="dxa"/>
            <w:vAlign w:val="bottom"/>
          </w:tcPr>
          <w:p w:rsidR="000728AD" w:rsidRDefault="000728AD">
            <w:pPr>
              <w:rPr>
                <w:sz w:val="21"/>
                <w:szCs w:val="21"/>
              </w:rPr>
            </w:pPr>
          </w:p>
        </w:tc>
        <w:tc>
          <w:tcPr>
            <w:tcW w:w="300" w:type="dxa"/>
            <w:vAlign w:val="bottom"/>
          </w:tcPr>
          <w:p w:rsidR="000728AD" w:rsidRDefault="000728AD">
            <w:pPr>
              <w:rPr>
                <w:sz w:val="21"/>
                <w:szCs w:val="21"/>
              </w:rPr>
            </w:pPr>
          </w:p>
        </w:tc>
        <w:tc>
          <w:tcPr>
            <w:tcW w:w="1220" w:type="dxa"/>
            <w:vAlign w:val="bottom"/>
          </w:tcPr>
          <w:p w:rsidR="000728AD" w:rsidRDefault="000728AD">
            <w:pPr>
              <w:rPr>
                <w:sz w:val="21"/>
                <w:szCs w:val="21"/>
              </w:rPr>
            </w:pPr>
          </w:p>
        </w:tc>
        <w:tc>
          <w:tcPr>
            <w:tcW w:w="100" w:type="dxa"/>
            <w:vAlign w:val="bottom"/>
          </w:tcPr>
          <w:p w:rsidR="000728AD" w:rsidRDefault="000728AD">
            <w:pPr>
              <w:rPr>
                <w:sz w:val="21"/>
                <w:szCs w:val="21"/>
              </w:rPr>
            </w:pPr>
          </w:p>
        </w:tc>
        <w:tc>
          <w:tcPr>
            <w:tcW w:w="300" w:type="dxa"/>
            <w:vAlign w:val="bottom"/>
          </w:tcPr>
          <w:p w:rsidR="000728AD" w:rsidRDefault="000728AD">
            <w:pPr>
              <w:rPr>
                <w:sz w:val="21"/>
                <w:szCs w:val="21"/>
              </w:rPr>
            </w:pPr>
          </w:p>
        </w:tc>
        <w:tc>
          <w:tcPr>
            <w:tcW w:w="1220" w:type="dxa"/>
            <w:vAlign w:val="bottom"/>
          </w:tcPr>
          <w:p w:rsidR="000728AD" w:rsidRDefault="000728AD">
            <w:pPr>
              <w:rPr>
                <w:sz w:val="21"/>
                <w:szCs w:val="21"/>
              </w:rPr>
            </w:pPr>
          </w:p>
        </w:tc>
        <w:tc>
          <w:tcPr>
            <w:tcW w:w="100" w:type="dxa"/>
            <w:vAlign w:val="bottom"/>
          </w:tcPr>
          <w:p w:rsidR="000728AD" w:rsidRDefault="000728AD">
            <w:pPr>
              <w:rPr>
                <w:sz w:val="21"/>
                <w:szCs w:val="21"/>
              </w:rPr>
            </w:pPr>
          </w:p>
        </w:tc>
        <w:tc>
          <w:tcPr>
            <w:tcW w:w="500" w:type="dxa"/>
            <w:vAlign w:val="bottom"/>
          </w:tcPr>
          <w:p w:rsidR="000728AD" w:rsidRDefault="000728AD">
            <w:pPr>
              <w:rPr>
                <w:sz w:val="21"/>
                <w:szCs w:val="21"/>
              </w:rPr>
            </w:pPr>
          </w:p>
        </w:tc>
        <w:tc>
          <w:tcPr>
            <w:tcW w:w="1020" w:type="dxa"/>
            <w:vAlign w:val="bottom"/>
          </w:tcPr>
          <w:p w:rsidR="000728AD" w:rsidRDefault="000728AD">
            <w:pPr>
              <w:rPr>
                <w:sz w:val="21"/>
                <w:szCs w:val="21"/>
              </w:rPr>
            </w:pPr>
          </w:p>
        </w:tc>
      </w:tr>
      <w:tr w:rsidR="000728AD">
        <w:trPr>
          <w:trHeight w:val="243"/>
        </w:trPr>
        <w:tc>
          <w:tcPr>
            <w:tcW w:w="4860" w:type="dxa"/>
            <w:shd w:val="clear" w:color="auto" w:fill="CCEEFF"/>
            <w:vAlign w:val="bottom"/>
          </w:tcPr>
          <w:p w:rsidR="000728AD" w:rsidRDefault="000561BE">
            <w:pPr>
              <w:ind w:left="140"/>
              <w:rPr>
                <w:sz w:val="20"/>
                <w:szCs w:val="20"/>
              </w:rPr>
            </w:pPr>
            <w:r>
              <w:rPr>
                <w:rFonts w:ascii="Arial" w:eastAsia="Arial" w:hAnsi="Arial" w:cs="Arial"/>
                <w:sz w:val="20"/>
                <w:szCs w:val="20"/>
              </w:rPr>
              <w:t>Corporate obligations</w:t>
            </w:r>
          </w:p>
        </w:tc>
        <w:tc>
          <w:tcPr>
            <w:tcW w:w="300" w:type="dxa"/>
            <w:shd w:val="clear" w:color="auto" w:fill="CCEEFF"/>
            <w:vAlign w:val="bottom"/>
          </w:tcPr>
          <w:p w:rsidR="000728AD" w:rsidRDefault="000728AD">
            <w:pPr>
              <w:rPr>
                <w:sz w:val="21"/>
                <w:szCs w:val="21"/>
              </w:rPr>
            </w:pPr>
          </w:p>
        </w:tc>
        <w:tc>
          <w:tcPr>
            <w:tcW w:w="1320" w:type="dxa"/>
            <w:gridSpan w:val="2"/>
            <w:shd w:val="clear" w:color="auto" w:fill="CCEEFF"/>
            <w:vAlign w:val="bottom"/>
          </w:tcPr>
          <w:p w:rsidR="000728AD" w:rsidRDefault="000561BE">
            <w:pPr>
              <w:ind w:right="180"/>
              <w:jc w:val="right"/>
              <w:rPr>
                <w:sz w:val="20"/>
                <w:szCs w:val="20"/>
              </w:rPr>
            </w:pPr>
            <w:r>
              <w:rPr>
                <w:rFonts w:ascii="Arial" w:eastAsia="Arial" w:hAnsi="Arial" w:cs="Arial"/>
                <w:sz w:val="20"/>
                <w:szCs w:val="20"/>
              </w:rPr>
              <w:t>—</w:t>
            </w:r>
          </w:p>
        </w:tc>
        <w:tc>
          <w:tcPr>
            <w:tcW w:w="300" w:type="dxa"/>
            <w:shd w:val="clear" w:color="auto" w:fill="CCEEFF"/>
            <w:vAlign w:val="bottom"/>
          </w:tcPr>
          <w:p w:rsidR="000728AD" w:rsidRDefault="000728AD">
            <w:pPr>
              <w:rPr>
                <w:sz w:val="21"/>
                <w:szCs w:val="21"/>
              </w:rPr>
            </w:pPr>
          </w:p>
        </w:tc>
        <w:tc>
          <w:tcPr>
            <w:tcW w:w="1220" w:type="dxa"/>
            <w:shd w:val="clear" w:color="auto" w:fill="CCEEFF"/>
            <w:vAlign w:val="bottom"/>
          </w:tcPr>
          <w:p w:rsidR="000728AD" w:rsidRDefault="000561BE">
            <w:pPr>
              <w:jc w:val="right"/>
              <w:rPr>
                <w:sz w:val="20"/>
                <w:szCs w:val="20"/>
              </w:rPr>
            </w:pPr>
            <w:r>
              <w:rPr>
                <w:rFonts w:ascii="Arial" w:eastAsia="Arial" w:hAnsi="Arial" w:cs="Arial"/>
                <w:sz w:val="20"/>
                <w:szCs w:val="20"/>
              </w:rPr>
              <w:t>45,003</w:t>
            </w:r>
          </w:p>
        </w:tc>
        <w:tc>
          <w:tcPr>
            <w:tcW w:w="100" w:type="dxa"/>
            <w:shd w:val="clear" w:color="auto" w:fill="CCEEFF"/>
            <w:vAlign w:val="bottom"/>
          </w:tcPr>
          <w:p w:rsidR="000728AD" w:rsidRDefault="000728AD">
            <w:pPr>
              <w:rPr>
                <w:sz w:val="21"/>
                <w:szCs w:val="21"/>
              </w:rPr>
            </w:pPr>
          </w:p>
        </w:tc>
        <w:tc>
          <w:tcPr>
            <w:tcW w:w="300" w:type="dxa"/>
            <w:shd w:val="clear" w:color="auto" w:fill="CCEEFF"/>
            <w:vAlign w:val="bottom"/>
          </w:tcPr>
          <w:p w:rsidR="000728AD" w:rsidRDefault="000728AD">
            <w:pPr>
              <w:rPr>
                <w:sz w:val="21"/>
                <w:szCs w:val="21"/>
              </w:rPr>
            </w:pPr>
          </w:p>
        </w:tc>
        <w:tc>
          <w:tcPr>
            <w:tcW w:w="1320" w:type="dxa"/>
            <w:gridSpan w:val="2"/>
            <w:shd w:val="clear" w:color="auto" w:fill="CCEEFF"/>
            <w:vAlign w:val="bottom"/>
          </w:tcPr>
          <w:p w:rsidR="000728AD" w:rsidRDefault="000561BE">
            <w:pPr>
              <w:ind w:left="940"/>
              <w:rPr>
                <w:sz w:val="20"/>
                <w:szCs w:val="20"/>
              </w:rPr>
            </w:pPr>
            <w:r>
              <w:rPr>
                <w:rFonts w:ascii="Arial" w:eastAsia="Arial" w:hAnsi="Arial" w:cs="Arial"/>
                <w:sz w:val="20"/>
                <w:szCs w:val="20"/>
              </w:rPr>
              <w:t>—</w:t>
            </w:r>
          </w:p>
        </w:tc>
        <w:tc>
          <w:tcPr>
            <w:tcW w:w="500" w:type="dxa"/>
            <w:shd w:val="clear" w:color="auto" w:fill="CCEEFF"/>
            <w:vAlign w:val="bottom"/>
          </w:tcPr>
          <w:p w:rsidR="000728AD" w:rsidRDefault="000728AD">
            <w:pPr>
              <w:rPr>
                <w:sz w:val="21"/>
                <w:szCs w:val="21"/>
              </w:rPr>
            </w:pPr>
          </w:p>
        </w:tc>
        <w:tc>
          <w:tcPr>
            <w:tcW w:w="1020" w:type="dxa"/>
            <w:shd w:val="clear" w:color="auto" w:fill="CCEEFF"/>
            <w:vAlign w:val="bottom"/>
          </w:tcPr>
          <w:p w:rsidR="000728AD" w:rsidRDefault="000561BE">
            <w:pPr>
              <w:jc w:val="right"/>
              <w:rPr>
                <w:sz w:val="20"/>
                <w:szCs w:val="20"/>
              </w:rPr>
            </w:pPr>
            <w:r>
              <w:rPr>
                <w:rFonts w:ascii="Arial" w:eastAsia="Arial" w:hAnsi="Arial" w:cs="Arial"/>
                <w:sz w:val="20"/>
                <w:szCs w:val="20"/>
              </w:rPr>
              <w:t>45,003</w:t>
            </w:r>
          </w:p>
        </w:tc>
      </w:tr>
      <w:tr w:rsidR="000728AD">
        <w:trPr>
          <w:trHeight w:val="237"/>
        </w:trPr>
        <w:tc>
          <w:tcPr>
            <w:tcW w:w="4860" w:type="dxa"/>
            <w:vAlign w:val="bottom"/>
          </w:tcPr>
          <w:p w:rsidR="000728AD" w:rsidRDefault="000561BE">
            <w:pPr>
              <w:ind w:left="140"/>
              <w:rPr>
                <w:sz w:val="20"/>
                <w:szCs w:val="20"/>
              </w:rPr>
            </w:pPr>
            <w:r>
              <w:rPr>
                <w:rFonts w:ascii="Arial" w:eastAsia="Arial" w:hAnsi="Arial" w:cs="Arial"/>
                <w:sz w:val="20"/>
                <w:szCs w:val="20"/>
              </w:rPr>
              <w:t>Total</w:t>
            </w:r>
          </w:p>
        </w:tc>
        <w:tc>
          <w:tcPr>
            <w:tcW w:w="300" w:type="dxa"/>
            <w:tcBorders>
              <w:top w:val="single" w:sz="8" w:space="0" w:color="auto"/>
              <w:bottom w:val="single" w:sz="8" w:space="0" w:color="auto"/>
            </w:tcBorders>
            <w:vAlign w:val="bottom"/>
          </w:tcPr>
          <w:p w:rsidR="000728AD" w:rsidRDefault="000561BE">
            <w:pPr>
              <w:ind w:right="81"/>
              <w:jc w:val="right"/>
              <w:rPr>
                <w:sz w:val="20"/>
                <w:szCs w:val="20"/>
              </w:rPr>
            </w:pPr>
            <w:r>
              <w:rPr>
                <w:rFonts w:ascii="Arial" w:eastAsia="Arial" w:hAnsi="Arial" w:cs="Arial"/>
                <w:w w:val="89"/>
                <w:sz w:val="20"/>
                <w:szCs w:val="20"/>
              </w:rPr>
              <w:t>$</w:t>
            </w:r>
          </w:p>
        </w:tc>
        <w:tc>
          <w:tcPr>
            <w:tcW w:w="1220" w:type="dxa"/>
            <w:tcBorders>
              <w:top w:val="single" w:sz="8" w:space="0" w:color="auto"/>
              <w:bottom w:val="single" w:sz="8" w:space="0" w:color="auto"/>
            </w:tcBorders>
            <w:vAlign w:val="bottom"/>
          </w:tcPr>
          <w:p w:rsidR="000728AD" w:rsidRDefault="000561BE">
            <w:pPr>
              <w:jc w:val="right"/>
              <w:rPr>
                <w:sz w:val="20"/>
                <w:szCs w:val="20"/>
              </w:rPr>
            </w:pPr>
            <w:r>
              <w:rPr>
                <w:rFonts w:ascii="Arial" w:eastAsia="Arial" w:hAnsi="Arial" w:cs="Arial"/>
                <w:sz w:val="20"/>
                <w:szCs w:val="20"/>
              </w:rPr>
              <w:t>31,440</w:t>
            </w:r>
          </w:p>
        </w:tc>
        <w:tc>
          <w:tcPr>
            <w:tcW w:w="100" w:type="dxa"/>
            <w:vAlign w:val="bottom"/>
          </w:tcPr>
          <w:p w:rsidR="000728AD" w:rsidRDefault="000728AD">
            <w:pPr>
              <w:rPr>
                <w:sz w:val="20"/>
                <w:szCs w:val="20"/>
              </w:rPr>
            </w:pPr>
          </w:p>
        </w:tc>
        <w:tc>
          <w:tcPr>
            <w:tcW w:w="300" w:type="dxa"/>
            <w:tcBorders>
              <w:top w:val="single" w:sz="8" w:space="0" w:color="auto"/>
              <w:bottom w:val="single" w:sz="8" w:space="0" w:color="auto"/>
            </w:tcBorders>
            <w:vAlign w:val="bottom"/>
          </w:tcPr>
          <w:p w:rsidR="000728AD" w:rsidRDefault="000561BE">
            <w:pPr>
              <w:ind w:right="81"/>
              <w:jc w:val="right"/>
              <w:rPr>
                <w:sz w:val="20"/>
                <w:szCs w:val="20"/>
              </w:rPr>
            </w:pPr>
            <w:r>
              <w:rPr>
                <w:rFonts w:ascii="Arial" w:eastAsia="Arial" w:hAnsi="Arial" w:cs="Arial"/>
                <w:w w:val="89"/>
                <w:sz w:val="20"/>
                <w:szCs w:val="20"/>
              </w:rPr>
              <w:t>$</w:t>
            </w:r>
          </w:p>
        </w:tc>
        <w:tc>
          <w:tcPr>
            <w:tcW w:w="1220" w:type="dxa"/>
            <w:tcBorders>
              <w:top w:val="single" w:sz="8" w:space="0" w:color="auto"/>
              <w:bottom w:val="single" w:sz="8" w:space="0" w:color="auto"/>
            </w:tcBorders>
            <w:vAlign w:val="bottom"/>
          </w:tcPr>
          <w:p w:rsidR="000728AD" w:rsidRDefault="000561BE">
            <w:pPr>
              <w:jc w:val="right"/>
              <w:rPr>
                <w:sz w:val="20"/>
                <w:szCs w:val="20"/>
              </w:rPr>
            </w:pPr>
            <w:r>
              <w:rPr>
                <w:rFonts w:ascii="Arial" w:eastAsia="Arial" w:hAnsi="Arial" w:cs="Arial"/>
                <w:sz w:val="20"/>
                <w:szCs w:val="20"/>
              </w:rPr>
              <w:t>45,003</w:t>
            </w:r>
          </w:p>
        </w:tc>
        <w:tc>
          <w:tcPr>
            <w:tcW w:w="100" w:type="dxa"/>
            <w:vAlign w:val="bottom"/>
          </w:tcPr>
          <w:p w:rsidR="000728AD" w:rsidRDefault="000728AD">
            <w:pPr>
              <w:rPr>
                <w:sz w:val="20"/>
                <w:szCs w:val="20"/>
              </w:rPr>
            </w:pPr>
          </w:p>
        </w:tc>
        <w:tc>
          <w:tcPr>
            <w:tcW w:w="300" w:type="dxa"/>
            <w:tcBorders>
              <w:top w:val="single" w:sz="8" w:space="0" w:color="auto"/>
              <w:bottom w:val="single" w:sz="8" w:space="0" w:color="auto"/>
            </w:tcBorders>
            <w:vAlign w:val="bottom"/>
          </w:tcPr>
          <w:p w:rsidR="000728AD" w:rsidRDefault="000561BE">
            <w:pPr>
              <w:ind w:right="81"/>
              <w:jc w:val="right"/>
              <w:rPr>
                <w:sz w:val="20"/>
                <w:szCs w:val="20"/>
              </w:rPr>
            </w:pPr>
            <w:r>
              <w:rPr>
                <w:rFonts w:ascii="Arial" w:eastAsia="Arial" w:hAnsi="Arial" w:cs="Arial"/>
                <w:w w:val="89"/>
                <w:sz w:val="20"/>
                <w:szCs w:val="20"/>
              </w:rPr>
              <w:t>$</w:t>
            </w:r>
          </w:p>
        </w:tc>
        <w:tc>
          <w:tcPr>
            <w:tcW w:w="1220" w:type="dxa"/>
            <w:tcBorders>
              <w:top w:val="single" w:sz="8" w:space="0" w:color="auto"/>
              <w:bottom w:val="single" w:sz="8" w:space="0" w:color="auto"/>
            </w:tcBorders>
            <w:vAlign w:val="bottom"/>
          </w:tcPr>
          <w:p w:rsidR="000728AD" w:rsidRDefault="000561BE">
            <w:pPr>
              <w:ind w:left="940"/>
              <w:rPr>
                <w:sz w:val="20"/>
                <w:szCs w:val="20"/>
              </w:rPr>
            </w:pPr>
            <w:r>
              <w:rPr>
                <w:rFonts w:ascii="Arial" w:eastAsia="Arial" w:hAnsi="Arial" w:cs="Arial"/>
                <w:sz w:val="20"/>
                <w:szCs w:val="20"/>
              </w:rPr>
              <w:t>—</w:t>
            </w:r>
          </w:p>
        </w:tc>
        <w:tc>
          <w:tcPr>
            <w:tcW w:w="100" w:type="dxa"/>
            <w:vAlign w:val="bottom"/>
          </w:tcPr>
          <w:p w:rsidR="000728AD" w:rsidRDefault="000728AD">
            <w:pPr>
              <w:rPr>
                <w:sz w:val="20"/>
                <w:szCs w:val="20"/>
              </w:rPr>
            </w:pPr>
          </w:p>
        </w:tc>
        <w:tc>
          <w:tcPr>
            <w:tcW w:w="500" w:type="dxa"/>
            <w:tcBorders>
              <w:top w:val="single" w:sz="8" w:space="0" w:color="auto"/>
              <w:bottom w:val="single" w:sz="8" w:space="0" w:color="auto"/>
            </w:tcBorders>
            <w:vAlign w:val="bottom"/>
          </w:tcPr>
          <w:p w:rsidR="000728AD" w:rsidRDefault="000561BE">
            <w:pPr>
              <w:ind w:right="281"/>
              <w:jc w:val="right"/>
              <w:rPr>
                <w:sz w:val="20"/>
                <w:szCs w:val="20"/>
              </w:rPr>
            </w:pPr>
            <w:r>
              <w:rPr>
                <w:rFonts w:ascii="Arial" w:eastAsia="Arial" w:hAnsi="Arial" w:cs="Arial"/>
                <w:w w:val="89"/>
                <w:sz w:val="20"/>
                <w:szCs w:val="20"/>
              </w:rPr>
              <w:t>$</w:t>
            </w:r>
          </w:p>
        </w:tc>
        <w:tc>
          <w:tcPr>
            <w:tcW w:w="1020" w:type="dxa"/>
            <w:tcBorders>
              <w:top w:val="single" w:sz="8" w:space="0" w:color="auto"/>
              <w:bottom w:val="single" w:sz="8" w:space="0" w:color="auto"/>
            </w:tcBorders>
            <w:vAlign w:val="bottom"/>
          </w:tcPr>
          <w:p w:rsidR="000728AD" w:rsidRDefault="000561BE">
            <w:pPr>
              <w:jc w:val="right"/>
              <w:rPr>
                <w:sz w:val="20"/>
                <w:szCs w:val="20"/>
              </w:rPr>
            </w:pPr>
            <w:r>
              <w:rPr>
                <w:rFonts w:ascii="Arial" w:eastAsia="Arial" w:hAnsi="Arial" w:cs="Arial"/>
                <w:sz w:val="20"/>
                <w:szCs w:val="20"/>
              </w:rPr>
              <w:t>76,443</w:t>
            </w:r>
          </w:p>
        </w:tc>
      </w:tr>
      <w:tr w:rsidR="000728AD">
        <w:trPr>
          <w:trHeight w:val="20"/>
        </w:trPr>
        <w:tc>
          <w:tcPr>
            <w:tcW w:w="4860" w:type="dxa"/>
            <w:vAlign w:val="bottom"/>
          </w:tcPr>
          <w:p w:rsidR="000728AD" w:rsidRDefault="000728AD">
            <w:pPr>
              <w:spacing w:line="20" w:lineRule="exact"/>
              <w:rPr>
                <w:sz w:val="1"/>
                <w:szCs w:val="1"/>
              </w:rPr>
            </w:pPr>
          </w:p>
        </w:tc>
        <w:tc>
          <w:tcPr>
            <w:tcW w:w="300" w:type="dxa"/>
            <w:tcBorders>
              <w:bottom w:val="single" w:sz="8" w:space="0" w:color="auto"/>
            </w:tcBorders>
            <w:vAlign w:val="bottom"/>
          </w:tcPr>
          <w:p w:rsidR="000728AD" w:rsidRDefault="000728AD">
            <w:pPr>
              <w:spacing w:line="20" w:lineRule="exact"/>
              <w:rPr>
                <w:sz w:val="1"/>
                <w:szCs w:val="1"/>
              </w:rPr>
            </w:pPr>
          </w:p>
        </w:tc>
        <w:tc>
          <w:tcPr>
            <w:tcW w:w="1220" w:type="dxa"/>
            <w:tcBorders>
              <w:bottom w:val="single" w:sz="8" w:space="0" w:color="auto"/>
            </w:tcBorders>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1520" w:type="dxa"/>
            <w:gridSpan w:val="2"/>
            <w:tcBorders>
              <w:bottom w:val="single" w:sz="8" w:space="0" w:color="auto"/>
            </w:tcBorders>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1520" w:type="dxa"/>
            <w:gridSpan w:val="2"/>
            <w:tcBorders>
              <w:bottom w:val="single" w:sz="8" w:space="0" w:color="auto"/>
            </w:tcBorders>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500" w:type="dxa"/>
            <w:tcBorders>
              <w:bottom w:val="single" w:sz="8" w:space="0" w:color="auto"/>
            </w:tcBorders>
            <w:vAlign w:val="bottom"/>
          </w:tcPr>
          <w:p w:rsidR="000728AD" w:rsidRDefault="000728AD">
            <w:pPr>
              <w:spacing w:line="20" w:lineRule="exact"/>
              <w:rPr>
                <w:sz w:val="1"/>
                <w:szCs w:val="1"/>
              </w:rPr>
            </w:pPr>
          </w:p>
        </w:tc>
        <w:tc>
          <w:tcPr>
            <w:tcW w:w="1020" w:type="dxa"/>
            <w:tcBorders>
              <w:bottom w:val="single" w:sz="8" w:space="0" w:color="auto"/>
            </w:tcBorders>
            <w:vAlign w:val="bottom"/>
          </w:tcPr>
          <w:p w:rsidR="000728AD" w:rsidRDefault="000728AD">
            <w:pPr>
              <w:spacing w:line="20" w:lineRule="exact"/>
              <w:rPr>
                <w:sz w:val="1"/>
                <w:szCs w:val="1"/>
              </w:rPr>
            </w:pPr>
          </w:p>
        </w:tc>
      </w:tr>
      <w:tr w:rsidR="000728AD">
        <w:trPr>
          <w:trHeight w:val="561"/>
        </w:trPr>
        <w:tc>
          <w:tcPr>
            <w:tcW w:w="4860" w:type="dxa"/>
            <w:vAlign w:val="bottom"/>
          </w:tcPr>
          <w:p w:rsidR="000728AD" w:rsidRDefault="000728AD">
            <w:pPr>
              <w:rPr>
                <w:sz w:val="24"/>
                <w:szCs w:val="24"/>
              </w:rPr>
            </w:pPr>
          </w:p>
        </w:tc>
        <w:tc>
          <w:tcPr>
            <w:tcW w:w="300" w:type="dxa"/>
            <w:tcBorders>
              <w:bottom w:val="single" w:sz="8" w:space="0" w:color="auto"/>
            </w:tcBorders>
            <w:vAlign w:val="bottom"/>
          </w:tcPr>
          <w:p w:rsidR="000728AD" w:rsidRDefault="000728AD">
            <w:pPr>
              <w:rPr>
                <w:sz w:val="24"/>
                <w:szCs w:val="24"/>
              </w:rPr>
            </w:pPr>
          </w:p>
        </w:tc>
        <w:tc>
          <w:tcPr>
            <w:tcW w:w="5060" w:type="dxa"/>
            <w:gridSpan w:val="9"/>
            <w:tcBorders>
              <w:bottom w:val="single" w:sz="8" w:space="0" w:color="auto"/>
            </w:tcBorders>
            <w:vAlign w:val="bottom"/>
          </w:tcPr>
          <w:p w:rsidR="000728AD" w:rsidRDefault="000561BE">
            <w:pPr>
              <w:jc w:val="right"/>
              <w:rPr>
                <w:sz w:val="20"/>
                <w:szCs w:val="20"/>
              </w:rPr>
            </w:pPr>
            <w:r>
              <w:rPr>
                <w:rFonts w:ascii="Arial" w:eastAsia="Arial" w:hAnsi="Arial" w:cs="Arial"/>
                <w:b/>
                <w:bCs/>
                <w:sz w:val="18"/>
                <w:szCs w:val="18"/>
              </w:rPr>
              <w:t>Fair Value Measurements at December 31, 2020 using:</w:t>
            </w:r>
          </w:p>
        </w:tc>
        <w:tc>
          <w:tcPr>
            <w:tcW w:w="1020" w:type="dxa"/>
            <w:tcBorders>
              <w:bottom w:val="single" w:sz="8" w:space="0" w:color="auto"/>
            </w:tcBorders>
            <w:vAlign w:val="bottom"/>
          </w:tcPr>
          <w:p w:rsidR="000728AD" w:rsidRDefault="000728AD">
            <w:pPr>
              <w:rPr>
                <w:sz w:val="24"/>
                <w:szCs w:val="24"/>
              </w:rPr>
            </w:pPr>
          </w:p>
        </w:tc>
      </w:tr>
      <w:tr w:rsidR="000728AD">
        <w:trPr>
          <w:trHeight w:val="223"/>
        </w:trPr>
        <w:tc>
          <w:tcPr>
            <w:tcW w:w="4860" w:type="dxa"/>
            <w:vAlign w:val="bottom"/>
          </w:tcPr>
          <w:p w:rsidR="000728AD" w:rsidRDefault="000728AD">
            <w:pPr>
              <w:rPr>
                <w:sz w:val="19"/>
                <w:szCs w:val="19"/>
              </w:rPr>
            </w:pPr>
          </w:p>
        </w:tc>
        <w:tc>
          <w:tcPr>
            <w:tcW w:w="300" w:type="dxa"/>
            <w:vAlign w:val="bottom"/>
          </w:tcPr>
          <w:p w:rsidR="000728AD" w:rsidRDefault="000728AD">
            <w:pPr>
              <w:rPr>
                <w:sz w:val="19"/>
                <w:szCs w:val="19"/>
              </w:rPr>
            </w:pPr>
          </w:p>
        </w:tc>
        <w:tc>
          <w:tcPr>
            <w:tcW w:w="1320" w:type="dxa"/>
            <w:gridSpan w:val="2"/>
            <w:vAlign w:val="bottom"/>
          </w:tcPr>
          <w:p w:rsidR="000728AD" w:rsidRDefault="000561BE">
            <w:pPr>
              <w:ind w:right="400"/>
              <w:jc w:val="center"/>
              <w:rPr>
                <w:sz w:val="20"/>
                <w:szCs w:val="20"/>
              </w:rPr>
            </w:pPr>
            <w:r>
              <w:rPr>
                <w:rFonts w:ascii="Arial" w:eastAsia="Arial" w:hAnsi="Arial" w:cs="Arial"/>
                <w:b/>
                <w:bCs/>
                <w:w w:val="91"/>
                <w:sz w:val="18"/>
                <w:szCs w:val="18"/>
              </w:rPr>
              <w:t>Level 1</w:t>
            </w:r>
          </w:p>
        </w:tc>
        <w:tc>
          <w:tcPr>
            <w:tcW w:w="300" w:type="dxa"/>
            <w:vAlign w:val="bottom"/>
          </w:tcPr>
          <w:p w:rsidR="000728AD" w:rsidRDefault="000728AD">
            <w:pPr>
              <w:rPr>
                <w:sz w:val="19"/>
                <w:szCs w:val="19"/>
              </w:rPr>
            </w:pPr>
          </w:p>
        </w:tc>
        <w:tc>
          <w:tcPr>
            <w:tcW w:w="1320" w:type="dxa"/>
            <w:gridSpan w:val="2"/>
            <w:vAlign w:val="bottom"/>
          </w:tcPr>
          <w:p w:rsidR="000728AD" w:rsidRDefault="000561BE">
            <w:pPr>
              <w:ind w:left="180"/>
              <w:rPr>
                <w:sz w:val="20"/>
                <w:szCs w:val="20"/>
              </w:rPr>
            </w:pPr>
            <w:r>
              <w:rPr>
                <w:rFonts w:ascii="Arial" w:eastAsia="Arial" w:hAnsi="Arial" w:cs="Arial"/>
                <w:b/>
                <w:bCs/>
                <w:sz w:val="18"/>
                <w:szCs w:val="18"/>
              </w:rPr>
              <w:t>Level 2</w:t>
            </w:r>
          </w:p>
        </w:tc>
        <w:tc>
          <w:tcPr>
            <w:tcW w:w="300" w:type="dxa"/>
            <w:vAlign w:val="bottom"/>
          </w:tcPr>
          <w:p w:rsidR="000728AD" w:rsidRDefault="000728AD">
            <w:pPr>
              <w:rPr>
                <w:sz w:val="19"/>
                <w:szCs w:val="19"/>
              </w:rPr>
            </w:pPr>
          </w:p>
        </w:tc>
        <w:tc>
          <w:tcPr>
            <w:tcW w:w="1320" w:type="dxa"/>
            <w:gridSpan w:val="2"/>
            <w:vAlign w:val="bottom"/>
          </w:tcPr>
          <w:p w:rsidR="000728AD" w:rsidRDefault="000561BE">
            <w:pPr>
              <w:ind w:left="180"/>
              <w:rPr>
                <w:sz w:val="20"/>
                <w:szCs w:val="20"/>
              </w:rPr>
            </w:pPr>
            <w:r>
              <w:rPr>
                <w:rFonts w:ascii="Arial" w:eastAsia="Arial" w:hAnsi="Arial" w:cs="Arial"/>
                <w:b/>
                <w:bCs/>
                <w:sz w:val="18"/>
                <w:szCs w:val="18"/>
              </w:rPr>
              <w:t>Level 3</w:t>
            </w:r>
          </w:p>
        </w:tc>
        <w:tc>
          <w:tcPr>
            <w:tcW w:w="500" w:type="dxa"/>
            <w:vAlign w:val="bottom"/>
          </w:tcPr>
          <w:p w:rsidR="000728AD" w:rsidRDefault="000728AD">
            <w:pPr>
              <w:rPr>
                <w:sz w:val="19"/>
                <w:szCs w:val="19"/>
              </w:rPr>
            </w:pPr>
          </w:p>
        </w:tc>
        <w:tc>
          <w:tcPr>
            <w:tcW w:w="1020" w:type="dxa"/>
            <w:vAlign w:val="bottom"/>
          </w:tcPr>
          <w:p w:rsidR="000728AD" w:rsidRDefault="000561BE">
            <w:pPr>
              <w:ind w:right="463"/>
              <w:jc w:val="right"/>
              <w:rPr>
                <w:sz w:val="20"/>
                <w:szCs w:val="20"/>
              </w:rPr>
            </w:pPr>
            <w:r>
              <w:rPr>
                <w:rFonts w:ascii="Arial" w:eastAsia="Arial" w:hAnsi="Arial" w:cs="Arial"/>
                <w:b/>
                <w:bCs/>
                <w:sz w:val="18"/>
                <w:szCs w:val="18"/>
              </w:rPr>
              <w:t>Total</w:t>
            </w:r>
          </w:p>
        </w:tc>
      </w:tr>
      <w:tr w:rsidR="000728AD">
        <w:trPr>
          <w:trHeight w:val="223"/>
        </w:trPr>
        <w:tc>
          <w:tcPr>
            <w:tcW w:w="4860" w:type="dxa"/>
            <w:tcBorders>
              <w:top w:val="single" w:sz="8" w:space="0" w:color="CCEEFF"/>
            </w:tcBorders>
            <w:shd w:val="clear" w:color="auto" w:fill="CCEEFF"/>
            <w:vAlign w:val="bottom"/>
          </w:tcPr>
          <w:p w:rsidR="000728AD" w:rsidRDefault="000561BE">
            <w:pPr>
              <w:spacing w:line="223" w:lineRule="exact"/>
              <w:ind w:left="20"/>
              <w:rPr>
                <w:sz w:val="20"/>
                <w:szCs w:val="20"/>
              </w:rPr>
            </w:pPr>
            <w:r>
              <w:rPr>
                <w:rFonts w:ascii="Arial" w:eastAsia="Arial" w:hAnsi="Arial" w:cs="Arial"/>
                <w:sz w:val="20"/>
                <w:szCs w:val="20"/>
              </w:rPr>
              <w:t>Assets:</w:t>
            </w:r>
          </w:p>
        </w:tc>
        <w:tc>
          <w:tcPr>
            <w:tcW w:w="300" w:type="dxa"/>
            <w:tcBorders>
              <w:top w:val="single" w:sz="8" w:space="0" w:color="auto"/>
            </w:tcBorders>
            <w:shd w:val="clear" w:color="auto" w:fill="CCEEFF"/>
            <w:vAlign w:val="bottom"/>
          </w:tcPr>
          <w:p w:rsidR="000728AD" w:rsidRDefault="000728AD">
            <w:pPr>
              <w:rPr>
                <w:sz w:val="19"/>
                <w:szCs w:val="19"/>
              </w:rPr>
            </w:pPr>
          </w:p>
        </w:tc>
        <w:tc>
          <w:tcPr>
            <w:tcW w:w="1220" w:type="dxa"/>
            <w:tcBorders>
              <w:top w:val="single" w:sz="8" w:space="0" w:color="auto"/>
            </w:tcBorders>
            <w:shd w:val="clear" w:color="auto" w:fill="CCEEFF"/>
            <w:vAlign w:val="bottom"/>
          </w:tcPr>
          <w:p w:rsidR="000728AD" w:rsidRDefault="000728AD">
            <w:pPr>
              <w:rPr>
                <w:sz w:val="19"/>
                <w:szCs w:val="19"/>
              </w:rPr>
            </w:pPr>
          </w:p>
        </w:tc>
        <w:tc>
          <w:tcPr>
            <w:tcW w:w="100" w:type="dxa"/>
            <w:tcBorders>
              <w:top w:val="single" w:sz="8" w:space="0" w:color="CCEEFF"/>
            </w:tcBorders>
            <w:shd w:val="clear" w:color="auto" w:fill="CCEEFF"/>
            <w:vAlign w:val="bottom"/>
          </w:tcPr>
          <w:p w:rsidR="000728AD" w:rsidRDefault="000728AD">
            <w:pPr>
              <w:rPr>
                <w:sz w:val="19"/>
                <w:szCs w:val="19"/>
              </w:rPr>
            </w:pPr>
          </w:p>
        </w:tc>
        <w:tc>
          <w:tcPr>
            <w:tcW w:w="300" w:type="dxa"/>
            <w:tcBorders>
              <w:top w:val="single" w:sz="8" w:space="0" w:color="auto"/>
            </w:tcBorders>
            <w:shd w:val="clear" w:color="auto" w:fill="CCEEFF"/>
            <w:vAlign w:val="bottom"/>
          </w:tcPr>
          <w:p w:rsidR="000728AD" w:rsidRDefault="000728AD">
            <w:pPr>
              <w:rPr>
                <w:sz w:val="19"/>
                <w:szCs w:val="19"/>
              </w:rPr>
            </w:pPr>
          </w:p>
        </w:tc>
        <w:tc>
          <w:tcPr>
            <w:tcW w:w="1220" w:type="dxa"/>
            <w:tcBorders>
              <w:top w:val="single" w:sz="8" w:space="0" w:color="auto"/>
            </w:tcBorders>
            <w:shd w:val="clear" w:color="auto" w:fill="CCEEFF"/>
            <w:vAlign w:val="bottom"/>
          </w:tcPr>
          <w:p w:rsidR="000728AD" w:rsidRDefault="000728AD">
            <w:pPr>
              <w:rPr>
                <w:sz w:val="19"/>
                <w:szCs w:val="19"/>
              </w:rPr>
            </w:pPr>
          </w:p>
        </w:tc>
        <w:tc>
          <w:tcPr>
            <w:tcW w:w="100" w:type="dxa"/>
            <w:tcBorders>
              <w:top w:val="single" w:sz="8" w:space="0" w:color="CCEEFF"/>
            </w:tcBorders>
            <w:shd w:val="clear" w:color="auto" w:fill="CCEEFF"/>
            <w:vAlign w:val="bottom"/>
          </w:tcPr>
          <w:p w:rsidR="000728AD" w:rsidRDefault="000728AD">
            <w:pPr>
              <w:rPr>
                <w:sz w:val="19"/>
                <w:szCs w:val="19"/>
              </w:rPr>
            </w:pPr>
          </w:p>
        </w:tc>
        <w:tc>
          <w:tcPr>
            <w:tcW w:w="300" w:type="dxa"/>
            <w:tcBorders>
              <w:top w:val="single" w:sz="8" w:space="0" w:color="auto"/>
            </w:tcBorders>
            <w:shd w:val="clear" w:color="auto" w:fill="CCEEFF"/>
            <w:vAlign w:val="bottom"/>
          </w:tcPr>
          <w:p w:rsidR="000728AD" w:rsidRDefault="000728AD">
            <w:pPr>
              <w:rPr>
                <w:sz w:val="19"/>
                <w:szCs w:val="19"/>
              </w:rPr>
            </w:pPr>
          </w:p>
        </w:tc>
        <w:tc>
          <w:tcPr>
            <w:tcW w:w="1220" w:type="dxa"/>
            <w:tcBorders>
              <w:top w:val="single" w:sz="8" w:space="0" w:color="auto"/>
            </w:tcBorders>
            <w:shd w:val="clear" w:color="auto" w:fill="CCEEFF"/>
            <w:vAlign w:val="bottom"/>
          </w:tcPr>
          <w:p w:rsidR="000728AD" w:rsidRDefault="000728AD">
            <w:pPr>
              <w:rPr>
                <w:sz w:val="19"/>
                <w:szCs w:val="19"/>
              </w:rPr>
            </w:pPr>
          </w:p>
        </w:tc>
        <w:tc>
          <w:tcPr>
            <w:tcW w:w="100" w:type="dxa"/>
            <w:tcBorders>
              <w:top w:val="single" w:sz="8" w:space="0" w:color="CCEEFF"/>
            </w:tcBorders>
            <w:shd w:val="clear" w:color="auto" w:fill="CCEEFF"/>
            <w:vAlign w:val="bottom"/>
          </w:tcPr>
          <w:p w:rsidR="000728AD" w:rsidRDefault="000728AD">
            <w:pPr>
              <w:rPr>
                <w:sz w:val="19"/>
                <w:szCs w:val="19"/>
              </w:rPr>
            </w:pPr>
          </w:p>
        </w:tc>
        <w:tc>
          <w:tcPr>
            <w:tcW w:w="500" w:type="dxa"/>
            <w:tcBorders>
              <w:top w:val="single" w:sz="8" w:space="0" w:color="auto"/>
            </w:tcBorders>
            <w:shd w:val="clear" w:color="auto" w:fill="CCEEFF"/>
            <w:vAlign w:val="bottom"/>
          </w:tcPr>
          <w:p w:rsidR="000728AD" w:rsidRDefault="000728AD">
            <w:pPr>
              <w:rPr>
                <w:sz w:val="19"/>
                <w:szCs w:val="19"/>
              </w:rPr>
            </w:pPr>
          </w:p>
        </w:tc>
        <w:tc>
          <w:tcPr>
            <w:tcW w:w="1020" w:type="dxa"/>
            <w:tcBorders>
              <w:top w:val="single" w:sz="8" w:space="0" w:color="auto"/>
            </w:tcBorders>
            <w:shd w:val="clear" w:color="auto" w:fill="CCEEFF"/>
            <w:vAlign w:val="bottom"/>
          </w:tcPr>
          <w:p w:rsidR="000728AD" w:rsidRDefault="000728AD">
            <w:pPr>
              <w:rPr>
                <w:sz w:val="19"/>
                <w:szCs w:val="19"/>
              </w:rPr>
            </w:pPr>
          </w:p>
        </w:tc>
      </w:tr>
      <w:tr w:rsidR="000728AD">
        <w:trPr>
          <w:trHeight w:val="243"/>
        </w:trPr>
        <w:tc>
          <w:tcPr>
            <w:tcW w:w="4860" w:type="dxa"/>
            <w:vAlign w:val="bottom"/>
          </w:tcPr>
          <w:p w:rsidR="000728AD" w:rsidRDefault="000561BE">
            <w:pPr>
              <w:ind w:left="40"/>
              <w:rPr>
                <w:sz w:val="20"/>
                <w:szCs w:val="20"/>
              </w:rPr>
            </w:pPr>
            <w:r>
              <w:rPr>
                <w:rFonts w:ascii="Arial" w:eastAsia="Arial" w:hAnsi="Arial" w:cs="Arial"/>
                <w:sz w:val="20"/>
                <w:szCs w:val="20"/>
              </w:rPr>
              <w:t>Cash equivalents:</w:t>
            </w:r>
          </w:p>
        </w:tc>
        <w:tc>
          <w:tcPr>
            <w:tcW w:w="300" w:type="dxa"/>
            <w:vAlign w:val="bottom"/>
          </w:tcPr>
          <w:p w:rsidR="000728AD" w:rsidRDefault="000728AD">
            <w:pPr>
              <w:rPr>
                <w:sz w:val="21"/>
                <w:szCs w:val="21"/>
              </w:rPr>
            </w:pPr>
          </w:p>
        </w:tc>
        <w:tc>
          <w:tcPr>
            <w:tcW w:w="1220" w:type="dxa"/>
            <w:vAlign w:val="bottom"/>
          </w:tcPr>
          <w:p w:rsidR="000728AD" w:rsidRDefault="000728AD">
            <w:pPr>
              <w:rPr>
                <w:sz w:val="21"/>
                <w:szCs w:val="21"/>
              </w:rPr>
            </w:pPr>
          </w:p>
        </w:tc>
        <w:tc>
          <w:tcPr>
            <w:tcW w:w="100" w:type="dxa"/>
            <w:vAlign w:val="bottom"/>
          </w:tcPr>
          <w:p w:rsidR="000728AD" w:rsidRDefault="000728AD">
            <w:pPr>
              <w:rPr>
                <w:sz w:val="21"/>
                <w:szCs w:val="21"/>
              </w:rPr>
            </w:pPr>
          </w:p>
        </w:tc>
        <w:tc>
          <w:tcPr>
            <w:tcW w:w="300" w:type="dxa"/>
            <w:vAlign w:val="bottom"/>
          </w:tcPr>
          <w:p w:rsidR="000728AD" w:rsidRDefault="000728AD">
            <w:pPr>
              <w:rPr>
                <w:sz w:val="21"/>
                <w:szCs w:val="21"/>
              </w:rPr>
            </w:pPr>
          </w:p>
        </w:tc>
        <w:tc>
          <w:tcPr>
            <w:tcW w:w="1220" w:type="dxa"/>
            <w:vAlign w:val="bottom"/>
          </w:tcPr>
          <w:p w:rsidR="000728AD" w:rsidRDefault="000728AD">
            <w:pPr>
              <w:rPr>
                <w:sz w:val="21"/>
                <w:szCs w:val="21"/>
              </w:rPr>
            </w:pPr>
          </w:p>
        </w:tc>
        <w:tc>
          <w:tcPr>
            <w:tcW w:w="100" w:type="dxa"/>
            <w:vAlign w:val="bottom"/>
          </w:tcPr>
          <w:p w:rsidR="000728AD" w:rsidRDefault="000728AD">
            <w:pPr>
              <w:rPr>
                <w:sz w:val="21"/>
                <w:szCs w:val="21"/>
              </w:rPr>
            </w:pPr>
          </w:p>
        </w:tc>
        <w:tc>
          <w:tcPr>
            <w:tcW w:w="300" w:type="dxa"/>
            <w:vAlign w:val="bottom"/>
          </w:tcPr>
          <w:p w:rsidR="000728AD" w:rsidRDefault="000728AD">
            <w:pPr>
              <w:rPr>
                <w:sz w:val="21"/>
                <w:szCs w:val="21"/>
              </w:rPr>
            </w:pPr>
          </w:p>
        </w:tc>
        <w:tc>
          <w:tcPr>
            <w:tcW w:w="1220" w:type="dxa"/>
            <w:vAlign w:val="bottom"/>
          </w:tcPr>
          <w:p w:rsidR="000728AD" w:rsidRDefault="000728AD">
            <w:pPr>
              <w:rPr>
                <w:sz w:val="21"/>
                <w:szCs w:val="21"/>
              </w:rPr>
            </w:pPr>
          </w:p>
        </w:tc>
        <w:tc>
          <w:tcPr>
            <w:tcW w:w="100" w:type="dxa"/>
            <w:vAlign w:val="bottom"/>
          </w:tcPr>
          <w:p w:rsidR="000728AD" w:rsidRDefault="000728AD">
            <w:pPr>
              <w:rPr>
                <w:sz w:val="21"/>
                <w:szCs w:val="21"/>
              </w:rPr>
            </w:pPr>
          </w:p>
        </w:tc>
        <w:tc>
          <w:tcPr>
            <w:tcW w:w="500" w:type="dxa"/>
            <w:vAlign w:val="bottom"/>
          </w:tcPr>
          <w:p w:rsidR="000728AD" w:rsidRDefault="000728AD">
            <w:pPr>
              <w:rPr>
                <w:sz w:val="21"/>
                <w:szCs w:val="21"/>
              </w:rPr>
            </w:pPr>
          </w:p>
        </w:tc>
        <w:tc>
          <w:tcPr>
            <w:tcW w:w="1020" w:type="dxa"/>
            <w:vAlign w:val="bottom"/>
          </w:tcPr>
          <w:p w:rsidR="000728AD" w:rsidRDefault="000728AD">
            <w:pPr>
              <w:rPr>
                <w:sz w:val="21"/>
                <w:szCs w:val="21"/>
              </w:rPr>
            </w:pPr>
          </w:p>
        </w:tc>
      </w:tr>
      <w:tr w:rsidR="000728AD">
        <w:trPr>
          <w:trHeight w:val="243"/>
        </w:trPr>
        <w:tc>
          <w:tcPr>
            <w:tcW w:w="4860" w:type="dxa"/>
            <w:shd w:val="clear" w:color="auto" w:fill="CCEEFF"/>
            <w:vAlign w:val="bottom"/>
          </w:tcPr>
          <w:p w:rsidR="000728AD" w:rsidRDefault="000561BE">
            <w:pPr>
              <w:ind w:left="140"/>
              <w:rPr>
                <w:sz w:val="20"/>
                <w:szCs w:val="20"/>
              </w:rPr>
            </w:pPr>
            <w:r>
              <w:rPr>
                <w:rFonts w:ascii="Arial" w:eastAsia="Arial" w:hAnsi="Arial" w:cs="Arial"/>
                <w:sz w:val="20"/>
                <w:szCs w:val="20"/>
              </w:rPr>
              <w:t>Money market funds</w:t>
            </w:r>
          </w:p>
        </w:tc>
        <w:tc>
          <w:tcPr>
            <w:tcW w:w="300" w:type="dxa"/>
            <w:shd w:val="clear" w:color="auto" w:fill="CCEEFF"/>
            <w:vAlign w:val="bottom"/>
          </w:tcPr>
          <w:p w:rsidR="000728AD" w:rsidRDefault="000561BE">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rsidR="000728AD" w:rsidRDefault="000561BE">
            <w:pPr>
              <w:jc w:val="right"/>
              <w:rPr>
                <w:sz w:val="20"/>
                <w:szCs w:val="20"/>
              </w:rPr>
            </w:pPr>
            <w:r>
              <w:rPr>
                <w:rFonts w:ascii="Arial" w:eastAsia="Arial" w:hAnsi="Arial" w:cs="Arial"/>
                <w:sz w:val="20"/>
                <w:szCs w:val="20"/>
              </w:rPr>
              <w:t>69,118</w:t>
            </w:r>
          </w:p>
        </w:tc>
        <w:tc>
          <w:tcPr>
            <w:tcW w:w="100" w:type="dxa"/>
            <w:shd w:val="clear" w:color="auto" w:fill="CCEEFF"/>
            <w:vAlign w:val="bottom"/>
          </w:tcPr>
          <w:p w:rsidR="000728AD" w:rsidRDefault="000728AD">
            <w:pPr>
              <w:rPr>
                <w:sz w:val="21"/>
                <w:szCs w:val="21"/>
              </w:rPr>
            </w:pPr>
          </w:p>
        </w:tc>
        <w:tc>
          <w:tcPr>
            <w:tcW w:w="300" w:type="dxa"/>
            <w:shd w:val="clear" w:color="auto" w:fill="CCEEFF"/>
            <w:vAlign w:val="bottom"/>
          </w:tcPr>
          <w:p w:rsidR="000728AD" w:rsidRDefault="000561BE">
            <w:pPr>
              <w:ind w:right="81"/>
              <w:jc w:val="right"/>
              <w:rPr>
                <w:sz w:val="20"/>
                <w:szCs w:val="20"/>
              </w:rPr>
            </w:pPr>
            <w:r>
              <w:rPr>
                <w:rFonts w:ascii="Arial" w:eastAsia="Arial" w:hAnsi="Arial" w:cs="Arial"/>
                <w:w w:val="89"/>
                <w:sz w:val="20"/>
                <w:szCs w:val="20"/>
              </w:rPr>
              <w:t>$</w:t>
            </w:r>
          </w:p>
        </w:tc>
        <w:tc>
          <w:tcPr>
            <w:tcW w:w="1320" w:type="dxa"/>
            <w:gridSpan w:val="2"/>
            <w:shd w:val="clear" w:color="auto" w:fill="CCEEFF"/>
            <w:vAlign w:val="bottom"/>
          </w:tcPr>
          <w:p w:rsidR="000728AD" w:rsidRDefault="000561BE">
            <w:pPr>
              <w:ind w:right="180"/>
              <w:jc w:val="right"/>
              <w:rPr>
                <w:sz w:val="20"/>
                <w:szCs w:val="20"/>
              </w:rPr>
            </w:pPr>
            <w:r>
              <w:rPr>
                <w:rFonts w:ascii="Arial" w:eastAsia="Arial" w:hAnsi="Arial" w:cs="Arial"/>
                <w:sz w:val="20"/>
                <w:szCs w:val="20"/>
              </w:rPr>
              <w:t>—</w:t>
            </w:r>
          </w:p>
        </w:tc>
        <w:tc>
          <w:tcPr>
            <w:tcW w:w="300" w:type="dxa"/>
            <w:shd w:val="clear" w:color="auto" w:fill="CCEEFF"/>
            <w:vAlign w:val="bottom"/>
          </w:tcPr>
          <w:p w:rsidR="000728AD" w:rsidRDefault="000561BE">
            <w:pPr>
              <w:ind w:right="81"/>
              <w:jc w:val="right"/>
              <w:rPr>
                <w:sz w:val="20"/>
                <w:szCs w:val="20"/>
              </w:rPr>
            </w:pPr>
            <w:r>
              <w:rPr>
                <w:rFonts w:ascii="Arial" w:eastAsia="Arial" w:hAnsi="Arial" w:cs="Arial"/>
                <w:w w:val="89"/>
                <w:sz w:val="20"/>
                <w:szCs w:val="20"/>
              </w:rPr>
              <w:t>$</w:t>
            </w:r>
          </w:p>
        </w:tc>
        <w:tc>
          <w:tcPr>
            <w:tcW w:w="1320" w:type="dxa"/>
            <w:gridSpan w:val="2"/>
            <w:shd w:val="clear" w:color="auto" w:fill="CCEEFF"/>
            <w:vAlign w:val="bottom"/>
          </w:tcPr>
          <w:p w:rsidR="000728AD" w:rsidRDefault="000561BE">
            <w:pPr>
              <w:ind w:left="940"/>
              <w:rPr>
                <w:sz w:val="20"/>
                <w:szCs w:val="20"/>
              </w:rPr>
            </w:pPr>
            <w:r>
              <w:rPr>
                <w:rFonts w:ascii="Arial" w:eastAsia="Arial" w:hAnsi="Arial" w:cs="Arial"/>
                <w:sz w:val="20"/>
                <w:szCs w:val="20"/>
              </w:rPr>
              <w:t>—</w:t>
            </w:r>
          </w:p>
        </w:tc>
        <w:tc>
          <w:tcPr>
            <w:tcW w:w="500" w:type="dxa"/>
            <w:shd w:val="clear" w:color="auto" w:fill="CCEEFF"/>
            <w:vAlign w:val="bottom"/>
          </w:tcPr>
          <w:p w:rsidR="000728AD" w:rsidRDefault="000561BE">
            <w:pPr>
              <w:ind w:right="281"/>
              <w:jc w:val="right"/>
              <w:rPr>
                <w:sz w:val="20"/>
                <w:szCs w:val="20"/>
              </w:rPr>
            </w:pPr>
            <w:r>
              <w:rPr>
                <w:rFonts w:ascii="Arial" w:eastAsia="Arial" w:hAnsi="Arial" w:cs="Arial"/>
                <w:w w:val="89"/>
                <w:sz w:val="20"/>
                <w:szCs w:val="20"/>
              </w:rPr>
              <w:t>$</w:t>
            </w:r>
          </w:p>
        </w:tc>
        <w:tc>
          <w:tcPr>
            <w:tcW w:w="1020" w:type="dxa"/>
            <w:shd w:val="clear" w:color="auto" w:fill="CCEEFF"/>
            <w:vAlign w:val="bottom"/>
          </w:tcPr>
          <w:p w:rsidR="000728AD" w:rsidRDefault="000561BE">
            <w:pPr>
              <w:jc w:val="right"/>
              <w:rPr>
                <w:sz w:val="20"/>
                <w:szCs w:val="20"/>
              </w:rPr>
            </w:pPr>
            <w:r>
              <w:rPr>
                <w:rFonts w:ascii="Arial" w:eastAsia="Arial" w:hAnsi="Arial" w:cs="Arial"/>
                <w:sz w:val="20"/>
                <w:szCs w:val="20"/>
              </w:rPr>
              <w:t>69,118</w:t>
            </w:r>
          </w:p>
        </w:tc>
      </w:tr>
      <w:tr w:rsidR="000728AD">
        <w:trPr>
          <w:trHeight w:val="243"/>
        </w:trPr>
        <w:tc>
          <w:tcPr>
            <w:tcW w:w="4860" w:type="dxa"/>
            <w:vAlign w:val="bottom"/>
          </w:tcPr>
          <w:p w:rsidR="000728AD" w:rsidRDefault="000561BE">
            <w:pPr>
              <w:ind w:left="20"/>
              <w:rPr>
                <w:sz w:val="20"/>
                <w:szCs w:val="20"/>
              </w:rPr>
            </w:pPr>
            <w:r>
              <w:rPr>
                <w:rFonts w:ascii="Arial" w:eastAsia="Arial" w:hAnsi="Arial" w:cs="Arial"/>
                <w:sz w:val="20"/>
                <w:szCs w:val="20"/>
              </w:rPr>
              <w:t>Marketable securities:</w:t>
            </w:r>
          </w:p>
        </w:tc>
        <w:tc>
          <w:tcPr>
            <w:tcW w:w="300" w:type="dxa"/>
            <w:vAlign w:val="bottom"/>
          </w:tcPr>
          <w:p w:rsidR="000728AD" w:rsidRDefault="000728AD">
            <w:pPr>
              <w:rPr>
                <w:sz w:val="21"/>
                <w:szCs w:val="21"/>
              </w:rPr>
            </w:pPr>
          </w:p>
        </w:tc>
        <w:tc>
          <w:tcPr>
            <w:tcW w:w="1220" w:type="dxa"/>
            <w:vAlign w:val="bottom"/>
          </w:tcPr>
          <w:p w:rsidR="000728AD" w:rsidRDefault="000728AD">
            <w:pPr>
              <w:rPr>
                <w:sz w:val="21"/>
                <w:szCs w:val="21"/>
              </w:rPr>
            </w:pPr>
          </w:p>
        </w:tc>
        <w:tc>
          <w:tcPr>
            <w:tcW w:w="100" w:type="dxa"/>
            <w:vAlign w:val="bottom"/>
          </w:tcPr>
          <w:p w:rsidR="000728AD" w:rsidRDefault="000728AD">
            <w:pPr>
              <w:rPr>
                <w:sz w:val="21"/>
                <w:szCs w:val="21"/>
              </w:rPr>
            </w:pPr>
          </w:p>
        </w:tc>
        <w:tc>
          <w:tcPr>
            <w:tcW w:w="300" w:type="dxa"/>
            <w:vAlign w:val="bottom"/>
          </w:tcPr>
          <w:p w:rsidR="000728AD" w:rsidRDefault="000728AD">
            <w:pPr>
              <w:rPr>
                <w:sz w:val="21"/>
                <w:szCs w:val="21"/>
              </w:rPr>
            </w:pPr>
          </w:p>
        </w:tc>
        <w:tc>
          <w:tcPr>
            <w:tcW w:w="1220" w:type="dxa"/>
            <w:vAlign w:val="bottom"/>
          </w:tcPr>
          <w:p w:rsidR="000728AD" w:rsidRDefault="000728AD">
            <w:pPr>
              <w:rPr>
                <w:sz w:val="21"/>
                <w:szCs w:val="21"/>
              </w:rPr>
            </w:pPr>
          </w:p>
        </w:tc>
        <w:tc>
          <w:tcPr>
            <w:tcW w:w="100" w:type="dxa"/>
            <w:vAlign w:val="bottom"/>
          </w:tcPr>
          <w:p w:rsidR="000728AD" w:rsidRDefault="000728AD">
            <w:pPr>
              <w:rPr>
                <w:sz w:val="21"/>
                <w:szCs w:val="21"/>
              </w:rPr>
            </w:pPr>
          </w:p>
        </w:tc>
        <w:tc>
          <w:tcPr>
            <w:tcW w:w="300" w:type="dxa"/>
            <w:vAlign w:val="bottom"/>
          </w:tcPr>
          <w:p w:rsidR="000728AD" w:rsidRDefault="000728AD">
            <w:pPr>
              <w:rPr>
                <w:sz w:val="21"/>
                <w:szCs w:val="21"/>
              </w:rPr>
            </w:pPr>
          </w:p>
        </w:tc>
        <w:tc>
          <w:tcPr>
            <w:tcW w:w="1220" w:type="dxa"/>
            <w:vAlign w:val="bottom"/>
          </w:tcPr>
          <w:p w:rsidR="000728AD" w:rsidRDefault="000728AD">
            <w:pPr>
              <w:rPr>
                <w:sz w:val="21"/>
                <w:szCs w:val="21"/>
              </w:rPr>
            </w:pPr>
          </w:p>
        </w:tc>
        <w:tc>
          <w:tcPr>
            <w:tcW w:w="100" w:type="dxa"/>
            <w:vAlign w:val="bottom"/>
          </w:tcPr>
          <w:p w:rsidR="000728AD" w:rsidRDefault="000728AD">
            <w:pPr>
              <w:rPr>
                <w:sz w:val="21"/>
                <w:szCs w:val="21"/>
              </w:rPr>
            </w:pPr>
          </w:p>
        </w:tc>
        <w:tc>
          <w:tcPr>
            <w:tcW w:w="500" w:type="dxa"/>
            <w:vAlign w:val="bottom"/>
          </w:tcPr>
          <w:p w:rsidR="000728AD" w:rsidRDefault="000728AD">
            <w:pPr>
              <w:rPr>
                <w:sz w:val="21"/>
                <w:szCs w:val="21"/>
              </w:rPr>
            </w:pPr>
          </w:p>
        </w:tc>
        <w:tc>
          <w:tcPr>
            <w:tcW w:w="1020" w:type="dxa"/>
            <w:vAlign w:val="bottom"/>
          </w:tcPr>
          <w:p w:rsidR="000728AD" w:rsidRDefault="000728AD">
            <w:pPr>
              <w:rPr>
                <w:sz w:val="21"/>
                <w:szCs w:val="21"/>
              </w:rPr>
            </w:pPr>
          </w:p>
        </w:tc>
      </w:tr>
      <w:tr w:rsidR="000728AD">
        <w:trPr>
          <w:trHeight w:val="243"/>
        </w:trPr>
        <w:tc>
          <w:tcPr>
            <w:tcW w:w="4860" w:type="dxa"/>
            <w:shd w:val="clear" w:color="auto" w:fill="CCEEFF"/>
            <w:vAlign w:val="bottom"/>
          </w:tcPr>
          <w:p w:rsidR="000728AD" w:rsidRDefault="000561BE">
            <w:pPr>
              <w:ind w:left="140"/>
              <w:rPr>
                <w:sz w:val="20"/>
                <w:szCs w:val="20"/>
              </w:rPr>
            </w:pPr>
            <w:r>
              <w:rPr>
                <w:rFonts w:ascii="Arial" w:eastAsia="Arial" w:hAnsi="Arial" w:cs="Arial"/>
                <w:sz w:val="20"/>
                <w:szCs w:val="20"/>
              </w:rPr>
              <w:t>Corporate obligations</w:t>
            </w:r>
          </w:p>
        </w:tc>
        <w:tc>
          <w:tcPr>
            <w:tcW w:w="300" w:type="dxa"/>
            <w:shd w:val="clear" w:color="auto" w:fill="CCEEFF"/>
            <w:vAlign w:val="bottom"/>
          </w:tcPr>
          <w:p w:rsidR="000728AD" w:rsidRDefault="000728AD">
            <w:pPr>
              <w:rPr>
                <w:sz w:val="21"/>
                <w:szCs w:val="21"/>
              </w:rPr>
            </w:pPr>
          </w:p>
        </w:tc>
        <w:tc>
          <w:tcPr>
            <w:tcW w:w="1320" w:type="dxa"/>
            <w:gridSpan w:val="2"/>
            <w:shd w:val="clear" w:color="auto" w:fill="CCEEFF"/>
            <w:vAlign w:val="bottom"/>
          </w:tcPr>
          <w:p w:rsidR="000728AD" w:rsidRDefault="000561BE">
            <w:pPr>
              <w:ind w:right="180"/>
              <w:jc w:val="right"/>
              <w:rPr>
                <w:sz w:val="20"/>
                <w:szCs w:val="20"/>
              </w:rPr>
            </w:pPr>
            <w:r>
              <w:rPr>
                <w:rFonts w:ascii="Arial" w:eastAsia="Arial" w:hAnsi="Arial" w:cs="Arial"/>
                <w:sz w:val="20"/>
                <w:szCs w:val="20"/>
              </w:rPr>
              <w:t>—</w:t>
            </w:r>
          </w:p>
        </w:tc>
        <w:tc>
          <w:tcPr>
            <w:tcW w:w="300" w:type="dxa"/>
            <w:shd w:val="clear" w:color="auto" w:fill="CCEEFF"/>
            <w:vAlign w:val="bottom"/>
          </w:tcPr>
          <w:p w:rsidR="000728AD" w:rsidRDefault="000728AD">
            <w:pPr>
              <w:rPr>
                <w:sz w:val="21"/>
                <w:szCs w:val="21"/>
              </w:rPr>
            </w:pPr>
          </w:p>
        </w:tc>
        <w:tc>
          <w:tcPr>
            <w:tcW w:w="1220" w:type="dxa"/>
            <w:shd w:val="clear" w:color="auto" w:fill="CCEEFF"/>
            <w:vAlign w:val="bottom"/>
          </w:tcPr>
          <w:p w:rsidR="000728AD" w:rsidRDefault="000561BE">
            <w:pPr>
              <w:jc w:val="right"/>
              <w:rPr>
                <w:sz w:val="20"/>
                <w:szCs w:val="20"/>
              </w:rPr>
            </w:pPr>
            <w:r>
              <w:rPr>
                <w:rFonts w:ascii="Arial" w:eastAsia="Arial" w:hAnsi="Arial" w:cs="Arial"/>
                <w:sz w:val="20"/>
                <w:szCs w:val="20"/>
              </w:rPr>
              <w:t>35,739</w:t>
            </w:r>
          </w:p>
        </w:tc>
        <w:tc>
          <w:tcPr>
            <w:tcW w:w="100" w:type="dxa"/>
            <w:shd w:val="clear" w:color="auto" w:fill="CCEEFF"/>
            <w:vAlign w:val="bottom"/>
          </w:tcPr>
          <w:p w:rsidR="000728AD" w:rsidRDefault="000728AD">
            <w:pPr>
              <w:rPr>
                <w:sz w:val="21"/>
                <w:szCs w:val="21"/>
              </w:rPr>
            </w:pPr>
          </w:p>
        </w:tc>
        <w:tc>
          <w:tcPr>
            <w:tcW w:w="300" w:type="dxa"/>
            <w:shd w:val="clear" w:color="auto" w:fill="CCEEFF"/>
            <w:vAlign w:val="bottom"/>
          </w:tcPr>
          <w:p w:rsidR="000728AD" w:rsidRDefault="000728AD">
            <w:pPr>
              <w:rPr>
                <w:sz w:val="21"/>
                <w:szCs w:val="21"/>
              </w:rPr>
            </w:pPr>
          </w:p>
        </w:tc>
        <w:tc>
          <w:tcPr>
            <w:tcW w:w="1320" w:type="dxa"/>
            <w:gridSpan w:val="2"/>
            <w:shd w:val="clear" w:color="auto" w:fill="CCEEFF"/>
            <w:vAlign w:val="bottom"/>
          </w:tcPr>
          <w:p w:rsidR="000728AD" w:rsidRDefault="000561BE">
            <w:pPr>
              <w:ind w:left="940"/>
              <w:rPr>
                <w:sz w:val="20"/>
                <w:szCs w:val="20"/>
              </w:rPr>
            </w:pPr>
            <w:r>
              <w:rPr>
                <w:rFonts w:ascii="Arial" w:eastAsia="Arial" w:hAnsi="Arial" w:cs="Arial"/>
                <w:sz w:val="20"/>
                <w:szCs w:val="20"/>
              </w:rPr>
              <w:t>—</w:t>
            </w:r>
          </w:p>
        </w:tc>
        <w:tc>
          <w:tcPr>
            <w:tcW w:w="500" w:type="dxa"/>
            <w:shd w:val="clear" w:color="auto" w:fill="CCEEFF"/>
            <w:vAlign w:val="bottom"/>
          </w:tcPr>
          <w:p w:rsidR="000728AD" w:rsidRDefault="000728AD">
            <w:pPr>
              <w:rPr>
                <w:sz w:val="21"/>
                <w:szCs w:val="21"/>
              </w:rPr>
            </w:pPr>
          </w:p>
        </w:tc>
        <w:tc>
          <w:tcPr>
            <w:tcW w:w="1020" w:type="dxa"/>
            <w:shd w:val="clear" w:color="auto" w:fill="CCEEFF"/>
            <w:vAlign w:val="bottom"/>
          </w:tcPr>
          <w:p w:rsidR="000728AD" w:rsidRDefault="000561BE">
            <w:pPr>
              <w:jc w:val="right"/>
              <w:rPr>
                <w:sz w:val="20"/>
                <w:szCs w:val="20"/>
              </w:rPr>
            </w:pPr>
            <w:r>
              <w:rPr>
                <w:rFonts w:ascii="Arial" w:eastAsia="Arial" w:hAnsi="Arial" w:cs="Arial"/>
                <w:sz w:val="20"/>
                <w:szCs w:val="20"/>
              </w:rPr>
              <w:t>35,739</w:t>
            </w:r>
          </w:p>
        </w:tc>
      </w:tr>
      <w:tr w:rsidR="000728AD">
        <w:trPr>
          <w:trHeight w:val="237"/>
        </w:trPr>
        <w:tc>
          <w:tcPr>
            <w:tcW w:w="4860" w:type="dxa"/>
            <w:vAlign w:val="bottom"/>
          </w:tcPr>
          <w:p w:rsidR="000728AD" w:rsidRDefault="000561BE">
            <w:pPr>
              <w:ind w:left="140"/>
              <w:rPr>
                <w:sz w:val="20"/>
                <w:szCs w:val="20"/>
              </w:rPr>
            </w:pPr>
            <w:r>
              <w:rPr>
                <w:rFonts w:ascii="Arial" w:eastAsia="Arial" w:hAnsi="Arial" w:cs="Arial"/>
                <w:sz w:val="20"/>
                <w:szCs w:val="20"/>
              </w:rPr>
              <w:t>Total</w:t>
            </w:r>
          </w:p>
        </w:tc>
        <w:tc>
          <w:tcPr>
            <w:tcW w:w="300" w:type="dxa"/>
            <w:tcBorders>
              <w:top w:val="single" w:sz="8" w:space="0" w:color="auto"/>
              <w:bottom w:val="single" w:sz="8" w:space="0" w:color="auto"/>
            </w:tcBorders>
            <w:vAlign w:val="bottom"/>
          </w:tcPr>
          <w:p w:rsidR="000728AD" w:rsidRDefault="000561BE">
            <w:pPr>
              <w:ind w:right="81"/>
              <w:jc w:val="right"/>
              <w:rPr>
                <w:sz w:val="20"/>
                <w:szCs w:val="20"/>
              </w:rPr>
            </w:pPr>
            <w:r>
              <w:rPr>
                <w:rFonts w:ascii="Arial" w:eastAsia="Arial" w:hAnsi="Arial" w:cs="Arial"/>
                <w:w w:val="89"/>
                <w:sz w:val="20"/>
                <w:szCs w:val="20"/>
              </w:rPr>
              <w:t>$</w:t>
            </w:r>
          </w:p>
        </w:tc>
        <w:tc>
          <w:tcPr>
            <w:tcW w:w="1220" w:type="dxa"/>
            <w:tcBorders>
              <w:top w:val="single" w:sz="8" w:space="0" w:color="auto"/>
              <w:bottom w:val="single" w:sz="8" w:space="0" w:color="auto"/>
            </w:tcBorders>
            <w:vAlign w:val="bottom"/>
          </w:tcPr>
          <w:p w:rsidR="000728AD" w:rsidRDefault="000561BE">
            <w:pPr>
              <w:jc w:val="right"/>
              <w:rPr>
                <w:sz w:val="20"/>
                <w:szCs w:val="20"/>
              </w:rPr>
            </w:pPr>
            <w:r>
              <w:rPr>
                <w:rFonts w:ascii="Arial" w:eastAsia="Arial" w:hAnsi="Arial" w:cs="Arial"/>
                <w:sz w:val="20"/>
                <w:szCs w:val="20"/>
              </w:rPr>
              <w:t>69,118</w:t>
            </w:r>
          </w:p>
        </w:tc>
        <w:tc>
          <w:tcPr>
            <w:tcW w:w="100" w:type="dxa"/>
            <w:vAlign w:val="bottom"/>
          </w:tcPr>
          <w:p w:rsidR="000728AD" w:rsidRDefault="000728AD">
            <w:pPr>
              <w:rPr>
                <w:sz w:val="20"/>
                <w:szCs w:val="20"/>
              </w:rPr>
            </w:pPr>
          </w:p>
        </w:tc>
        <w:tc>
          <w:tcPr>
            <w:tcW w:w="300" w:type="dxa"/>
            <w:tcBorders>
              <w:top w:val="single" w:sz="8" w:space="0" w:color="auto"/>
              <w:bottom w:val="single" w:sz="8" w:space="0" w:color="auto"/>
            </w:tcBorders>
            <w:vAlign w:val="bottom"/>
          </w:tcPr>
          <w:p w:rsidR="000728AD" w:rsidRDefault="000561BE">
            <w:pPr>
              <w:ind w:right="81"/>
              <w:jc w:val="right"/>
              <w:rPr>
                <w:sz w:val="20"/>
                <w:szCs w:val="20"/>
              </w:rPr>
            </w:pPr>
            <w:r>
              <w:rPr>
                <w:rFonts w:ascii="Arial" w:eastAsia="Arial" w:hAnsi="Arial" w:cs="Arial"/>
                <w:w w:val="89"/>
                <w:sz w:val="20"/>
                <w:szCs w:val="20"/>
              </w:rPr>
              <w:t>$</w:t>
            </w:r>
          </w:p>
        </w:tc>
        <w:tc>
          <w:tcPr>
            <w:tcW w:w="1220" w:type="dxa"/>
            <w:tcBorders>
              <w:top w:val="single" w:sz="8" w:space="0" w:color="auto"/>
              <w:bottom w:val="single" w:sz="8" w:space="0" w:color="auto"/>
            </w:tcBorders>
            <w:vAlign w:val="bottom"/>
          </w:tcPr>
          <w:p w:rsidR="000728AD" w:rsidRDefault="000561BE">
            <w:pPr>
              <w:jc w:val="right"/>
              <w:rPr>
                <w:sz w:val="20"/>
                <w:szCs w:val="20"/>
              </w:rPr>
            </w:pPr>
            <w:r>
              <w:rPr>
                <w:rFonts w:ascii="Arial" w:eastAsia="Arial" w:hAnsi="Arial" w:cs="Arial"/>
                <w:sz w:val="20"/>
                <w:szCs w:val="20"/>
              </w:rPr>
              <w:t>35,739</w:t>
            </w:r>
          </w:p>
        </w:tc>
        <w:tc>
          <w:tcPr>
            <w:tcW w:w="100" w:type="dxa"/>
            <w:vAlign w:val="bottom"/>
          </w:tcPr>
          <w:p w:rsidR="000728AD" w:rsidRDefault="000728AD">
            <w:pPr>
              <w:rPr>
                <w:sz w:val="20"/>
                <w:szCs w:val="20"/>
              </w:rPr>
            </w:pPr>
          </w:p>
        </w:tc>
        <w:tc>
          <w:tcPr>
            <w:tcW w:w="300" w:type="dxa"/>
            <w:tcBorders>
              <w:top w:val="single" w:sz="8" w:space="0" w:color="auto"/>
              <w:bottom w:val="single" w:sz="8" w:space="0" w:color="auto"/>
            </w:tcBorders>
            <w:vAlign w:val="bottom"/>
          </w:tcPr>
          <w:p w:rsidR="000728AD" w:rsidRDefault="000561BE">
            <w:pPr>
              <w:ind w:right="81"/>
              <w:jc w:val="right"/>
              <w:rPr>
                <w:sz w:val="20"/>
                <w:szCs w:val="20"/>
              </w:rPr>
            </w:pPr>
            <w:r>
              <w:rPr>
                <w:rFonts w:ascii="Arial" w:eastAsia="Arial" w:hAnsi="Arial" w:cs="Arial"/>
                <w:w w:val="89"/>
                <w:sz w:val="20"/>
                <w:szCs w:val="20"/>
              </w:rPr>
              <w:t>$</w:t>
            </w:r>
          </w:p>
        </w:tc>
        <w:tc>
          <w:tcPr>
            <w:tcW w:w="1220" w:type="dxa"/>
            <w:tcBorders>
              <w:top w:val="single" w:sz="8" w:space="0" w:color="auto"/>
              <w:bottom w:val="single" w:sz="8" w:space="0" w:color="auto"/>
            </w:tcBorders>
            <w:vAlign w:val="bottom"/>
          </w:tcPr>
          <w:p w:rsidR="000728AD" w:rsidRDefault="000561BE">
            <w:pPr>
              <w:ind w:left="940"/>
              <w:rPr>
                <w:sz w:val="20"/>
                <w:szCs w:val="20"/>
              </w:rPr>
            </w:pPr>
            <w:r>
              <w:rPr>
                <w:rFonts w:ascii="Arial" w:eastAsia="Arial" w:hAnsi="Arial" w:cs="Arial"/>
                <w:sz w:val="20"/>
                <w:szCs w:val="20"/>
              </w:rPr>
              <w:t>—</w:t>
            </w:r>
          </w:p>
        </w:tc>
        <w:tc>
          <w:tcPr>
            <w:tcW w:w="100" w:type="dxa"/>
            <w:vAlign w:val="bottom"/>
          </w:tcPr>
          <w:p w:rsidR="000728AD" w:rsidRDefault="000728AD">
            <w:pPr>
              <w:rPr>
                <w:sz w:val="20"/>
                <w:szCs w:val="20"/>
              </w:rPr>
            </w:pPr>
          </w:p>
        </w:tc>
        <w:tc>
          <w:tcPr>
            <w:tcW w:w="500" w:type="dxa"/>
            <w:tcBorders>
              <w:top w:val="single" w:sz="8" w:space="0" w:color="auto"/>
              <w:bottom w:val="single" w:sz="8" w:space="0" w:color="auto"/>
            </w:tcBorders>
            <w:vAlign w:val="bottom"/>
          </w:tcPr>
          <w:p w:rsidR="000728AD" w:rsidRDefault="000561BE">
            <w:pPr>
              <w:ind w:right="281"/>
              <w:jc w:val="right"/>
              <w:rPr>
                <w:sz w:val="20"/>
                <w:szCs w:val="20"/>
              </w:rPr>
            </w:pPr>
            <w:r>
              <w:rPr>
                <w:rFonts w:ascii="Arial" w:eastAsia="Arial" w:hAnsi="Arial" w:cs="Arial"/>
                <w:w w:val="89"/>
                <w:sz w:val="20"/>
                <w:szCs w:val="20"/>
              </w:rPr>
              <w:t>$</w:t>
            </w:r>
          </w:p>
        </w:tc>
        <w:tc>
          <w:tcPr>
            <w:tcW w:w="1020" w:type="dxa"/>
            <w:tcBorders>
              <w:top w:val="single" w:sz="8" w:space="0" w:color="auto"/>
              <w:bottom w:val="single" w:sz="8" w:space="0" w:color="auto"/>
            </w:tcBorders>
            <w:vAlign w:val="bottom"/>
          </w:tcPr>
          <w:p w:rsidR="000728AD" w:rsidRDefault="000561BE">
            <w:pPr>
              <w:jc w:val="right"/>
              <w:rPr>
                <w:sz w:val="20"/>
                <w:szCs w:val="20"/>
              </w:rPr>
            </w:pPr>
            <w:r>
              <w:rPr>
                <w:rFonts w:ascii="Arial" w:eastAsia="Arial" w:hAnsi="Arial" w:cs="Arial"/>
                <w:sz w:val="20"/>
                <w:szCs w:val="20"/>
              </w:rPr>
              <w:t>104,857</w:t>
            </w:r>
          </w:p>
        </w:tc>
      </w:tr>
      <w:tr w:rsidR="000728AD">
        <w:trPr>
          <w:trHeight w:val="21"/>
        </w:trPr>
        <w:tc>
          <w:tcPr>
            <w:tcW w:w="4860" w:type="dxa"/>
            <w:vAlign w:val="bottom"/>
          </w:tcPr>
          <w:p w:rsidR="000728AD" w:rsidRDefault="000728AD">
            <w:pPr>
              <w:spacing w:line="20" w:lineRule="exact"/>
              <w:rPr>
                <w:sz w:val="1"/>
                <w:szCs w:val="1"/>
              </w:rPr>
            </w:pPr>
          </w:p>
        </w:tc>
        <w:tc>
          <w:tcPr>
            <w:tcW w:w="300" w:type="dxa"/>
            <w:tcBorders>
              <w:bottom w:val="single" w:sz="8" w:space="0" w:color="auto"/>
            </w:tcBorders>
            <w:vAlign w:val="bottom"/>
          </w:tcPr>
          <w:p w:rsidR="000728AD" w:rsidRDefault="000728AD">
            <w:pPr>
              <w:spacing w:line="20" w:lineRule="exact"/>
              <w:rPr>
                <w:sz w:val="1"/>
                <w:szCs w:val="1"/>
              </w:rPr>
            </w:pPr>
          </w:p>
        </w:tc>
        <w:tc>
          <w:tcPr>
            <w:tcW w:w="1220" w:type="dxa"/>
            <w:tcBorders>
              <w:bottom w:val="single" w:sz="8" w:space="0" w:color="auto"/>
            </w:tcBorders>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300" w:type="dxa"/>
            <w:tcBorders>
              <w:bottom w:val="single" w:sz="8" w:space="0" w:color="auto"/>
            </w:tcBorders>
            <w:vAlign w:val="bottom"/>
          </w:tcPr>
          <w:p w:rsidR="000728AD" w:rsidRDefault="000728AD">
            <w:pPr>
              <w:spacing w:line="20" w:lineRule="exact"/>
              <w:rPr>
                <w:sz w:val="1"/>
                <w:szCs w:val="1"/>
              </w:rPr>
            </w:pPr>
          </w:p>
        </w:tc>
        <w:tc>
          <w:tcPr>
            <w:tcW w:w="1220" w:type="dxa"/>
            <w:tcBorders>
              <w:bottom w:val="single" w:sz="8" w:space="0" w:color="auto"/>
            </w:tcBorders>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300" w:type="dxa"/>
            <w:tcBorders>
              <w:bottom w:val="single" w:sz="8" w:space="0" w:color="auto"/>
            </w:tcBorders>
            <w:vAlign w:val="bottom"/>
          </w:tcPr>
          <w:p w:rsidR="000728AD" w:rsidRDefault="000728AD">
            <w:pPr>
              <w:spacing w:line="20" w:lineRule="exact"/>
              <w:rPr>
                <w:sz w:val="1"/>
                <w:szCs w:val="1"/>
              </w:rPr>
            </w:pPr>
          </w:p>
        </w:tc>
        <w:tc>
          <w:tcPr>
            <w:tcW w:w="1220" w:type="dxa"/>
            <w:tcBorders>
              <w:bottom w:val="single" w:sz="8" w:space="0" w:color="auto"/>
            </w:tcBorders>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500" w:type="dxa"/>
            <w:tcBorders>
              <w:bottom w:val="single" w:sz="8" w:space="0" w:color="auto"/>
            </w:tcBorders>
            <w:vAlign w:val="bottom"/>
          </w:tcPr>
          <w:p w:rsidR="000728AD" w:rsidRDefault="000728AD">
            <w:pPr>
              <w:spacing w:line="20" w:lineRule="exact"/>
              <w:rPr>
                <w:sz w:val="1"/>
                <w:szCs w:val="1"/>
              </w:rPr>
            </w:pPr>
          </w:p>
        </w:tc>
        <w:tc>
          <w:tcPr>
            <w:tcW w:w="1020" w:type="dxa"/>
            <w:tcBorders>
              <w:bottom w:val="single" w:sz="8" w:space="0" w:color="auto"/>
            </w:tcBorders>
            <w:vAlign w:val="bottom"/>
          </w:tcPr>
          <w:p w:rsidR="000728AD" w:rsidRDefault="000728AD">
            <w:pPr>
              <w:spacing w:line="20" w:lineRule="exact"/>
              <w:rPr>
                <w:sz w:val="1"/>
                <w:szCs w:val="1"/>
              </w:rPr>
            </w:pPr>
          </w:p>
        </w:tc>
      </w:tr>
      <w:tr w:rsidR="000728AD">
        <w:trPr>
          <w:trHeight w:val="884"/>
        </w:trPr>
        <w:tc>
          <w:tcPr>
            <w:tcW w:w="4860" w:type="dxa"/>
            <w:vAlign w:val="bottom"/>
          </w:tcPr>
          <w:p w:rsidR="000728AD" w:rsidRDefault="000728AD">
            <w:pPr>
              <w:rPr>
                <w:sz w:val="24"/>
                <w:szCs w:val="24"/>
              </w:rPr>
            </w:pPr>
          </w:p>
        </w:tc>
        <w:tc>
          <w:tcPr>
            <w:tcW w:w="300" w:type="dxa"/>
            <w:vAlign w:val="bottom"/>
          </w:tcPr>
          <w:p w:rsidR="000728AD" w:rsidRDefault="000728AD">
            <w:pPr>
              <w:rPr>
                <w:sz w:val="24"/>
                <w:szCs w:val="24"/>
              </w:rPr>
            </w:pPr>
          </w:p>
        </w:tc>
        <w:tc>
          <w:tcPr>
            <w:tcW w:w="1220" w:type="dxa"/>
            <w:vAlign w:val="bottom"/>
          </w:tcPr>
          <w:p w:rsidR="000728AD" w:rsidRDefault="000561BE">
            <w:pPr>
              <w:ind w:right="185"/>
              <w:jc w:val="center"/>
              <w:rPr>
                <w:sz w:val="20"/>
                <w:szCs w:val="20"/>
              </w:rPr>
            </w:pPr>
            <w:r>
              <w:rPr>
                <w:rFonts w:ascii="Arial" w:eastAsia="Arial" w:hAnsi="Arial" w:cs="Arial"/>
                <w:w w:val="89"/>
                <w:sz w:val="18"/>
                <w:szCs w:val="18"/>
              </w:rPr>
              <w:t>14</w:t>
            </w:r>
          </w:p>
        </w:tc>
        <w:tc>
          <w:tcPr>
            <w:tcW w:w="100" w:type="dxa"/>
            <w:vAlign w:val="bottom"/>
          </w:tcPr>
          <w:p w:rsidR="000728AD" w:rsidRDefault="000728AD">
            <w:pPr>
              <w:rPr>
                <w:sz w:val="24"/>
                <w:szCs w:val="24"/>
              </w:rPr>
            </w:pPr>
          </w:p>
        </w:tc>
        <w:tc>
          <w:tcPr>
            <w:tcW w:w="300" w:type="dxa"/>
            <w:vAlign w:val="bottom"/>
          </w:tcPr>
          <w:p w:rsidR="000728AD" w:rsidRDefault="000728AD">
            <w:pPr>
              <w:rPr>
                <w:sz w:val="24"/>
                <w:szCs w:val="24"/>
              </w:rPr>
            </w:pPr>
          </w:p>
        </w:tc>
        <w:tc>
          <w:tcPr>
            <w:tcW w:w="1220" w:type="dxa"/>
            <w:vAlign w:val="bottom"/>
          </w:tcPr>
          <w:p w:rsidR="000728AD" w:rsidRDefault="000728AD">
            <w:pPr>
              <w:rPr>
                <w:sz w:val="24"/>
                <w:szCs w:val="24"/>
              </w:rPr>
            </w:pPr>
          </w:p>
        </w:tc>
        <w:tc>
          <w:tcPr>
            <w:tcW w:w="100" w:type="dxa"/>
            <w:vAlign w:val="bottom"/>
          </w:tcPr>
          <w:p w:rsidR="000728AD" w:rsidRDefault="000728AD">
            <w:pPr>
              <w:rPr>
                <w:sz w:val="24"/>
                <w:szCs w:val="24"/>
              </w:rPr>
            </w:pPr>
          </w:p>
        </w:tc>
        <w:tc>
          <w:tcPr>
            <w:tcW w:w="300" w:type="dxa"/>
            <w:vAlign w:val="bottom"/>
          </w:tcPr>
          <w:p w:rsidR="000728AD" w:rsidRDefault="000728AD">
            <w:pPr>
              <w:rPr>
                <w:sz w:val="24"/>
                <w:szCs w:val="24"/>
              </w:rPr>
            </w:pPr>
          </w:p>
        </w:tc>
        <w:tc>
          <w:tcPr>
            <w:tcW w:w="1220" w:type="dxa"/>
            <w:vAlign w:val="bottom"/>
          </w:tcPr>
          <w:p w:rsidR="000728AD" w:rsidRDefault="000728AD">
            <w:pPr>
              <w:rPr>
                <w:sz w:val="24"/>
                <w:szCs w:val="24"/>
              </w:rPr>
            </w:pPr>
          </w:p>
        </w:tc>
        <w:tc>
          <w:tcPr>
            <w:tcW w:w="100" w:type="dxa"/>
            <w:vAlign w:val="bottom"/>
          </w:tcPr>
          <w:p w:rsidR="000728AD" w:rsidRDefault="000728AD">
            <w:pPr>
              <w:rPr>
                <w:sz w:val="24"/>
                <w:szCs w:val="24"/>
              </w:rPr>
            </w:pPr>
          </w:p>
        </w:tc>
        <w:tc>
          <w:tcPr>
            <w:tcW w:w="500" w:type="dxa"/>
            <w:vAlign w:val="bottom"/>
          </w:tcPr>
          <w:p w:rsidR="000728AD" w:rsidRDefault="000728AD">
            <w:pPr>
              <w:rPr>
                <w:sz w:val="24"/>
                <w:szCs w:val="24"/>
              </w:rPr>
            </w:pPr>
          </w:p>
        </w:tc>
        <w:tc>
          <w:tcPr>
            <w:tcW w:w="1020" w:type="dxa"/>
            <w:vAlign w:val="bottom"/>
          </w:tcPr>
          <w:p w:rsidR="000728AD" w:rsidRDefault="000728AD">
            <w:pPr>
              <w:rPr>
                <w:sz w:val="24"/>
                <w:szCs w:val="24"/>
              </w:rPr>
            </w:pPr>
          </w:p>
        </w:tc>
      </w:tr>
      <w:tr w:rsidR="000728AD">
        <w:trPr>
          <w:trHeight w:val="115"/>
        </w:trPr>
        <w:tc>
          <w:tcPr>
            <w:tcW w:w="4860" w:type="dxa"/>
            <w:tcBorders>
              <w:bottom w:val="single" w:sz="8" w:space="0" w:color="9A9A9A"/>
            </w:tcBorders>
            <w:vAlign w:val="bottom"/>
          </w:tcPr>
          <w:p w:rsidR="000728AD" w:rsidRDefault="000728AD">
            <w:pPr>
              <w:rPr>
                <w:sz w:val="10"/>
                <w:szCs w:val="10"/>
              </w:rPr>
            </w:pPr>
          </w:p>
        </w:tc>
        <w:tc>
          <w:tcPr>
            <w:tcW w:w="300" w:type="dxa"/>
            <w:tcBorders>
              <w:bottom w:val="single" w:sz="8" w:space="0" w:color="9A9A9A"/>
            </w:tcBorders>
            <w:vAlign w:val="bottom"/>
          </w:tcPr>
          <w:p w:rsidR="000728AD" w:rsidRDefault="000728AD">
            <w:pPr>
              <w:rPr>
                <w:sz w:val="10"/>
                <w:szCs w:val="10"/>
              </w:rPr>
            </w:pPr>
          </w:p>
        </w:tc>
        <w:tc>
          <w:tcPr>
            <w:tcW w:w="1220" w:type="dxa"/>
            <w:tcBorders>
              <w:bottom w:val="single" w:sz="8" w:space="0" w:color="9A9A9A"/>
            </w:tcBorders>
            <w:vAlign w:val="bottom"/>
          </w:tcPr>
          <w:p w:rsidR="000728AD" w:rsidRDefault="000728AD">
            <w:pPr>
              <w:rPr>
                <w:sz w:val="10"/>
                <w:szCs w:val="10"/>
              </w:rPr>
            </w:pPr>
          </w:p>
        </w:tc>
        <w:tc>
          <w:tcPr>
            <w:tcW w:w="100" w:type="dxa"/>
            <w:tcBorders>
              <w:bottom w:val="single" w:sz="8" w:space="0" w:color="9A9A9A"/>
            </w:tcBorders>
            <w:vAlign w:val="bottom"/>
          </w:tcPr>
          <w:p w:rsidR="000728AD" w:rsidRDefault="000728AD">
            <w:pPr>
              <w:rPr>
                <w:sz w:val="10"/>
                <w:szCs w:val="10"/>
              </w:rPr>
            </w:pPr>
          </w:p>
        </w:tc>
        <w:tc>
          <w:tcPr>
            <w:tcW w:w="300" w:type="dxa"/>
            <w:tcBorders>
              <w:bottom w:val="single" w:sz="8" w:space="0" w:color="9A9A9A"/>
            </w:tcBorders>
            <w:vAlign w:val="bottom"/>
          </w:tcPr>
          <w:p w:rsidR="000728AD" w:rsidRDefault="000728AD">
            <w:pPr>
              <w:rPr>
                <w:sz w:val="10"/>
                <w:szCs w:val="10"/>
              </w:rPr>
            </w:pPr>
          </w:p>
        </w:tc>
        <w:tc>
          <w:tcPr>
            <w:tcW w:w="1220" w:type="dxa"/>
            <w:tcBorders>
              <w:bottom w:val="single" w:sz="8" w:space="0" w:color="9A9A9A"/>
            </w:tcBorders>
            <w:vAlign w:val="bottom"/>
          </w:tcPr>
          <w:p w:rsidR="000728AD" w:rsidRDefault="000728AD">
            <w:pPr>
              <w:rPr>
                <w:sz w:val="10"/>
                <w:szCs w:val="10"/>
              </w:rPr>
            </w:pPr>
          </w:p>
        </w:tc>
        <w:tc>
          <w:tcPr>
            <w:tcW w:w="100" w:type="dxa"/>
            <w:tcBorders>
              <w:bottom w:val="single" w:sz="8" w:space="0" w:color="9A9A9A"/>
            </w:tcBorders>
            <w:vAlign w:val="bottom"/>
          </w:tcPr>
          <w:p w:rsidR="000728AD" w:rsidRDefault="000728AD">
            <w:pPr>
              <w:rPr>
                <w:sz w:val="10"/>
                <w:szCs w:val="10"/>
              </w:rPr>
            </w:pPr>
          </w:p>
        </w:tc>
        <w:tc>
          <w:tcPr>
            <w:tcW w:w="300" w:type="dxa"/>
            <w:tcBorders>
              <w:bottom w:val="single" w:sz="8" w:space="0" w:color="9A9A9A"/>
            </w:tcBorders>
            <w:vAlign w:val="bottom"/>
          </w:tcPr>
          <w:p w:rsidR="000728AD" w:rsidRDefault="000728AD">
            <w:pPr>
              <w:rPr>
                <w:sz w:val="10"/>
                <w:szCs w:val="10"/>
              </w:rPr>
            </w:pPr>
          </w:p>
        </w:tc>
        <w:tc>
          <w:tcPr>
            <w:tcW w:w="1220" w:type="dxa"/>
            <w:tcBorders>
              <w:bottom w:val="single" w:sz="8" w:space="0" w:color="9A9A9A"/>
            </w:tcBorders>
            <w:vAlign w:val="bottom"/>
          </w:tcPr>
          <w:p w:rsidR="000728AD" w:rsidRDefault="000728AD">
            <w:pPr>
              <w:rPr>
                <w:sz w:val="10"/>
                <w:szCs w:val="10"/>
              </w:rPr>
            </w:pPr>
          </w:p>
        </w:tc>
        <w:tc>
          <w:tcPr>
            <w:tcW w:w="100" w:type="dxa"/>
            <w:tcBorders>
              <w:bottom w:val="single" w:sz="8" w:space="0" w:color="9A9A9A"/>
            </w:tcBorders>
            <w:vAlign w:val="bottom"/>
          </w:tcPr>
          <w:p w:rsidR="000728AD" w:rsidRDefault="000728AD">
            <w:pPr>
              <w:rPr>
                <w:sz w:val="10"/>
                <w:szCs w:val="10"/>
              </w:rPr>
            </w:pPr>
          </w:p>
        </w:tc>
        <w:tc>
          <w:tcPr>
            <w:tcW w:w="500" w:type="dxa"/>
            <w:tcBorders>
              <w:bottom w:val="single" w:sz="8" w:space="0" w:color="9A9A9A"/>
            </w:tcBorders>
            <w:vAlign w:val="bottom"/>
          </w:tcPr>
          <w:p w:rsidR="000728AD" w:rsidRDefault="000728AD">
            <w:pPr>
              <w:rPr>
                <w:sz w:val="10"/>
                <w:szCs w:val="10"/>
              </w:rPr>
            </w:pPr>
          </w:p>
        </w:tc>
        <w:tc>
          <w:tcPr>
            <w:tcW w:w="1020" w:type="dxa"/>
            <w:tcBorders>
              <w:bottom w:val="single" w:sz="8" w:space="0" w:color="9A9A9A"/>
            </w:tcBorders>
            <w:vAlign w:val="bottom"/>
          </w:tcPr>
          <w:p w:rsidR="000728AD" w:rsidRDefault="000728AD">
            <w:pPr>
              <w:rPr>
                <w:sz w:val="10"/>
                <w:szCs w:val="10"/>
              </w:rPr>
            </w:pPr>
          </w:p>
        </w:tc>
      </w:tr>
    </w:tbl>
    <w:p w:rsidR="000728AD" w:rsidRDefault="000561BE">
      <w:pPr>
        <w:spacing w:line="20" w:lineRule="exact"/>
        <w:rPr>
          <w:sz w:val="20"/>
          <w:szCs w:val="20"/>
        </w:rPr>
      </w:pPr>
      <w:r>
        <w:rPr>
          <w:noProof/>
          <w:sz w:val="20"/>
          <w:szCs w:val="20"/>
        </w:rPr>
        <w:drawing>
          <wp:anchor distT="0" distB="0" distL="114300" distR="114300" simplePos="0" relativeHeight="251618304" behindDoc="1" locked="0" layoutInCell="0" allowOverlap="1">
            <wp:simplePos x="0" y="0"/>
            <wp:positionH relativeFrom="column">
              <wp:posOffset>7115810</wp:posOffset>
            </wp:positionH>
            <wp:positionV relativeFrom="paragraph">
              <wp:posOffset>-29210</wp:posOffset>
            </wp:positionV>
            <wp:extent cx="33655" cy="425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33655" cy="42545"/>
                    </a:xfrm>
                    <a:prstGeom prst="rect">
                      <a:avLst/>
                    </a:prstGeom>
                    <a:noFill/>
                  </pic:spPr>
                </pic:pic>
              </a:graphicData>
            </a:graphic>
          </wp:anchor>
        </w:drawing>
      </w:r>
      <w:r>
        <w:rPr>
          <w:noProof/>
          <w:sz w:val="20"/>
          <w:szCs w:val="20"/>
        </w:rPr>
        <w:drawing>
          <wp:anchor distT="0" distB="0" distL="114300" distR="114300" simplePos="0" relativeHeight="251619328" behindDoc="1" locked="0" layoutInCell="0" allowOverlap="1">
            <wp:simplePos x="0" y="0"/>
            <wp:positionH relativeFrom="column">
              <wp:posOffset>-6985</wp:posOffset>
            </wp:positionH>
            <wp:positionV relativeFrom="paragraph">
              <wp:posOffset>-29210</wp:posOffset>
            </wp:positionV>
            <wp:extent cx="34290" cy="425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3429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15" w:name="page15"/>
    <w:bookmarkEnd w:id="15"/>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57" w:lineRule="exact"/>
        <w:rPr>
          <w:sz w:val="20"/>
          <w:szCs w:val="20"/>
        </w:rPr>
      </w:pPr>
    </w:p>
    <w:p w:rsidR="000728AD" w:rsidRDefault="000561BE">
      <w:pPr>
        <w:rPr>
          <w:sz w:val="20"/>
          <w:szCs w:val="20"/>
        </w:rPr>
      </w:pPr>
      <w:r>
        <w:rPr>
          <w:rFonts w:ascii="Arial" w:eastAsia="Arial" w:hAnsi="Arial" w:cs="Arial"/>
          <w:b/>
          <w:bCs/>
          <w:sz w:val="20"/>
          <w:szCs w:val="20"/>
        </w:rPr>
        <w:t>4. CASH, CASH EQUIVALENTS, AND MARKETABLE SECURITIES</w:t>
      </w:r>
    </w:p>
    <w:p w:rsidR="000728AD" w:rsidRDefault="000728AD">
      <w:pPr>
        <w:spacing w:line="222" w:lineRule="exact"/>
        <w:rPr>
          <w:sz w:val="20"/>
          <w:szCs w:val="20"/>
        </w:rPr>
      </w:pPr>
    </w:p>
    <w:p w:rsidR="000728AD" w:rsidRDefault="000561BE">
      <w:pPr>
        <w:spacing w:line="260" w:lineRule="auto"/>
        <w:ind w:right="60"/>
        <w:rPr>
          <w:sz w:val="20"/>
          <w:szCs w:val="20"/>
        </w:rPr>
      </w:pPr>
      <w:r>
        <w:rPr>
          <w:rFonts w:ascii="Arial" w:eastAsia="Arial" w:hAnsi="Arial" w:cs="Arial"/>
          <w:sz w:val="20"/>
          <w:szCs w:val="20"/>
        </w:rPr>
        <w:t xml:space="preserve">As of June 30, 2021, and December 31, 2020, cash, cash equivalents and marketable securities by security type </w:t>
      </w:r>
      <w:r>
        <w:rPr>
          <w:rFonts w:ascii="Arial" w:eastAsia="Arial" w:hAnsi="Arial" w:cs="Arial"/>
          <w:sz w:val="20"/>
          <w:szCs w:val="20"/>
        </w:rPr>
        <w:t>consisted of the following (in thousands):</w:t>
      </w:r>
    </w:p>
    <w:p w:rsidR="000728AD" w:rsidRDefault="000728AD">
      <w:pPr>
        <w:spacing w:line="2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60"/>
        <w:gridCol w:w="140"/>
        <w:gridCol w:w="1380"/>
        <w:gridCol w:w="100"/>
        <w:gridCol w:w="340"/>
        <w:gridCol w:w="1180"/>
        <w:gridCol w:w="100"/>
        <w:gridCol w:w="1080"/>
        <w:gridCol w:w="440"/>
        <w:gridCol w:w="100"/>
        <w:gridCol w:w="160"/>
        <w:gridCol w:w="1360"/>
        <w:gridCol w:w="20"/>
      </w:tblGrid>
      <w:tr w:rsidR="000728AD">
        <w:trPr>
          <w:trHeight w:val="234"/>
        </w:trPr>
        <w:tc>
          <w:tcPr>
            <w:tcW w:w="4860" w:type="dxa"/>
            <w:vAlign w:val="bottom"/>
          </w:tcPr>
          <w:p w:rsidR="000728AD" w:rsidRDefault="000728AD">
            <w:pPr>
              <w:rPr>
                <w:sz w:val="20"/>
                <w:szCs w:val="20"/>
              </w:rPr>
            </w:pPr>
          </w:p>
        </w:tc>
        <w:tc>
          <w:tcPr>
            <w:tcW w:w="140" w:type="dxa"/>
            <w:tcBorders>
              <w:bottom w:val="single" w:sz="8" w:space="0" w:color="auto"/>
            </w:tcBorders>
            <w:vAlign w:val="bottom"/>
          </w:tcPr>
          <w:p w:rsidR="000728AD" w:rsidRDefault="000728AD">
            <w:pPr>
              <w:rPr>
                <w:sz w:val="20"/>
                <w:szCs w:val="20"/>
              </w:rPr>
            </w:pPr>
          </w:p>
        </w:tc>
        <w:tc>
          <w:tcPr>
            <w:tcW w:w="1380" w:type="dxa"/>
            <w:tcBorders>
              <w:bottom w:val="single" w:sz="8" w:space="0" w:color="auto"/>
            </w:tcBorders>
            <w:vAlign w:val="bottom"/>
          </w:tcPr>
          <w:p w:rsidR="000728AD" w:rsidRDefault="000728AD">
            <w:pPr>
              <w:rPr>
                <w:sz w:val="20"/>
                <w:szCs w:val="20"/>
              </w:rPr>
            </w:pPr>
          </w:p>
        </w:tc>
        <w:tc>
          <w:tcPr>
            <w:tcW w:w="100" w:type="dxa"/>
            <w:tcBorders>
              <w:bottom w:val="single" w:sz="8" w:space="0" w:color="auto"/>
            </w:tcBorders>
            <w:vAlign w:val="bottom"/>
          </w:tcPr>
          <w:p w:rsidR="000728AD" w:rsidRDefault="000728AD">
            <w:pPr>
              <w:rPr>
                <w:sz w:val="20"/>
                <w:szCs w:val="20"/>
              </w:rPr>
            </w:pPr>
          </w:p>
        </w:tc>
        <w:tc>
          <w:tcPr>
            <w:tcW w:w="340" w:type="dxa"/>
            <w:tcBorders>
              <w:bottom w:val="single" w:sz="8" w:space="0" w:color="auto"/>
            </w:tcBorders>
            <w:vAlign w:val="bottom"/>
          </w:tcPr>
          <w:p w:rsidR="000728AD" w:rsidRDefault="000728AD">
            <w:pPr>
              <w:rPr>
                <w:sz w:val="20"/>
                <w:szCs w:val="20"/>
              </w:rPr>
            </w:pPr>
          </w:p>
        </w:tc>
        <w:tc>
          <w:tcPr>
            <w:tcW w:w="2360" w:type="dxa"/>
            <w:gridSpan w:val="3"/>
            <w:tcBorders>
              <w:bottom w:val="single" w:sz="8" w:space="0" w:color="auto"/>
            </w:tcBorders>
            <w:vAlign w:val="bottom"/>
          </w:tcPr>
          <w:p w:rsidR="000728AD" w:rsidRDefault="000561BE">
            <w:pPr>
              <w:ind w:right="506"/>
              <w:jc w:val="right"/>
              <w:rPr>
                <w:sz w:val="20"/>
                <w:szCs w:val="20"/>
              </w:rPr>
            </w:pPr>
            <w:r>
              <w:rPr>
                <w:rFonts w:ascii="Arial" w:eastAsia="Arial" w:hAnsi="Arial" w:cs="Arial"/>
                <w:b/>
                <w:bCs/>
                <w:sz w:val="18"/>
                <w:szCs w:val="18"/>
              </w:rPr>
              <w:t>June 30, 2021</w:t>
            </w:r>
          </w:p>
        </w:tc>
        <w:tc>
          <w:tcPr>
            <w:tcW w:w="440" w:type="dxa"/>
            <w:tcBorders>
              <w:bottom w:val="single" w:sz="8" w:space="0" w:color="auto"/>
            </w:tcBorders>
            <w:vAlign w:val="bottom"/>
          </w:tcPr>
          <w:p w:rsidR="000728AD" w:rsidRDefault="000728AD">
            <w:pPr>
              <w:rPr>
                <w:sz w:val="20"/>
                <w:szCs w:val="20"/>
              </w:rPr>
            </w:pPr>
          </w:p>
        </w:tc>
        <w:tc>
          <w:tcPr>
            <w:tcW w:w="100" w:type="dxa"/>
            <w:tcBorders>
              <w:bottom w:val="single" w:sz="8" w:space="0" w:color="auto"/>
            </w:tcBorders>
            <w:vAlign w:val="bottom"/>
          </w:tcPr>
          <w:p w:rsidR="000728AD" w:rsidRDefault="000728AD">
            <w:pPr>
              <w:rPr>
                <w:sz w:val="20"/>
                <w:szCs w:val="20"/>
              </w:rPr>
            </w:pPr>
          </w:p>
        </w:tc>
        <w:tc>
          <w:tcPr>
            <w:tcW w:w="160" w:type="dxa"/>
            <w:tcBorders>
              <w:bottom w:val="single" w:sz="8" w:space="0" w:color="auto"/>
            </w:tcBorders>
            <w:vAlign w:val="bottom"/>
          </w:tcPr>
          <w:p w:rsidR="000728AD" w:rsidRDefault="000728AD">
            <w:pPr>
              <w:rPr>
                <w:sz w:val="20"/>
                <w:szCs w:val="20"/>
              </w:rPr>
            </w:pPr>
          </w:p>
        </w:tc>
        <w:tc>
          <w:tcPr>
            <w:tcW w:w="1360" w:type="dxa"/>
            <w:tcBorders>
              <w:bottom w:val="single" w:sz="8" w:space="0" w:color="auto"/>
            </w:tcBorders>
            <w:vAlign w:val="bottom"/>
          </w:tcPr>
          <w:p w:rsidR="000728AD" w:rsidRDefault="000728AD">
            <w:pPr>
              <w:rPr>
                <w:sz w:val="20"/>
                <w:szCs w:val="20"/>
              </w:rPr>
            </w:pPr>
          </w:p>
        </w:tc>
        <w:tc>
          <w:tcPr>
            <w:tcW w:w="0" w:type="dxa"/>
            <w:vAlign w:val="bottom"/>
          </w:tcPr>
          <w:p w:rsidR="000728AD" w:rsidRDefault="000728AD">
            <w:pPr>
              <w:rPr>
                <w:sz w:val="1"/>
                <w:szCs w:val="1"/>
              </w:rPr>
            </w:pPr>
          </w:p>
        </w:tc>
      </w:tr>
      <w:tr w:rsidR="000728AD">
        <w:trPr>
          <w:trHeight w:val="169"/>
        </w:trPr>
        <w:tc>
          <w:tcPr>
            <w:tcW w:w="4860" w:type="dxa"/>
            <w:vAlign w:val="bottom"/>
          </w:tcPr>
          <w:p w:rsidR="000728AD" w:rsidRDefault="000728AD">
            <w:pPr>
              <w:rPr>
                <w:sz w:val="14"/>
                <w:szCs w:val="14"/>
              </w:rPr>
            </w:pPr>
          </w:p>
        </w:tc>
        <w:tc>
          <w:tcPr>
            <w:tcW w:w="140" w:type="dxa"/>
            <w:vAlign w:val="bottom"/>
          </w:tcPr>
          <w:p w:rsidR="000728AD" w:rsidRDefault="000728AD">
            <w:pPr>
              <w:rPr>
                <w:sz w:val="14"/>
                <w:szCs w:val="14"/>
              </w:rPr>
            </w:pPr>
          </w:p>
        </w:tc>
        <w:tc>
          <w:tcPr>
            <w:tcW w:w="1480" w:type="dxa"/>
            <w:gridSpan w:val="2"/>
            <w:vMerge w:val="restart"/>
            <w:vAlign w:val="bottom"/>
          </w:tcPr>
          <w:p w:rsidR="000728AD" w:rsidRDefault="000561BE">
            <w:pPr>
              <w:ind w:left="20"/>
              <w:rPr>
                <w:sz w:val="20"/>
                <w:szCs w:val="20"/>
              </w:rPr>
            </w:pPr>
            <w:r>
              <w:rPr>
                <w:rFonts w:ascii="Arial" w:eastAsia="Arial" w:hAnsi="Arial" w:cs="Arial"/>
                <w:b/>
                <w:bCs/>
                <w:sz w:val="18"/>
                <w:szCs w:val="18"/>
              </w:rPr>
              <w:t>Amortized Cost</w:t>
            </w:r>
          </w:p>
        </w:tc>
        <w:tc>
          <w:tcPr>
            <w:tcW w:w="1620" w:type="dxa"/>
            <w:gridSpan w:val="3"/>
            <w:vAlign w:val="bottom"/>
          </w:tcPr>
          <w:p w:rsidR="000728AD" w:rsidRDefault="000561BE">
            <w:pPr>
              <w:spacing w:line="169" w:lineRule="exact"/>
              <w:ind w:right="100"/>
              <w:jc w:val="center"/>
              <w:rPr>
                <w:sz w:val="20"/>
                <w:szCs w:val="20"/>
              </w:rPr>
            </w:pPr>
            <w:r>
              <w:rPr>
                <w:rFonts w:ascii="Arial" w:eastAsia="Arial" w:hAnsi="Arial" w:cs="Arial"/>
                <w:b/>
                <w:bCs/>
                <w:w w:val="89"/>
                <w:sz w:val="18"/>
                <w:szCs w:val="18"/>
              </w:rPr>
              <w:t>Gross Unrealized</w:t>
            </w:r>
          </w:p>
        </w:tc>
        <w:tc>
          <w:tcPr>
            <w:tcW w:w="1620" w:type="dxa"/>
            <w:gridSpan w:val="3"/>
            <w:vAlign w:val="bottom"/>
          </w:tcPr>
          <w:p w:rsidR="000728AD" w:rsidRDefault="000561BE">
            <w:pPr>
              <w:spacing w:line="169" w:lineRule="exact"/>
              <w:ind w:right="100"/>
              <w:jc w:val="center"/>
              <w:rPr>
                <w:sz w:val="20"/>
                <w:szCs w:val="20"/>
              </w:rPr>
            </w:pPr>
            <w:r>
              <w:rPr>
                <w:rFonts w:ascii="Arial" w:eastAsia="Arial" w:hAnsi="Arial" w:cs="Arial"/>
                <w:b/>
                <w:bCs/>
                <w:w w:val="89"/>
                <w:sz w:val="18"/>
                <w:szCs w:val="18"/>
              </w:rPr>
              <w:t>Gross Unrealized</w:t>
            </w:r>
          </w:p>
        </w:tc>
        <w:tc>
          <w:tcPr>
            <w:tcW w:w="160" w:type="dxa"/>
            <w:vAlign w:val="bottom"/>
          </w:tcPr>
          <w:p w:rsidR="000728AD" w:rsidRDefault="000728AD">
            <w:pPr>
              <w:rPr>
                <w:sz w:val="14"/>
                <w:szCs w:val="14"/>
              </w:rPr>
            </w:pPr>
          </w:p>
        </w:tc>
        <w:tc>
          <w:tcPr>
            <w:tcW w:w="1360" w:type="dxa"/>
            <w:vAlign w:val="bottom"/>
          </w:tcPr>
          <w:p w:rsidR="000728AD" w:rsidRDefault="000561BE">
            <w:pPr>
              <w:spacing w:line="169" w:lineRule="exact"/>
              <w:ind w:right="65"/>
              <w:jc w:val="center"/>
              <w:rPr>
                <w:sz w:val="20"/>
                <w:szCs w:val="20"/>
              </w:rPr>
            </w:pPr>
            <w:r>
              <w:rPr>
                <w:rFonts w:ascii="Arial" w:eastAsia="Arial" w:hAnsi="Arial" w:cs="Arial"/>
                <w:b/>
                <w:bCs/>
                <w:w w:val="93"/>
                <w:sz w:val="18"/>
                <w:szCs w:val="18"/>
              </w:rPr>
              <w:t>Estimated Fair</w:t>
            </w:r>
          </w:p>
        </w:tc>
        <w:tc>
          <w:tcPr>
            <w:tcW w:w="0" w:type="dxa"/>
            <w:vAlign w:val="bottom"/>
          </w:tcPr>
          <w:p w:rsidR="000728AD" w:rsidRDefault="000728AD">
            <w:pPr>
              <w:rPr>
                <w:sz w:val="1"/>
                <w:szCs w:val="1"/>
              </w:rPr>
            </w:pPr>
          </w:p>
        </w:tc>
      </w:tr>
      <w:tr w:rsidR="000728AD">
        <w:trPr>
          <w:trHeight w:val="229"/>
        </w:trPr>
        <w:tc>
          <w:tcPr>
            <w:tcW w:w="4860" w:type="dxa"/>
            <w:vAlign w:val="bottom"/>
          </w:tcPr>
          <w:p w:rsidR="000728AD" w:rsidRDefault="000728AD">
            <w:pPr>
              <w:rPr>
                <w:sz w:val="19"/>
                <w:szCs w:val="19"/>
              </w:rPr>
            </w:pPr>
          </w:p>
        </w:tc>
        <w:tc>
          <w:tcPr>
            <w:tcW w:w="140" w:type="dxa"/>
            <w:vAlign w:val="bottom"/>
          </w:tcPr>
          <w:p w:rsidR="000728AD" w:rsidRDefault="000728AD">
            <w:pPr>
              <w:rPr>
                <w:sz w:val="19"/>
                <w:szCs w:val="19"/>
              </w:rPr>
            </w:pPr>
          </w:p>
        </w:tc>
        <w:tc>
          <w:tcPr>
            <w:tcW w:w="1480" w:type="dxa"/>
            <w:gridSpan w:val="2"/>
            <w:vMerge/>
            <w:vAlign w:val="bottom"/>
          </w:tcPr>
          <w:p w:rsidR="000728AD" w:rsidRDefault="000728AD">
            <w:pPr>
              <w:rPr>
                <w:sz w:val="19"/>
                <w:szCs w:val="19"/>
              </w:rPr>
            </w:pPr>
          </w:p>
        </w:tc>
        <w:tc>
          <w:tcPr>
            <w:tcW w:w="340" w:type="dxa"/>
            <w:vAlign w:val="bottom"/>
          </w:tcPr>
          <w:p w:rsidR="000728AD" w:rsidRDefault="000728AD">
            <w:pPr>
              <w:rPr>
                <w:sz w:val="19"/>
                <w:szCs w:val="19"/>
              </w:rPr>
            </w:pPr>
          </w:p>
        </w:tc>
        <w:tc>
          <w:tcPr>
            <w:tcW w:w="1280" w:type="dxa"/>
            <w:gridSpan w:val="2"/>
            <w:vAlign w:val="bottom"/>
          </w:tcPr>
          <w:p w:rsidR="000728AD" w:rsidRDefault="000561BE">
            <w:pPr>
              <w:ind w:right="440"/>
              <w:jc w:val="center"/>
              <w:rPr>
                <w:sz w:val="20"/>
                <w:szCs w:val="20"/>
              </w:rPr>
            </w:pPr>
            <w:r>
              <w:rPr>
                <w:rFonts w:ascii="Arial" w:eastAsia="Arial" w:hAnsi="Arial" w:cs="Arial"/>
                <w:b/>
                <w:bCs/>
                <w:w w:val="87"/>
                <w:sz w:val="18"/>
                <w:szCs w:val="18"/>
              </w:rPr>
              <w:t>Gains</w:t>
            </w:r>
          </w:p>
        </w:tc>
        <w:tc>
          <w:tcPr>
            <w:tcW w:w="1080" w:type="dxa"/>
            <w:vAlign w:val="bottom"/>
          </w:tcPr>
          <w:p w:rsidR="000728AD" w:rsidRDefault="000561BE">
            <w:pPr>
              <w:ind w:left="366"/>
              <w:jc w:val="center"/>
              <w:rPr>
                <w:sz w:val="20"/>
                <w:szCs w:val="20"/>
              </w:rPr>
            </w:pPr>
            <w:r>
              <w:rPr>
                <w:rFonts w:ascii="Arial" w:eastAsia="Arial" w:hAnsi="Arial" w:cs="Arial"/>
                <w:b/>
                <w:bCs/>
                <w:w w:val="80"/>
                <w:sz w:val="18"/>
                <w:szCs w:val="18"/>
              </w:rPr>
              <w:t>Losses</w:t>
            </w:r>
          </w:p>
        </w:tc>
        <w:tc>
          <w:tcPr>
            <w:tcW w:w="44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160" w:type="dxa"/>
            <w:vAlign w:val="bottom"/>
          </w:tcPr>
          <w:p w:rsidR="000728AD" w:rsidRDefault="000728AD">
            <w:pPr>
              <w:rPr>
                <w:sz w:val="19"/>
                <w:szCs w:val="19"/>
              </w:rPr>
            </w:pPr>
          </w:p>
        </w:tc>
        <w:tc>
          <w:tcPr>
            <w:tcW w:w="1360" w:type="dxa"/>
            <w:vAlign w:val="bottom"/>
          </w:tcPr>
          <w:p w:rsidR="000728AD" w:rsidRDefault="000561BE">
            <w:pPr>
              <w:ind w:right="65"/>
              <w:jc w:val="center"/>
              <w:rPr>
                <w:sz w:val="20"/>
                <w:szCs w:val="20"/>
              </w:rPr>
            </w:pPr>
            <w:r>
              <w:rPr>
                <w:rFonts w:ascii="Arial" w:eastAsia="Arial" w:hAnsi="Arial" w:cs="Arial"/>
                <w:b/>
                <w:bCs/>
                <w:w w:val="91"/>
                <w:sz w:val="18"/>
                <w:szCs w:val="18"/>
              </w:rPr>
              <w:t>Value</w:t>
            </w:r>
          </w:p>
        </w:tc>
        <w:tc>
          <w:tcPr>
            <w:tcW w:w="0" w:type="dxa"/>
            <w:vAlign w:val="bottom"/>
          </w:tcPr>
          <w:p w:rsidR="000728AD" w:rsidRDefault="000728AD">
            <w:pPr>
              <w:rPr>
                <w:sz w:val="1"/>
                <w:szCs w:val="1"/>
              </w:rPr>
            </w:pPr>
          </w:p>
        </w:tc>
      </w:tr>
      <w:tr w:rsidR="000728AD">
        <w:trPr>
          <w:trHeight w:val="237"/>
        </w:trPr>
        <w:tc>
          <w:tcPr>
            <w:tcW w:w="4860" w:type="dxa"/>
            <w:tcBorders>
              <w:top w:val="single" w:sz="8" w:space="0" w:color="CCEEFF"/>
            </w:tcBorders>
            <w:shd w:val="clear" w:color="auto" w:fill="CCEEFF"/>
            <w:vAlign w:val="bottom"/>
          </w:tcPr>
          <w:p w:rsidR="000728AD" w:rsidRDefault="000561BE">
            <w:pPr>
              <w:ind w:left="20"/>
              <w:rPr>
                <w:sz w:val="20"/>
                <w:szCs w:val="20"/>
              </w:rPr>
            </w:pPr>
            <w:r>
              <w:rPr>
                <w:rFonts w:ascii="Arial" w:eastAsia="Arial" w:hAnsi="Arial" w:cs="Arial"/>
                <w:sz w:val="20"/>
                <w:szCs w:val="20"/>
              </w:rPr>
              <w:t>Cash and cash equivalents</w:t>
            </w:r>
          </w:p>
        </w:tc>
        <w:tc>
          <w:tcPr>
            <w:tcW w:w="14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w w:val="89"/>
                <w:sz w:val="20"/>
                <w:szCs w:val="20"/>
              </w:rPr>
              <w:t>$</w:t>
            </w:r>
          </w:p>
        </w:tc>
        <w:tc>
          <w:tcPr>
            <w:tcW w:w="138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33,940</w:t>
            </w:r>
          </w:p>
        </w:tc>
        <w:tc>
          <w:tcPr>
            <w:tcW w:w="100" w:type="dxa"/>
            <w:tcBorders>
              <w:top w:val="single" w:sz="8" w:space="0" w:color="CCEEFF"/>
            </w:tcBorders>
            <w:shd w:val="clear" w:color="auto" w:fill="CCEEFF"/>
            <w:vAlign w:val="bottom"/>
          </w:tcPr>
          <w:p w:rsidR="000728AD" w:rsidRDefault="000728AD">
            <w:pPr>
              <w:rPr>
                <w:sz w:val="20"/>
                <w:szCs w:val="20"/>
              </w:rPr>
            </w:pPr>
          </w:p>
        </w:tc>
        <w:tc>
          <w:tcPr>
            <w:tcW w:w="340" w:type="dxa"/>
            <w:tcBorders>
              <w:top w:val="single" w:sz="8" w:space="0" w:color="auto"/>
            </w:tcBorders>
            <w:shd w:val="clear" w:color="auto" w:fill="CCEEFF"/>
            <w:vAlign w:val="bottom"/>
          </w:tcPr>
          <w:p w:rsidR="000728AD" w:rsidRDefault="000561BE">
            <w:pPr>
              <w:ind w:right="124"/>
              <w:jc w:val="right"/>
              <w:rPr>
                <w:sz w:val="20"/>
                <w:szCs w:val="20"/>
              </w:rPr>
            </w:pPr>
            <w:r>
              <w:rPr>
                <w:rFonts w:ascii="Arial" w:eastAsia="Arial" w:hAnsi="Arial" w:cs="Arial"/>
                <w:w w:val="89"/>
                <w:sz w:val="20"/>
                <w:szCs w:val="20"/>
              </w:rPr>
              <w:t>$</w:t>
            </w:r>
          </w:p>
        </w:tc>
        <w:tc>
          <w:tcPr>
            <w:tcW w:w="118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w:t>
            </w:r>
          </w:p>
        </w:tc>
        <w:tc>
          <w:tcPr>
            <w:tcW w:w="100" w:type="dxa"/>
            <w:tcBorders>
              <w:top w:val="single" w:sz="8" w:space="0" w:color="CCEEFF"/>
            </w:tcBorders>
            <w:shd w:val="clear" w:color="auto" w:fill="CCEEFF"/>
            <w:vAlign w:val="bottom"/>
          </w:tcPr>
          <w:p w:rsidR="000728AD" w:rsidRDefault="000728AD">
            <w:pPr>
              <w:rPr>
                <w:sz w:val="20"/>
                <w:szCs w:val="20"/>
              </w:rPr>
            </w:pPr>
          </w:p>
        </w:tc>
        <w:tc>
          <w:tcPr>
            <w:tcW w:w="1080" w:type="dxa"/>
            <w:tcBorders>
              <w:top w:val="single" w:sz="8" w:space="0" w:color="auto"/>
            </w:tcBorders>
            <w:shd w:val="clear" w:color="auto" w:fill="CCEEFF"/>
            <w:vAlign w:val="bottom"/>
          </w:tcPr>
          <w:p w:rsidR="000728AD" w:rsidRDefault="000561BE">
            <w:pPr>
              <w:ind w:right="866"/>
              <w:jc w:val="right"/>
              <w:rPr>
                <w:sz w:val="20"/>
                <w:szCs w:val="20"/>
              </w:rPr>
            </w:pPr>
            <w:r>
              <w:rPr>
                <w:rFonts w:ascii="Arial" w:eastAsia="Arial" w:hAnsi="Arial" w:cs="Arial"/>
                <w:w w:val="89"/>
                <w:sz w:val="20"/>
                <w:szCs w:val="20"/>
              </w:rPr>
              <w:t>$</w:t>
            </w:r>
          </w:p>
        </w:tc>
        <w:tc>
          <w:tcPr>
            <w:tcW w:w="440" w:type="dxa"/>
            <w:tcBorders>
              <w:top w:val="single" w:sz="8" w:space="0" w:color="auto"/>
            </w:tcBorders>
            <w:shd w:val="clear" w:color="auto" w:fill="CCEEFF"/>
            <w:vAlign w:val="bottom"/>
          </w:tcPr>
          <w:p w:rsidR="000728AD" w:rsidRDefault="000561BE">
            <w:pPr>
              <w:jc w:val="center"/>
              <w:rPr>
                <w:sz w:val="20"/>
                <w:szCs w:val="20"/>
              </w:rPr>
            </w:pPr>
            <w:r>
              <w:rPr>
                <w:rFonts w:ascii="Arial" w:eastAsia="Arial" w:hAnsi="Arial" w:cs="Arial"/>
                <w:w w:val="99"/>
                <w:sz w:val="20"/>
                <w:szCs w:val="20"/>
              </w:rPr>
              <w:t>—</w:t>
            </w:r>
          </w:p>
        </w:tc>
        <w:tc>
          <w:tcPr>
            <w:tcW w:w="100" w:type="dxa"/>
            <w:tcBorders>
              <w:top w:val="single" w:sz="8" w:space="0" w:color="CCEEFF"/>
            </w:tcBorders>
            <w:shd w:val="clear" w:color="auto" w:fill="CCEEFF"/>
            <w:vAlign w:val="bottom"/>
          </w:tcPr>
          <w:p w:rsidR="000728AD" w:rsidRDefault="000728AD">
            <w:pPr>
              <w:rPr>
                <w:sz w:val="20"/>
                <w:szCs w:val="20"/>
              </w:rPr>
            </w:pPr>
          </w:p>
        </w:tc>
        <w:tc>
          <w:tcPr>
            <w:tcW w:w="16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w w:val="89"/>
                <w:sz w:val="20"/>
                <w:szCs w:val="20"/>
              </w:rPr>
              <w:t>$</w:t>
            </w:r>
          </w:p>
        </w:tc>
        <w:tc>
          <w:tcPr>
            <w:tcW w:w="136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33,940</w:t>
            </w:r>
          </w:p>
        </w:tc>
        <w:tc>
          <w:tcPr>
            <w:tcW w:w="0" w:type="dxa"/>
            <w:vAlign w:val="bottom"/>
          </w:tcPr>
          <w:p w:rsidR="000728AD" w:rsidRDefault="000728AD">
            <w:pPr>
              <w:rPr>
                <w:sz w:val="1"/>
                <w:szCs w:val="1"/>
              </w:rPr>
            </w:pPr>
          </w:p>
        </w:tc>
      </w:tr>
      <w:tr w:rsidR="000728AD">
        <w:trPr>
          <w:trHeight w:val="243"/>
        </w:trPr>
        <w:tc>
          <w:tcPr>
            <w:tcW w:w="4860" w:type="dxa"/>
            <w:tcBorders>
              <w:bottom w:val="single" w:sz="8" w:space="0" w:color="CCEEFF"/>
            </w:tcBorders>
            <w:vAlign w:val="bottom"/>
          </w:tcPr>
          <w:p w:rsidR="000728AD" w:rsidRDefault="000561BE">
            <w:pPr>
              <w:ind w:left="20"/>
              <w:rPr>
                <w:sz w:val="20"/>
                <w:szCs w:val="20"/>
              </w:rPr>
            </w:pPr>
            <w:r>
              <w:rPr>
                <w:rFonts w:ascii="Arial" w:eastAsia="Arial" w:hAnsi="Arial" w:cs="Arial"/>
                <w:sz w:val="20"/>
                <w:szCs w:val="20"/>
              </w:rPr>
              <w:t>Corporate obligations</w:t>
            </w:r>
          </w:p>
        </w:tc>
        <w:tc>
          <w:tcPr>
            <w:tcW w:w="140" w:type="dxa"/>
            <w:tcBorders>
              <w:bottom w:val="single" w:sz="8" w:space="0" w:color="auto"/>
            </w:tcBorders>
            <w:vAlign w:val="bottom"/>
          </w:tcPr>
          <w:p w:rsidR="000728AD" w:rsidRDefault="000728AD">
            <w:pPr>
              <w:rPr>
                <w:sz w:val="21"/>
                <w:szCs w:val="21"/>
              </w:rPr>
            </w:pPr>
          </w:p>
        </w:tc>
        <w:tc>
          <w:tcPr>
            <w:tcW w:w="138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45,011</w:t>
            </w:r>
          </w:p>
        </w:tc>
        <w:tc>
          <w:tcPr>
            <w:tcW w:w="100" w:type="dxa"/>
            <w:tcBorders>
              <w:bottom w:val="single" w:sz="8" w:space="0" w:color="CCEEFF"/>
            </w:tcBorders>
            <w:vAlign w:val="bottom"/>
          </w:tcPr>
          <w:p w:rsidR="000728AD" w:rsidRDefault="000728AD">
            <w:pPr>
              <w:rPr>
                <w:sz w:val="21"/>
                <w:szCs w:val="21"/>
              </w:rPr>
            </w:pPr>
          </w:p>
        </w:tc>
        <w:tc>
          <w:tcPr>
            <w:tcW w:w="340" w:type="dxa"/>
            <w:tcBorders>
              <w:bottom w:val="single" w:sz="8" w:space="0" w:color="auto"/>
            </w:tcBorders>
            <w:vAlign w:val="bottom"/>
          </w:tcPr>
          <w:p w:rsidR="000728AD" w:rsidRDefault="000728AD">
            <w:pPr>
              <w:rPr>
                <w:sz w:val="21"/>
                <w:szCs w:val="21"/>
              </w:rPr>
            </w:pPr>
          </w:p>
        </w:tc>
        <w:tc>
          <w:tcPr>
            <w:tcW w:w="118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9</w:t>
            </w:r>
          </w:p>
        </w:tc>
        <w:tc>
          <w:tcPr>
            <w:tcW w:w="100" w:type="dxa"/>
            <w:tcBorders>
              <w:bottom w:val="single" w:sz="8" w:space="0" w:color="CCEEFF"/>
            </w:tcBorders>
            <w:vAlign w:val="bottom"/>
          </w:tcPr>
          <w:p w:rsidR="000728AD" w:rsidRDefault="000728AD">
            <w:pPr>
              <w:rPr>
                <w:sz w:val="21"/>
                <w:szCs w:val="21"/>
              </w:rPr>
            </w:pPr>
          </w:p>
        </w:tc>
        <w:tc>
          <w:tcPr>
            <w:tcW w:w="1080" w:type="dxa"/>
            <w:tcBorders>
              <w:bottom w:val="single" w:sz="8" w:space="0" w:color="auto"/>
            </w:tcBorders>
            <w:vAlign w:val="bottom"/>
          </w:tcPr>
          <w:p w:rsidR="000728AD" w:rsidRDefault="000728AD">
            <w:pPr>
              <w:rPr>
                <w:sz w:val="21"/>
                <w:szCs w:val="21"/>
              </w:rPr>
            </w:pPr>
          </w:p>
        </w:tc>
        <w:tc>
          <w:tcPr>
            <w:tcW w:w="440" w:type="dxa"/>
            <w:tcBorders>
              <w:bottom w:val="single" w:sz="8" w:space="0" w:color="auto"/>
            </w:tcBorders>
            <w:vAlign w:val="bottom"/>
          </w:tcPr>
          <w:p w:rsidR="000728AD" w:rsidRDefault="000561BE">
            <w:pPr>
              <w:jc w:val="center"/>
              <w:rPr>
                <w:sz w:val="20"/>
                <w:szCs w:val="20"/>
              </w:rPr>
            </w:pPr>
            <w:r>
              <w:rPr>
                <w:rFonts w:ascii="Arial" w:eastAsia="Arial" w:hAnsi="Arial" w:cs="Arial"/>
                <w:w w:val="95"/>
                <w:sz w:val="20"/>
                <w:szCs w:val="20"/>
              </w:rPr>
              <w:t>(17)</w:t>
            </w:r>
          </w:p>
        </w:tc>
        <w:tc>
          <w:tcPr>
            <w:tcW w:w="100" w:type="dxa"/>
            <w:tcBorders>
              <w:bottom w:val="single" w:sz="8" w:space="0" w:color="CCEEFF"/>
            </w:tcBorders>
            <w:vAlign w:val="bottom"/>
          </w:tcPr>
          <w:p w:rsidR="000728AD" w:rsidRDefault="000728AD">
            <w:pPr>
              <w:rPr>
                <w:sz w:val="21"/>
                <w:szCs w:val="21"/>
              </w:rPr>
            </w:pPr>
          </w:p>
        </w:tc>
        <w:tc>
          <w:tcPr>
            <w:tcW w:w="160" w:type="dxa"/>
            <w:tcBorders>
              <w:bottom w:val="single" w:sz="8" w:space="0" w:color="auto"/>
            </w:tcBorders>
            <w:vAlign w:val="bottom"/>
          </w:tcPr>
          <w:p w:rsidR="000728AD" w:rsidRDefault="000728AD">
            <w:pPr>
              <w:rPr>
                <w:sz w:val="21"/>
                <w:szCs w:val="21"/>
              </w:rPr>
            </w:pPr>
          </w:p>
        </w:tc>
        <w:tc>
          <w:tcPr>
            <w:tcW w:w="136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45,003</w:t>
            </w:r>
          </w:p>
        </w:tc>
        <w:tc>
          <w:tcPr>
            <w:tcW w:w="0" w:type="dxa"/>
            <w:vAlign w:val="bottom"/>
          </w:tcPr>
          <w:p w:rsidR="000728AD" w:rsidRDefault="000728AD">
            <w:pPr>
              <w:rPr>
                <w:sz w:val="1"/>
                <w:szCs w:val="1"/>
              </w:rPr>
            </w:pPr>
          </w:p>
        </w:tc>
      </w:tr>
      <w:tr w:rsidR="000728AD">
        <w:trPr>
          <w:trHeight w:val="261"/>
        </w:trPr>
        <w:tc>
          <w:tcPr>
            <w:tcW w:w="4860" w:type="dxa"/>
            <w:tcBorders>
              <w:bottom w:val="single" w:sz="8" w:space="0" w:color="CCEEFF"/>
            </w:tcBorders>
            <w:shd w:val="clear" w:color="auto" w:fill="CCEEFF"/>
            <w:vAlign w:val="bottom"/>
          </w:tcPr>
          <w:p w:rsidR="000728AD" w:rsidRDefault="000561BE">
            <w:pPr>
              <w:ind w:left="120"/>
              <w:rPr>
                <w:sz w:val="20"/>
                <w:szCs w:val="20"/>
              </w:rPr>
            </w:pPr>
            <w:r>
              <w:rPr>
                <w:rFonts w:ascii="Arial" w:eastAsia="Arial" w:hAnsi="Arial" w:cs="Arial"/>
                <w:sz w:val="20"/>
                <w:szCs w:val="20"/>
              </w:rPr>
              <w:t>Total</w:t>
            </w:r>
          </w:p>
        </w:tc>
        <w:tc>
          <w:tcPr>
            <w:tcW w:w="14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w w:val="89"/>
                <w:sz w:val="20"/>
                <w:szCs w:val="20"/>
              </w:rPr>
              <w:t>$</w:t>
            </w:r>
          </w:p>
        </w:tc>
        <w:tc>
          <w:tcPr>
            <w:tcW w:w="138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78,951</w:t>
            </w:r>
          </w:p>
        </w:tc>
        <w:tc>
          <w:tcPr>
            <w:tcW w:w="100" w:type="dxa"/>
            <w:tcBorders>
              <w:bottom w:val="single" w:sz="8" w:space="0" w:color="CCEEFF"/>
            </w:tcBorders>
            <w:shd w:val="clear" w:color="auto" w:fill="CCEEFF"/>
            <w:vAlign w:val="bottom"/>
          </w:tcPr>
          <w:p w:rsidR="000728AD" w:rsidRDefault="000728AD"/>
        </w:tc>
        <w:tc>
          <w:tcPr>
            <w:tcW w:w="340" w:type="dxa"/>
            <w:tcBorders>
              <w:bottom w:val="single" w:sz="8" w:space="0" w:color="auto"/>
            </w:tcBorders>
            <w:shd w:val="clear" w:color="auto" w:fill="CCEEFF"/>
            <w:vAlign w:val="bottom"/>
          </w:tcPr>
          <w:p w:rsidR="000728AD" w:rsidRDefault="000561BE">
            <w:pPr>
              <w:ind w:right="124"/>
              <w:jc w:val="right"/>
              <w:rPr>
                <w:sz w:val="20"/>
                <w:szCs w:val="20"/>
              </w:rPr>
            </w:pPr>
            <w:r>
              <w:rPr>
                <w:rFonts w:ascii="Arial" w:eastAsia="Arial" w:hAnsi="Arial" w:cs="Arial"/>
                <w:w w:val="89"/>
                <w:sz w:val="20"/>
                <w:szCs w:val="20"/>
              </w:rPr>
              <w:t>$</w:t>
            </w:r>
          </w:p>
        </w:tc>
        <w:tc>
          <w:tcPr>
            <w:tcW w:w="118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9</w:t>
            </w:r>
          </w:p>
        </w:tc>
        <w:tc>
          <w:tcPr>
            <w:tcW w:w="100" w:type="dxa"/>
            <w:tcBorders>
              <w:bottom w:val="single" w:sz="8" w:space="0" w:color="CCEEFF"/>
            </w:tcBorders>
            <w:shd w:val="clear" w:color="auto" w:fill="CCEEFF"/>
            <w:vAlign w:val="bottom"/>
          </w:tcPr>
          <w:p w:rsidR="000728AD" w:rsidRDefault="000728AD"/>
        </w:tc>
        <w:tc>
          <w:tcPr>
            <w:tcW w:w="1080" w:type="dxa"/>
            <w:tcBorders>
              <w:bottom w:val="single" w:sz="8" w:space="0" w:color="auto"/>
            </w:tcBorders>
            <w:shd w:val="clear" w:color="auto" w:fill="CCEEFF"/>
            <w:vAlign w:val="bottom"/>
          </w:tcPr>
          <w:p w:rsidR="000728AD" w:rsidRDefault="000561BE">
            <w:pPr>
              <w:ind w:right="866"/>
              <w:jc w:val="right"/>
              <w:rPr>
                <w:sz w:val="20"/>
                <w:szCs w:val="20"/>
              </w:rPr>
            </w:pPr>
            <w:r>
              <w:rPr>
                <w:rFonts w:ascii="Arial" w:eastAsia="Arial" w:hAnsi="Arial" w:cs="Arial"/>
                <w:w w:val="89"/>
                <w:sz w:val="20"/>
                <w:szCs w:val="20"/>
              </w:rPr>
              <w:t>$</w:t>
            </w:r>
          </w:p>
        </w:tc>
        <w:tc>
          <w:tcPr>
            <w:tcW w:w="440" w:type="dxa"/>
            <w:tcBorders>
              <w:bottom w:val="single" w:sz="8" w:space="0" w:color="auto"/>
            </w:tcBorders>
            <w:shd w:val="clear" w:color="auto" w:fill="CCEEFF"/>
            <w:vAlign w:val="bottom"/>
          </w:tcPr>
          <w:p w:rsidR="000728AD" w:rsidRDefault="000561BE">
            <w:pPr>
              <w:jc w:val="center"/>
              <w:rPr>
                <w:sz w:val="20"/>
                <w:szCs w:val="20"/>
              </w:rPr>
            </w:pPr>
            <w:r>
              <w:rPr>
                <w:rFonts w:ascii="Arial" w:eastAsia="Arial" w:hAnsi="Arial" w:cs="Arial"/>
                <w:w w:val="95"/>
                <w:sz w:val="20"/>
                <w:szCs w:val="20"/>
              </w:rPr>
              <w:t>(17)</w:t>
            </w:r>
          </w:p>
        </w:tc>
        <w:tc>
          <w:tcPr>
            <w:tcW w:w="100" w:type="dxa"/>
            <w:tcBorders>
              <w:bottom w:val="single" w:sz="8" w:space="0" w:color="CCEEFF"/>
            </w:tcBorders>
            <w:shd w:val="clear" w:color="auto" w:fill="CCEEFF"/>
            <w:vAlign w:val="bottom"/>
          </w:tcPr>
          <w:p w:rsidR="000728AD" w:rsidRDefault="000728AD"/>
        </w:tc>
        <w:tc>
          <w:tcPr>
            <w:tcW w:w="16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w w:val="89"/>
                <w:sz w:val="20"/>
                <w:szCs w:val="20"/>
              </w:rPr>
              <w:t>$</w:t>
            </w:r>
          </w:p>
        </w:tc>
        <w:tc>
          <w:tcPr>
            <w:tcW w:w="136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78,943</w:t>
            </w:r>
          </w:p>
        </w:tc>
        <w:tc>
          <w:tcPr>
            <w:tcW w:w="0" w:type="dxa"/>
            <w:vAlign w:val="bottom"/>
          </w:tcPr>
          <w:p w:rsidR="000728AD" w:rsidRDefault="000728AD">
            <w:pPr>
              <w:rPr>
                <w:sz w:val="1"/>
                <w:szCs w:val="1"/>
              </w:rPr>
            </w:pPr>
          </w:p>
        </w:tc>
      </w:tr>
      <w:tr w:rsidR="000728AD">
        <w:trPr>
          <w:trHeight w:val="20"/>
        </w:trPr>
        <w:tc>
          <w:tcPr>
            <w:tcW w:w="4860" w:type="dxa"/>
            <w:tcBorders>
              <w:top w:val="single" w:sz="8" w:space="0" w:color="CCEEFF"/>
            </w:tcBorders>
            <w:vAlign w:val="bottom"/>
          </w:tcPr>
          <w:p w:rsidR="000728AD" w:rsidRDefault="000728AD">
            <w:pPr>
              <w:spacing w:line="20" w:lineRule="exact"/>
              <w:rPr>
                <w:sz w:val="1"/>
                <w:szCs w:val="1"/>
              </w:rPr>
            </w:pPr>
          </w:p>
        </w:tc>
        <w:tc>
          <w:tcPr>
            <w:tcW w:w="14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38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00" w:type="dxa"/>
            <w:tcBorders>
              <w:top w:val="single" w:sz="8" w:space="0" w:color="CCEEFF"/>
            </w:tcBorders>
            <w:vAlign w:val="bottom"/>
          </w:tcPr>
          <w:p w:rsidR="000728AD" w:rsidRDefault="000728AD">
            <w:pPr>
              <w:spacing w:line="20" w:lineRule="exact"/>
              <w:rPr>
                <w:sz w:val="1"/>
                <w:szCs w:val="1"/>
              </w:rPr>
            </w:pPr>
          </w:p>
        </w:tc>
        <w:tc>
          <w:tcPr>
            <w:tcW w:w="34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18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00" w:type="dxa"/>
            <w:tcBorders>
              <w:top w:val="single" w:sz="8" w:space="0" w:color="CCEEFF"/>
            </w:tcBorders>
            <w:vAlign w:val="bottom"/>
          </w:tcPr>
          <w:p w:rsidR="000728AD" w:rsidRDefault="000728AD">
            <w:pPr>
              <w:spacing w:line="20" w:lineRule="exact"/>
              <w:rPr>
                <w:sz w:val="1"/>
                <w:szCs w:val="1"/>
              </w:rPr>
            </w:pPr>
          </w:p>
        </w:tc>
        <w:tc>
          <w:tcPr>
            <w:tcW w:w="108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44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00" w:type="dxa"/>
            <w:tcBorders>
              <w:top w:val="single" w:sz="8" w:space="0" w:color="CCEEFF"/>
            </w:tcBorders>
            <w:vAlign w:val="bottom"/>
          </w:tcPr>
          <w:p w:rsidR="000728AD" w:rsidRDefault="000728AD">
            <w:pPr>
              <w:spacing w:line="20" w:lineRule="exact"/>
              <w:rPr>
                <w:sz w:val="1"/>
                <w:szCs w:val="1"/>
              </w:rPr>
            </w:pPr>
          </w:p>
        </w:tc>
        <w:tc>
          <w:tcPr>
            <w:tcW w:w="16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36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0" w:type="dxa"/>
            <w:vAlign w:val="bottom"/>
          </w:tcPr>
          <w:p w:rsidR="000728AD" w:rsidRDefault="000728AD">
            <w:pPr>
              <w:spacing w:line="20" w:lineRule="exact"/>
              <w:rPr>
                <w:sz w:val="1"/>
                <w:szCs w:val="1"/>
              </w:rPr>
            </w:pPr>
          </w:p>
        </w:tc>
      </w:tr>
      <w:tr w:rsidR="000728AD">
        <w:trPr>
          <w:trHeight w:val="541"/>
        </w:trPr>
        <w:tc>
          <w:tcPr>
            <w:tcW w:w="4860" w:type="dxa"/>
            <w:vAlign w:val="bottom"/>
          </w:tcPr>
          <w:p w:rsidR="000728AD" w:rsidRDefault="000728AD">
            <w:pPr>
              <w:rPr>
                <w:sz w:val="24"/>
                <w:szCs w:val="24"/>
              </w:rPr>
            </w:pPr>
          </w:p>
        </w:tc>
        <w:tc>
          <w:tcPr>
            <w:tcW w:w="140" w:type="dxa"/>
            <w:tcBorders>
              <w:bottom w:val="single" w:sz="8" w:space="0" w:color="auto"/>
            </w:tcBorders>
            <w:vAlign w:val="bottom"/>
          </w:tcPr>
          <w:p w:rsidR="000728AD" w:rsidRDefault="000728AD">
            <w:pPr>
              <w:rPr>
                <w:sz w:val="24"/>
                <w:szCs w:val="24"/>
              </w:rPr>
            </w:pPr>
          </w:p>
        </w:tc>
        <w:tc>
          <w:tcPr>
            <w:tcW w:w="1380" w:type="dxa"/>
            <w:tcBorders>
              <w:bottom w:val="single" w:sz="8" w:space="0" w:color="auto"/>
            </w:tcBorders>
            <w:vAlign w:val="bottom"/>
          </w:tcPr>
          <w:p w:rsidR="000728AD" w:rsidRDefault="000728AD">
            <w:pPr>
              <w:rPr>
                <w:sz w:val="24"/>
                <w:szCs w:val="24"/>
              </w:rPr>
            </w:pPr>
          </w:p>
        </w:tc>
        <w:tc>
          <w:tcPr>
            <w:tcW w:w="100" w:type="dxa"/>
            <w:tcBorders>
              <w:bottom w:val="single" w:sz="8" w:space="0" w:color="auto"/>
            </w:tcBorders>
            <w:vAlign w:val="bottom"/>
          </w:tcPr>
          <w:p w:rsidR="000728AD" w:rsidRDefault="000728AD">
            <w:pPr>
              <w:rPr>
                <w:sz w:val="24"/>
                <w:szCs w:val="24"/>
              </w:rPr>
            </w:pPr>
          </w:p>
        </w:tc>
        <w:tc>
          <w:tcPr>
            <w:tcW w:w="340" w:type="dxa"/>
            <w:tcBorders>
              <w:bottom w:val="single" w:sz="8" w:space="0" w:color="auto"/>
            </w:tcBorders>
            <w:vAlign w:val="bottom"/>
          </w:tcPr>
          <w:p w:rsidR="000728AD" w:rsidRDefault="000728AD">
            <w:pPr>
              <w:rPr>
                <w:sz w:val="24"/>
                <w:szCs w:val="24"/>
              </w:rPr>
            </w:pPr>
          </w:p>
        </w:tc>
        <w:tc>
          <w:tcPr>
            <w:tcW w:w="2360" w:type="dxa"/>
            <w:gridSpan w:val="3"/>
            <w:tcBorders>
              <w:bottom w:val="single" w:sz="8" w:space="0" w:color="auto"/>
            </w:tcBorders>
            <w:vAlign w:val="bottom"/>
          </w:tcPr>
          <w:p w:rsidR="000728AD" w:rsidRDefault="000561BE">
            <w:pPr>
              <w:ind w:right="306"/>
              <w:jc w:val="right"/>
              <w:rPr>
                <w:sz w:val="20"/>
                <w:szCs w:val="20"/>
              </w:rPr>
            </w:pPr>
            <w:r>
              <w:rPr>
                <w:rFonts w:ascii="Arial" w:eastAsia="Arial" w:hAnsi="Arial" w:cs="Arial"/>
                <w:b/>
                <w:bCs/>
                <w:sz w:val="18"/>
                <w:szCs w:val="18"/>
              </w:rPr>
              <w:t>December 31, 2020</w:t>
            </w:r>
          </w:p>
        </w:tc>
        <w:tc>
          <w:tcPr>
            <w:tcW w:w="440" w:type="dxa"/>
            <w:tcBorders>
              <w:bottom w:val="single" w:sz="8" w:space="0" w:color="auto"/>
            </w:tcBorders>
            <w:vAlign w:val="bottom"/>
          </w:tcPr>
          <w:p w:rsidR="000728AD" w:rsidRDefault="000728AD">
            <w:pPr>
              <w:rPr>
                <w:sz w:val="24"/>
                <w:szCs w:val="24"/>
              </w:rPr>
            </w:pPr>
          </w:p>
        </w:tc>
        <w:tc>
          <w:tcPr>
            <w:tcW w:w="100" w:type="dxa"/>
            <w:tcBorders>
              <w:bottom w:val="single" w:sz="8" w:space="0" w:color="auto"/>
            </w:tcBorders>
            <w:vAlign w:val="bottom"/>
          </w:tcPr>
          <w:p w:rsidR="000728AD" w:rsidRDefault="000728AD">
            <w:pPr>
              <w:rPr>
                <w:sz w:val="24"/>
                <w:szCs w:val="24"/>
              </w:rPr>
            </w:pPr>
          </w:p>
        </w:tc>
        <w:tc>
          <w:tcPr>
            <w:tcW w:w="160" w:type="dxa"/>
            <w:tcBorders>
              <w:bottom w:val="single" w:sz="8" w:space="0" w:color="auto"/>
            </w:tcBorders>
            <w:vAlign w:val="bottom"/>
          </w:tcPr>
          <w:p w:rsidR="000728AD" w:rsidRDefault="000728AD">
            <w:pPr>
              <w:rPr>
                <w:sz w:val="24"/>
                <w:szCs w:val="24"/>
              </w:rPr>
            </w:pPr>
          </w:p>
        </w:tc>
        <w:tc>
          <w:tcPr>
            <w:tcW w:w="1360" w:type="dxa"/>
            <w:tcBorders>
              <w:bottom w:val="single" w:sz="8" w:space="0" w:color="auto"/>
            </w:tcBorders>
            <w:vAlign w:val="bottom"/>
          </w:tcPr>
          <w:p w:rsidR="000728AD" w:rsidRDefault="000728AD">
            <w:pPr>
              <w:rPr>
                <w:sz w:val="24"/>
                <w:szCs w:val="24"/>
              </w:rPr>
            </w:pPr>
          </w:p>
        </w:tc>
        <w:tc>
          <w:tcPr>
            <w:tcW w:w="0" w:type="dxa"/>
            <w:vAlign w:val="bottom"/>
          </w:tcPr>
          <w:p w:rsidR="000728AD" w:rsidRDefault="000728AD">
            <w:pPr>
              <w:rPr>
                <w:sz w:val="1"/>
                <w:szCs w:val="1"/>
              </w:rPr>
            </w:pPr>
          </w:p>
        </w:tc>
      </w:tr>
      <w:tr w:rsidR="000728AD">
        <w:trPr>
          <w:trHeight w:val="169"/>
        </w:trPr>
        <w:tc>
          <w:tcPr>
            <w:tcW w:w="4860" w:type="dxa"/>
            <w:vAlign w:val="bottom"/>
          </w:tcPr>
          <w:p w:rsidR="000728AD" w:rsidRDefault="000728AD">
            <w:pPr>
              <w:rPr>
                <w:sz w:val="14"/>
                <w:szCs w:val="14"/>
              </w:rPr>
            </w:pPr>
          </w:p>
        </w:tc>
        <w:tc>
          <w:tcPr>
            <w:tcW w:w="140" w:type="dxa"/>
            <w:vAlign w:val="bottom"/>
          </w:tcPr>
          <w:p w:rsidR="000728AD" w:rsidRDefault="000728AD">
            <w:pPr>
              <w:rPr>
                <w:sz w:val="14"/>
                <w:szCs w:val="14"/>
              </w:rPr>
            </w:pPr>
          </w:p>
        </w:tc>
        <w:tc>
          <w:tcPr>
            <w:tcW w:w="1480" w:type="dxa"/>
            <w:gridSpan w:val="2"/>
            <w:vMerge w:val="restart"/>
            <w:vAlign w:val="bottom"/>
          </w:tcPr>
          <w:p w:rsidR="000728AD" w:rsidRDefault="000561BE">
            <w:pPr>
              <w:ind w:left="20"/>
              <w:rPr>
                <w:sz w:val="20"/>
                <w:szCs w:val="20"/>
              </w:rPr>
            </w:pPr>
            <w:r>
              <w:rPr>
                <w:rFonts w:ascii="Arial" w:eastAsia="Arial" w:hAnsi="Arial" w:cs="Arial"/>
                <w:b/>
                <w:bCs/>
                <w:sz w:val="18"/>
                <w:szCs w:val="18"/>
              </w:rPr>
              <w:t>Amortized Cost</w:t>
            </w:r>
          </w:p>
        </w:tc>
        <w:tc>
          <w:tcPr>
            <w:tcW w:w="1620" w:type="dxa"/>
            <w:gridSpan w:val="3"/>
            <w:vAlign w:val="bottom"/>
          </w:tcPr>
          <w:p w:rsidR="000728AD" w:rsidRDefault="000561BE">
            <w:pPr>
              <w:spacing w:line="169" w:lineRule="exact"/>
              <w:ind w:right="100"/>
              <w:jc w:val="center"/>
              <w:rPr>
                <w:sz w:val="20"/>
                <w:szCs w:val="20"/>
              </w:rPr>
            </w:pPr>
            <w:r>
              <w:rPr>
                <w:rFonts w:ascii="Arial" w:eastAsia="Arial" w:hAnsi="Arial" w:cs="Arial"/>
                <w:b/>
                <w:bCs/>
                <w:w w:val="89"/>
                <w:sz w:val="18"/>
                <w:szCs w:val="18"/>
              </w:rPr>
              <w:t>Gross Unrealized</w:t>
            </w:r>
          </w:p>
        </w:tc>
        <w:tc>
          <w:tcPr>
            <w:tcW w:w="1620" w:type="dxa"/>
            <w:gridSpan w:val="3"/>
            <w:vAlign w:val="bottom"/>
          </w:tcPr>
          <w:p w:rsidR="000728AD" w:rsidRDefault="000561BE">
            <w:pPr>
              <w:spacing w:line="169" w:lineRule="exact"/>
              <w:ind w:right="100"/>
              <w:jc w:val="center"/>
              <w:rPr>
                <w:sz w:val="20"/>
                <w:szCs w:val="20"/>
              </w:rPr>
            </w:pPr>
            <w:r>
              <w:rPr>
                <w:rFonts w:ascii="Arial" w:eastAsia="Arial" w:hAnsi="Arial" w:cs="Arial"/>
                <w:b/>
                <w:bCs/>
                <w:w w:val="89"/>
                <w:sz w:val="18"/>
                <w:szCs w:val="18"/>
              </w:rPr>
              <w:t>Gross Unrealized</w:t>
            </w:r>
          </w:p>
        </w:tc>
        <w:tc>
          <w:tcPr>
            <w:tcW w:w="160" w:type="dxa"/>
            <w:vAlign w:val="bottom"/>
          </w:tcPr>
          <w:p w:rsidR="000728AD" w:rsidRDefault="000728AD">
            <w:pPr>
              <w:rPr>
                <w:sz w:val="14"/>
                <w:szCs w:val="14"/>
              </w:rPr>
            </w:pPr>
          </w:p>
        </w:tc>
        <w:tc>
          <w:tcPr>
            <w:tcW w:w="1360" w:type="dxa"/>
            <w:vAlign w:val="bottom"/>
          </w:tcPr>
          <w:p w:rsidR="000728AD" w:rsidRDefault="000561BE">
            <w:pPr>
              <w:spacing w:line="169" w:lineRule="exact"/>
              <w:ind w:right="65"/>
              <w:jc w:val="center"/>
              <w:rPr>
                <w:sz w:val="20"/>
                <w:szCs w:val="20"/>
              </w:rPr>
            </w:pPr>
            <w:r>
              <w:rPr>
                <w:rFonts w:ascii="Arial" w:eastAsia="Arial" w:hAnsi="Arial" w:cs="Arial"/>
                <w:b/>
                <w:bCs/>
                <w:w w:val="93"/>
                <w:sz w:val="18"/>
                <w:szCs w:val="18"/>
              </w:rPr>
              <w:t>Estimated Fair</w:t>
            </w:r>
          </w:p>
        </w:tc>
        <w:tc>
          <w:tcPr>
            <w:tcW w:w="0" w:type="dxa"/>
            <w:vAlign w:val="bottom"/>
          </w:tcPr>
          <w:p w:rsidR="000728AD" w:rsidRDefault="000728AD">
            <w:pPr>
              <w:rPr>
                <w:sz w:val="1"/>
                <w:szCs w:val="1"/>
              </w:rPr>
            </w:pPr>
          </w:p>
        </w:tc>
      </w:tr>
      <w:tr w:rsidR="000728AD">
        <w:trPr>
          <w:trHeight w:val="230"/>
        </w:trPr>
        <w:tc>
          <w:tcPr>
            <w:tcW w:w="4860" w:type="dxa"/>
            <w:vAlign w:val="bottom"/>
          </w:tcPr>
          <w:p w:rsidR="000728AD" w:rsidRDefault="000728AD">
            <w:pPr>
              <w:rPr>
                <w:sz w:val="19"/>
                <w:szCs w:val="19"/>
              </w:rPr>
            </w:pPr>
          </w:p>
        </w:tc>
        <w:tc>
          <w:tcPr>
            <w:tcW w:w="140" w:type="dxa"/>
            <w:vAlign w:val="bottom"/>
          </w:tcPr>
          <w:p w:rsidR="000728AD" w:rsidRDefault="000728AD">
            <w:pPr>
              <w:rPr>
                <w:sz w:val="19"/>
                <w:szCs w:val="19"/>
              </w:rPr>
            </w:pPr>
          </w:p>
        </w:tc>
        <w:tc>
          <w:tcPr>
            <w:tcW w:w="1480" w:type="dxa"/>
            <w:gridSpan w:val="2"/>
            <w:vMerge/>
            <w:vAlign w:val="bottom"/>
          </w:tcPr>
          <w:p w:rsidR="000728AD" w:rsidRDefault="000728AD">
            <w:pPr>
              <w:rPr>
                <w:sz w:val="19"/>
                <w:szCs w:val="19"/>
              </w:rPr>
            </w:pPr>
          </w:p>
        </w:tc>
        <w:tc>
          <w:tcPr>
            <w:tcW w:w="340" w:type="dxa"/>
            <w:vAlign w:val="bottom"/>
          </w:tcPr>
          <w:p w:rsidR="000728AD" w:rsidRDefault="000728AD">
            <w:pPr>
              <w:rPr>
                <w:sz w:val="19"/>
                <w:szCs w:val="19"/>
              </w:rPr>
            </w:pPr>
          </w:p>
        </w:tc>
        <w:tc>
          <w:tcPr>
            <w:tcW w:w="1280" w:type="dxa"/>
            <w:gridSpan w:val="2"/>
            <w:vAlign w:val="bottom"/>
          </w:tcPr>
          <w:p w:rsidR="000728AD" w:rsidRDefault="000561BE">
            <w:pPr>
              <w:ind w:right="440"/>
              <w:jc w:val="center"/>
              <w:rPr>
                <w:sz w:val="20"/>
                <w:szCs w:val="20"/>
              </w:rPr>
            </w:pPr>
            <w:r>
              <w:rPr>
                <w:rFonts w:ascii="Arial" w:eastAsia="Arial" w:hAnsi="Arial" w:cs="Arial"/>
                <w:b/>
                <w:bCs/>
                <w:w w:val="87"/>
                <w:sz w:val="18"/>
                <w:szCs w:val="18"/>
              </w:rPr>
              <w:t>Gains</w:t>
            </w:r>
          </w:p>
        </w:tc>
        <w:tc>
          <w:tcPr>
            <w:tcW w:w="1080" w:type="dxa"/>
            <w:vAlign w:val="bottom"/>
          </w:tcPr>
          <w:p w:rsidR="000728AD" w:rsidRDefault="000561BE">
            <w:pPr>
              <w:ind w:left="366"/>
              <w:jc w:val="center"/>
              <w:rPr>
                <w:sz w:val="20"/>
                <w:szCs w:val="20"/>
              </w:rPr>
            </w:pPr>
            <w:r>
              <w:rPr>
                <w:rFonts w:ascii="Arial" w:eastAsia="Arial" w:hAnsi="Arial" w:cs="Arial"/>
                <w:b/>
                <w:bCs/>
                <w:w w:val="80"/>
                <w:sz w:val="18"/>
                <w:szCs w:val="18"/>
              </w:rPr>
              <w:t>Losses</w:t>
            </w:r>
          </w:p>
        </w:tc>
        <w:tc>
          <w:tcPr>
            <w:tcW w:w="44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160" w:type="dxa"/>
            <w:vAlign w:val="bottom"/>
          </w:tcPr>
          <w:p w:rsidR="000728AD" w:rsidRDefault="000728AD">
            <w:pPr>
              <w:rPr>
                <w:sz w:val="19"/>
                <w:szCs w:val="19"/>
              </w:rPr>
            </w:pPr>
          </w:p>
        </w:tc>
        <w:tc>
          <w:tcPr>
            <w:tcW w:w="1360" w:type="dxa"/>
            <w:vAlign w:val="bottom"/>
          </w:tcPr>
          <w:p w:rsidR="000728AD" w:rsidRDefault="000561BE">
            <w:pPr>
              <w:ind w:right="65"/>
              <w:jc w:val="center"/>
              <w:rPr>
                <w:sz w:val="20"/>
                <w:szCs w:val="20"/>
              </w:rPr>
            </w:pPr>
            <w:r>
              <w:rPr>
                <w:rFonts w:ascii="Arial" w:eastAsia="Arial" w:hAnsi="Arial" w:cs="Arial"/>
                <w:b/>
                <w:bCs/>
                <w:w w:val="91"/>
                <w:sz w:val="18"/>
                <w:szCs w:val="18"/>
              </w:rPr>
              <w:t>Value</w:t>
            </w:r>
          </w:p>
        </w:tc>
        <w:tc>
          <w:tcPr>
            <w:tcW w:w="0" w:type="dxa"/>
            <w:vAlign w:val="bottom"/>
          </w:tcPr>
          <w:p w:rsidR="000728AD" w:rsidRDefault="000728AD">
            <w:pPr>
              <w:rPr>
                <w:sz w:val="1"/>
                <w:szCs w:val="1"/>
              </w:rPr>
            </w:pPr>
          </w:p>
        </w:tc>
      </w:tr>
      <w:tr w:rsidR="000728AD">
        <w:trPr>
          <w:trHeight w:val="236"/>
        </w:trPr>
        <w:tc>
          <w:tcPr>
            <w:tcW w:w="4860" w:type="dxa"/>
            <w:tcBorders>
              <w:top w:val="single" w:sz="8" w:space="0" w:color="CCEEFF"/>
            </w:tcBorders>
            <w:shd w:val="clear" w:color="auto" w:fill="CCEEFF"/>
            <w:vAlign w:val="bottom"/>
          </w:tcPr>
          <w:p w:rsidR="000728AD" w:rsidRDefault="000561BE">
            <w:pPr>
              <w:ind w:left="20"/>
              <w:rPr>
                <w:sz w:val="20"/>
                <w:szCs w:val="20"/>
              </w:rPr>
            </w:pPr>
            <w:r>
              <w:rPr>
                <w:rFonts w:ascii="Arial" w:eastAsia="Arial" w:hAnsi="Arial" w:cs="Arial"/>
                <w:sz w:val="20"/>
                <w:szCs w:val="20"/>
              </w:rPr>
              <w:t>Cash and cash equivalents</w:t>
            </w:r>
          </w:p>
        </w:tc>
        <w:tc>
          <w:tcPr>
            <w:tcW w:w="14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w w:val="89"/>
                <w:sz w:val="20"/>
                <w:szCs w:val="20"/>
              </w:rPr>
              <w:t>$</w:t>
            </w:r>
          </w:p>
        </w:tc>
        <w:tc>
          <w:tcPr>
            <w:tcW w:w="138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71,590</w:t>
            </w:r>
          </w:p>
        </w:tc>
        <w:tc>
          <w:tcPr>
            <w:tcW w:w="100" w:type="dxa"/>
            <w:tcBorders>
              <w:top w:val="single" w:sz="8" w:space="0" w:color="CCEEFF"/>
            </w:tcBorders>
            <w:shd w:val="clear" w:color="auto" w:fill="CCEEFF"/>
            <w:vAlign w:val="bottom"/>
          </w:tcPr>
          <w:p w:rsidR="000728AD" w:rsidRDefault="000728AD">
            <w:pPr>
              <w:rPr>
                <w:sz w:val="20"/>
                <w:szCs w:val="20"/>
              </w:rPr>
            </w:pPr>
          </w:p>
        </w:tc>
        <w:tc>
          <w:tcPr>
            <w:tcW w:w="340" w:type="dxa"/>
            <w:tcBorders>
              <w:top w:val="single" w:sz="8" w:space="0" w:color="auto"/>
            </w:tcBorders>
            <w:shd w:val="clear" w:color="auto" w:fill="CCEEFF"/>
            <w:vAlign w:val="bottom"/>
          </w:tcPr>
          <w:p w:rsidR="000728AD" w:rsidRDefault="000561BE">
            <w:pPr>
              <w:ind w:right="124"/>
              <w:jc w:val="right"/>
              <w:rPr>
                <w:sz w:val="20"/>
                <w:szCs w:val="20"/>
              </w:rPr>
            </w:pPr>
            <w:r>
              <w:rPr>
                <w:rFonts w:ascii="Arial" w:eastAsia="Arial" w:hAnsi="Arial" w:cs="Arial"/>
                <w:w w:val="89"/>
                <w:sz w:val="20"/>
                <w:szCs w:val="20"/>
              </w:rPr>
              <w:t>$</w:t>
            </w:r>
          </w:p>
        </w:tc>
        <w:tc>
          <w:tcPr>
            <w:tcW w:w="118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w:t>
            </w:r>
          </w:p>
        </w:tc>
        <w:tc>
          <w:tcPr>
            <w:tcW w:w="100" w:type="dxa"/>
            <w:tcBorders>
              <w:top w:val="single" w:sz="8" w:space="0" w:color="CCEEFF"/>
            </w:tcBorders>
            <w:shd w:val="clear" w:color="auto" w:fill="CCEEFF"/>
            <w:vAlign w:val="bottom"/>
          </w:tcPr>
          <w:p w:rsidR="000728AD" w:rsidRDefault="000728AD">
            <w:pPr>
              <w:rPr>
                <w:sz w:val="20"/>
                <w:szCs w:val="20"/>
              </w:rPr>
            </w:pPr>
          </w:p>
        </w:tc>
        <w:tc>
          <w:tcPr>
            <w:tcW w:w="1080" w:type="dxa"/>
            <w:tcBorders>
              <w:top w:val="single" w:sz="8" w:space="0" w:color="auto"/>
            </w:tcBorders>
            <w:shd w:val="clear" w:color="auto" w:fill="CCEEFF"/>
            <w:vAlign w:val="bottom"/>
          </w:tcPr>
          <w:p w:rsidR="000728AD" w:rsidRDefault="000561BE">
            <w:pPr>
              <w:ind w:right="866"/>
              <w:jc w:val="right"/>
              <w:rPr>
                <w:sz w:val="20"/>
                <w:szCs w:val="20"/>
              </w:rPr>
            </w:pPr>
            <w:r>
              <w:rPr>
                <w:rFonts w:ascii="Arial" w:eastAsia="Arial" w:hAnsi="Arial" w:cs="Arial"/>
                <w:w w:val="89"/>
                <w:sz w:val="20"/>
                <w:szCs w:val="20"/>
              </w:rPr>
              <w:t>$</w:t>
            </w:r>
          </w:p>
        </w:tc>
        <w:tc>
          <w:tcPr>
            <w:tcW w:w="440" w:type="dxa"/>
            <w:tcBorders>
              <w:top w:val="single" w:sz="8" w:space="0" w:color="auto"/>
            </w:tcBorders>
            <w:shd w:val="clear" w:color="auto" w:fill="CCEEFF"/>
            <w:vAlign w:val="bottom"/>
          </w:tcPr>
          <w:p w:rsidR="000728AD" w:rsidRDefault="000561BE">
            <w:pPr>
              <w:jc w:val="center"/>
              <w:rPr>
                <w:sz w:val="20"/>
                <w:szCs w:val="20"/>
              </w:rPr>
            </w:pPr>
            <w:r>
              <w:rPr>
                <w:rFonts w:ascii="Arial" w:eastAsia="Arial" w:hAnsi="Arial" w:cs="Arial"/>
                <w:w w:val="99"/>
                <w:sz w:val="20"/>
                <w:szCs w:val="20"/>
              </w:rPr>
              <w:t>—</w:t>
            </w:r>
          </w:p>
        </w:tc>
        <w:tc>
          <w:tcPr>
            <w:tcW w:w="100" w:type="dxa"/>
            <w:tcBorders>
              <w:top w:val="single" w:sz="8" w:space="0" w:color="CCEEFF"/>
            </w:tcBorders>
            <w:shd w:val="clear" w:color="auto" w:fill="CCEEFF"/>
            <w:vAlign w:val="bottom"/>
          </w:tcPr>
          <w:p w:rsidR="000728AD" w:rsidRDefault="000728AD">
            <w:pPr>
              <w:rPr>
                <w:sz w:val="20"/>
                <w:szCs w:val="20"/>
              </w:rPr>
            </w:pPr>
          </w:p>
        </w:tc>
        <w:tc>
          <w:tcPr>
            <w:tcW w:w="16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w w:val="89"/>
                <w:sz w:val="20"/>
                <w:szCs w:val="20"/>
              </w:rPr>
              <w:t>$</w:t>
            </w:r>
          </w:p>
        </w:tc>
        <w:tc>
          <w:tcPr>
            <w:tcW w:w="136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71,590</w:t>
            </w:r>
          </w:p>
        </w:tc>
        <w:tc>
          <w:tcPr>
            <w:tcW w:w="0" w:type="dxa"/>
            <w:vAlign w:val="bottom"/>
          </w:tcPr>
          <w:p w:rsidR="000728AD" w:rsidRDefault="000728AD">
            <w:pPr>
              <w:rPr>
                <w:sz w:val="1"/>
                <w:szCs w:val="1"/>
              </w:rPr>
            </w:pPr>
          </w:p>
        </w:tc>
      </w:tr>
      <w:tr w:rsidR="000728AD">
        <w:trPr>
          <w:trHeight w:val="243"/>
        </w:trPr>
        <w:tc>
          <w:tcPr>
            <w:tcW w:w="4860" w:type="dxa"/>
            <w:tcBorders>
              <w:bottom w:val="single" w:sz="8" w:space="0" w:color="CCEEFF"/>
            </w:tcBorders>
            <w:vAlign w:val="bottom"/>
          </w:tcPr>
          <w:p w:rsidR="000728AD" w:rsidRDefault="000561BE">
            <w:pPr>
              <w:ind w:left="20"/>
              <w:rPr>
                <w:sz w:val="20"/>
                <w:szCs w:val="20"/>
              </w:rPr>
            </w:pPr>
            <w:r>
              <w:rPr>
                <w:rFonts w:ascii="Arial" w:eastAsia="Arial" w:hAnsi="Arial" w:cs="Arial"/>
                <w:sz w:val="20"/>
                <w:szCs w:val="20"/>
              </w:rPr>
              <w:t>Corporate obligations</w:t>
            </w:r>
          </w:p>
        </w:tc>
        <w:tc>
          <w:tcPr>
            <w:tcW w:w="140" w:type="dxa"/>
            <w:tcBorders>
              <w:bottom w:val="single" w:sz="8" w:space="0" w:color="auto"/>
            </w:tcBorders>
            <w:vAlign w:val="bottom"/>
          </w:tcPr>
          <w:p w:rsidR="000728AD" w:rsidRDefault="000728AD">
            <w:pPr>
              <w:rPr>
                <w:sz w:val="21"/>
                <w:szCs w:val="21"/>
              </w:rPr>
            </w:pPr>
          </w:p>
        </w:tc>
        <w:tc>
          <w:tcPr>
            <w:tcW w:w="138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35,773</w:t>
            </w:r>
          </w:p>
        </w:tc>
        <w:tc>
          <w:tcPr>
            <w:tcW w:w="100" w:type="dxa"/>
            <w:tcBorders>
              <w:bottom w:val="single" w:sz="8" w:space="0" w:color="CCEEFF"/>
            </w:tcBorders>
            <w:vAlign w:val="bottom"/>
          </w:tcPr>
          <w:p w:rsidR="000728AD" w:rsidRDefault="000728AD">
            <w:pPr>
              <w:rPr>
                <w:sz w:val="21"/>
                <w:szCs w:val="21"/>
              </w:rPr>
            </w:pPr>
          </w:p>
        </w:tc>
        <w:tc>
          <w:tcPr>
            <w:tcW w:w="340" w:type="dxa"/>
            <w:tcBorders>
              <w:bottom w:val="single" w:sz="8" w:space="0" w:color="auto"/>
            </w:tcBorders>
            <w:vAlign w:val="bottom"/>
          </w:tcPr>
          <w:p w:rsidR="000728AD" w:rsidRDefault="000728AD">
            <w:pPr>
              <w:rPr>
                <w:sz w:val="21"/>
                <w:szCs w:val="21"/>
              </w:rPr>
            </w:pPr>
          </w:p>
        </w:tc>
        <w:tc>
          <w:tcPr>
            <w:tcW w:w="118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1</w:t>
            </w:r>
          </w:p>
        </w:tc>
        <w:tc>
          <w:tcPr>
            <w:tcW w:w="100" w:type="dxa"/>
            <w:tcBorders>
              <w:bottom w:val="single" w:sz="8" w:space="0" w:color="CCEEFF"/>
            </w:tcBorders>
            <w:vAlign w:val="bottom"/>
          </w:tcPr>
          <w:p w:rsidR="000728AD" w:rsidRDefault="000728AD">
            <w:pPr>
              <w:rPr>
                <w:sz w:val="21"/>
                <w:szCs w:val="21"/>
              </w:rPr>
            </w:pPr>
          </w:p>
        </w:tc>
        <w:tc>
          <w:tcPr>
            <w:tcW w:w="1080" w:type="dxa"/>
            <w:tcBorders>
              <w:bottom w:val="single" w:sz="8" w:space="0" w:color="auto"/>
            </w:tcBorders>
            <w:vAlign w:val="bottom"/>
          </w:tcPr>
          <w:p w:rsidR="000728AD" w:rsidRDefault="000728AD">
            <w:pPr>
              <w:rPr>
                <w:sz w:val="21"/>
                <w:szCs w:val="21"/>
              </w:rPr>
            </w:pPr>
          </w:p>
        </w:tc>
        <w:tc>
          <w:tcPr>
            <w:tcW w:w="440" w:type="dxa"/>
            <w:tcBorders>
              <w:bottom w:val="single" w:sz="8" w:space="0" w:color="auto"/>
            </w:tcBorders>
            <w:vAlign w:val="bottom"/>
          </w:tcPr>
          <w:p w:rsidR="000728AD" w:rsidRDefault="000561BE">
            <w:pPr>
              <w:jc w:val="center"/>
              <w:rPr>
                <w:sz w:val="20"/>
                <w:szCs w:val="20"/>
              </w:rPr>
            </w:pPr>
            <w:r>
              <w:rPr>
                <w:rFonts w:ascii="Arial" w:eastAsia="Arial" w:hAnsi="Arial" w:cs="Arial"/>
                <w:w w:val="95"/>
                <w:sz w:val="20"/>
                <w:szCs w:val="20"/>
              </w:rPr>
              <w:t>(35)</w:t>
            </w:r>
          </w:p>
        </w:tc>
        <w:tc>
          <w:tcPr>
            <w:tcW w:w="100" w:type="dxa"/>
            <w:tcBorders>
              <w:bottom w:val="single" w:sz="8" w:space="0" w:color="CCEEFF"/>
            </w:tcBorders>
            <w:vAlign w:val="bottom"/>
          </w:tcPr>
          <w:p w:rsidR="000728AD" w:rsidRDefault="000728AD">
            <w:pPr>
              <w:rPr>
                <w:sz w:val="21"/>
                <w:szCs w:val="21"/>
              </w:rPr>
            </w:pPr>
          </w:p>
        </w:tc>
        <w:tc>
          <w:tcPr>
            <w:tcW w:w="160" w:type="dxa"/>
            <w:tcBorders>
              <w:bottom w:val="single" w:sz="8" w:space="0" w:color="auto"/>
            </w:tcBorders>
            <w:vAlign w:val="bottom"/>
          </w:tcPr>
          <w:p w:rsidR="000728AD" w:rsidRDefault="000728AD">
            <w:pPr>
              <w:rPr>
                <w:sz w:val="21"/>
                <w:szCs w:val="21"/>
              </w:rPr>
            </w:pPr>
          </w:p>
        </w:tc>
        <w:tc>
          <w:tcPr>
            <w:tcW w:w="136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35,739</w:t>
            </w:r>
          </w:p>
        </w:tc>
        <w:tc>
          <w:tcPr>
            <w:tcW w:w="0" w:type="dxa"/>
            <w:vAlign w:val="bottom"/>
          </w:tcPr>
          <w:p w:rsidR="000728AD" w:rsidRDefault="000728AD">
            <w:pPr>
              <w:rPr>
                <w:sz w:val="1"/>
                <w:szCs w:val="1"/>
              </w:rPr>
            </w:pPr>
          </w:p>
        </w:tc>
      </w:tr>
      <w:tr w:rsidR="000728AD">
        <w:trPr>
          <w:trHeight w:val="262"/>
        </w:trPr>
        <w:tc>
          <w:tcPr>
            <w:tcW w:w="4860" w:type="dxa"/>
            <w:tcBorders>
              <w:bottom w:val="single" w:sz="8" w:space="0" w:color="CCEEFF"/>
            </w:tcBorders>
            <w:shd w:val="clear" w:color="auto" w:fill="CCEEFF"/>
            <w:vAlign w:val="bottom"/>
          </w:tcPr>
          <w:p w:rsidR="000728AD" w:rsidRDefault="000561BE">
            <w:pPr>
              <w:ind w:left="120"/>
              <w:rPr>
                <w:sz w:val="20"/>
                <w:szCs w:val="20"/>
              </w:rPr>
            </w:pPr>
            <w:r>
              <w:rPr>
                <w:rFonts w:ascii="Arial" w:eastAsia="Arial" w:hAnsi="Arial" w:cs="Arial"/>
                <w:sz w:val="20"/>
                <w:szCs w:val="20"/>
              </w:rPr>
              <w:t>Total</w:t>
            </w:r>
          </w:p>
        </w:tc>
        <w:tc>
          <w:tcPr>
            <w:tcW w:w="14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w w:val="89"/>
                <w:sz w:val="20"/>
                <w:szCs w:val="20"/>
              </w:rPr>
              <w:t>$</w:t>
            </w:r>
          </w:p>
        </w:tc>
        <w:tc>
          <w:tcPr>
            <w:tcW w:w="138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107,363</w:t>
            </w:r>
          </w:p>
        </w:tc>
        <w:tc>
          <w:tcPr>
            <w:tcW w:w="100" w:type="dxa"/>
            <w:tcBorders>
              <w:bottom w:val="single" w:sz="8" w:space="0" w:color="CCEEFF"/>
            </w:tcBorders>
            <w:shd w:val="clear" w:color="auto" w:fill="CCEEFF"/>
            <w:vAlign w:val="bottom"/>
          </w:tcPr>
          <w:p w:rsidR="000728AD" w:rsidRDefault="000728AD"/>
        </w:tc>
        <w:tc>
          <w:tcPr>
            <w:tcW w:w="340" w:type="dxa"/>
            <w:tcBorders>
              <w:bottom w:val="single" w:sz="8" w:space="0" w:color="auto"/>
            </w:tcBorders>
            <w:shd w:val="clear" w:color="auto" w:fill="CCEEFF"/>
            <w:vAlign w:val="bottom"/>
          </w:tcPr>
          <w:p w:rsidR="000728AD" w:rsidRDefault="000561BE">
            <w:pPr>
              <w:ind w:right="124"/>
              <w:jc w:val="right"/>
              <w:rPr>
                <w:sz w:val="20"/>
                <w:szCs w:val="20"/>
              </w:rPr>
            </w:pPr>
            <w:r>
              <w:rPr>
                <w:rFonts w:ascii="Arial" w:eastAsia="Arial" w:hAnsi="Arial" w:cs="Arial"/>
                <w:w w:val="89"/>
                <w:sz w:val="20"/>
                <w:szCs w:val="20"/>
              </w:rPr>
              <w:t>$</w:t>
            </w:r>
          </w:p>
        </w:tc>
        <w:tc>
          <w:tcPr>
            <w:tcW w:w="118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1</w:t>
            </w:r>
          </w:p>
        </w:tc>
        <w:tc>
          <w:tcPr>
            <w:tcW w:w="100" w:type="dxa"/>
            <w:tcBorders>
              <w:bottom w:val="single" w:sz="8" w:space="0" w:color="CCEEFF"/>
            </w:tcBorders>
            <w:shd w:val="clear" w:color="auto" w:fill="CCEEFF"/>
            <w:vAlign w:val="bottom"/>
          </w:tcPr>
          <w:p w:rsidR="000728AD" w:rsidRDefault="000728AD"/>
        </w:tc>
        <w:tc>
          <w:tcPr>
            <w:tcW w:w="1080" w:type="dxa"/>
            <w:tcBorders>
              <w:bottom w:val="single" w:sz="8" w:space="0" w:color="auto"/>
            </w:tcBorders>
            <w:shd w:val="clear" w:color="auto" w:fill="CCEEFF"/>
            <w:vAlign w:val="bottom"/>
          </w:tcPr>
          <w:p w:rsidR="000728AD" w:rsidRDefault="000561BE">
            <w:pPr>
              <w:ind w:right="866"/>
              <w:jc w:val="right"/>
              <w:rPr>
                <w:sz w:val="20"/>
                <w:szCs w:val="20"/>
              </w:rPr>
            </w:pPr>
            <w:r>
              <w:rPr>
                <w:rFonts w:ascii="Arial" w:eastAsia="Arial" w:hAnsi="Arial" w:cs="Arial"/>
                <w:w w:val="89"/>
                <w:sz w:val="20"/>
                <w:szCs w:val="20"/>
              </w:rPr>
              <w:t>$</w:t>
            </w:r>
          </w:p>
        </w:tc>
        <w:tc>
          <w:tcPr>
            <w:tcW w:w="440" w:type="dxa"/>
            <w:tcBorders>
              <w:bottom w:val="single" w:sz="8" w:space="0" w:color="auto"/>
            </w:tcBorders>
            <w:shd w:val="clear" w:color="auto" w:fill="CCEEFF"/>
            <w:vAlign w:val="bottom"/>
          </w:tcPr>
          <w:p w:rsidR="000728AD" w:rsidRDefault="000561BE">
            <w:pPr>
              <w:jc w:val="center"/>
              <w:rPr>
                <w:sz w:val="20"/>
                <w:szCs w:val="20"/>
              </w:rPr>
            </w:pPr>
            <w:r>
              <w:rPr>
                <w:rFonts w:ascii="Arial" w:eastAsia="Arial" w:hAnsi="Arial" w:cs="Arial"/>
                <w:w w:val="95"/>
                <w:sz w:val="20"/>
                <w:szCs w:val="20"/>
              </w:rPr>
              <w:t>(35)</w:t>
            </w:r>
          </w:p>
        </w:tc>
        <w:tc>
          <w:tcPr>
            <w:tcW w:w="100" w:type="dxa"/>
            <w:tcBorders>
              <w:bottom w:val="single" w:sz="8" w:space="0" w:color="CCEEFF"/>
            </w:tcBorders>
            <w:shd w:val="clear" w:color="auto" w:fill="CCEEFF"/>
            <w:vAlign w:val="bottom"/>
          </w:tcPr>
          <w:p w:rsidR="000728AD" w:rsidRDefault="000728AD"/>
        </w:tc>
        <w:tc>
          <w:tcPr>
            <w:tcW w:w="16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w w:val="89"/>
                <w:sz w:val="20"/>
                <w:szCs w:val="20"/>
              </w:rPr>
              <w:t>$</w:t>
            </w:r>
          </w:p>
        </w:tc>
        <w:tc>
          <w:tcPr>
            <w:tcW w:w="136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107,329</w:t>
            </w:r>
          </w:p>
        </w:tc>
        <w:tc>
          <w:tcPr>
            <w:tcW w:w="0" w:type="dxa"/>
            <w:vAlign w:val="bottom"/>
          </w:tcPr>
          <w:p w:rsidR="000728AD" w:rsidRDefault="000728AD">
            <w:pPr>
              <w:rPr>
                <w:sz w:val="1"/>
                <w:szCs w:val="1"/>
              </w:rPr>
            </w:pPr>
          </w:p>
        </w:tc>
      </w:tr>
      <w:tr w:rsidR="000728AD">
        <w:trPr>
          <w:trHeight w:val="20"/>
        </w:trPr>
        <w:tc>
          <w:tcPr>
            <w:tcW w:w="4860" w:type="dxa"/>
            <w:tcBorders>
              <w:top w:val="single" w:sz="8" w:space="0" w:color="CCEEFF"/>
            </w:tcBorders>
            <w:vAlign w:val="bottom"/>
          </w:tcPr>
          <w:p w:rsidR="000728AD" w:rsidRDefault="000728AD">
            <w:pPr>
              <w:spacing w:line="20" w:lineRule="exact"/>
              <w:rPr>
                <w:sz w:val="1"/>
                <w:szCs w:val="1"/>
              </w:rPr>
            </w:pPr>
          </w:p>
        </w:tc>
        <w:tc>
          <w:tcPr>
            <w:tcW w:w="14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38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00" w:type="dxa"/>
            <w:tcBorders>
              <w:top w:val="single" w:sz="8" w:space="0" w:color="CCEEFF"/>
            </w:tcBorders>
            <w:vAlign w:val="bottom"/>
          </w:tcPr>
          <w:p w:rsidR="000728AD" w:rsidRDefault="000728AD">
            <w:pPr>
              <w:spacing w:line="20" w:lineRule="exact"/>
              <w:rPr>
                <w:sz w:val="1"/>
                <w:szCs w:val="1"/>
              </w:rPr>
            </w:pPr>
          </w:p>
        </w:tc>
        <w:tc>
          <w:tcPr>
            <w:tcW w:w="34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18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00" w:type="dxa"/>
            <w:tcBorders>
              <w:top w:val="single" w:sz="8" w:space="0" w:color="CCEEFF"/>
            </w:tcBorders>
            <w:vAlign w:val="bottom"/>
          </w:tcPr>
          <w:p w:rsidR="000728AD" w:rsidRDefault="000728AD">
            <w:pPr>
              <w:spacing w:line="20" w:lineRule="exact"/>
              <w:rPr>
                <w:sz w:val="1"/>
                <w:szCs w:val="1"/>
              </w:rPr>
            </w:pPr>
          </w:p>
        </w:tc>
        <w:tc>
          <w:tcPr>
            <w:tcW w:w="108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44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00" w:type="dxa"/>
            <w:tcBorders>
              <w:top w:val="single" w:sz="8" w:space="0" w:color="CCEEFF"/>
            </w:tcBorders>
            <w:vAlign w:val="bottom"/>
          </w:tcPr>
          <w:p w:rsidR="000728AD" w:rsidRDefault="000728AD">
            <w:pPr>
              <w:spacing w:line="20" w:lineRule="exact"/>
              <w:rPr>
                <w:sz w:val="1"/>
                <w:szCs w:val="1"/>
              </w:rPr>
            </w:pPr>
          </w:p>
        </w:tc>
        <w:tc>
          <w:tcPr>
            <w:tcW w:w="16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36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0" w:type="dxa"/>
            <w:vAlign w:val="bottom"/>
          </w:tcPr>
          <w:p w:rsidR="000728AD" w:rsidRDefault="000728AD">
            <w:pPr>
              <w:spacing w:line="20" w:lineRule="exact"/>
              <w:rPr>
                <w:sz w:val="1"/>
                <w:szCs w:val="1"/>
              </w:rPr>
            </w:pPr>
          </w:p>
        </w:tc>
      </w:tr>
    </w:tbl>
    <w:p w:rsidR="000728AD" w:rsidRDefault="000728AD">
      <w:pPr>
        <w:spacing w:line="280" w:lineRule="exact"/>
        <w:rPr>
          <w:sz w:val="20"/>
          <w:szCs w:val="20"/>
        </w:rPr>
      </w:pPr>
    </w:p>
    <w:p w:rsidR="000728AD" w:rsidRDefault="000561BE">
      <w:pPr>
        <w:rPr>
          <w:sz w:val="20"/>
          <w:szCs w:val="20"/>
        </w:rPr>
      </w:pPr>
      <w:r>
        <w:rPr>
          <w:rFonts w:ascii="Arial" w:eastAsia="Arial" w:hAnsi="Arial" w:cs="Arial"/>
          <w:sz w:val="20"/>
          <w:szCs w:val="20"/>
        </w:rPr>
        <w:t>The fair values of cash equivalents and marketable securities by contractual maturity were as follows (in thousands):</w:t>
      </w:r>
    </w:p>
    <w:p w:rsidR="000728AD" w:rsidRDefault="000728AD">
      <w:pPr>
        <w:spacing w:line="1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80"/>
        <w:gridCol w:w="100"/>
        <w:gridCol w:w="280"/>
        <w:gridCol w:w="1240"/>
        <w:gridCol w:w="120"/>
        <w:gridCol w:w="180"/>
        <w:gridCol w:w="1340"/>
        <w:gridCol w:w="20"/>
      </w:tblGrid>
      <w:tr w:rsidR="000728AD">
        <w:trPr>
          <w:trHeight w:val="207"/>
        </w:trPr>
        <w:tc>
          <w:tcPr>
            <w:tcW w:w="8080" w:type="dxa"/>
            <w:gridSpan w:val="2"/>
            <w:vMerge w:val="restart"/>
            <w:vAlign w:val="bottom"/>
          </w:tcPr>
          <w:p w:rsidR="000728AD" w:rsidRDefault="000561BE">
            <w:pPr>
              <w:ind w:left="20"/>
              <w:rPr>
                <w:sz w:val="20"/>
                <w:szCs w:val="20"/>
              </w:rPr>
            </w:pPr>
            <w:r>
              <w:rPr>
                <w:rFonts w:ascii="Arial" w:eastAsia="Arial" w:hAnsi="Arial" w:cs="Arial"/>
                <w:b/>
                <w:bCs/>
                <w:sz w:val="18"/>
                <w:szCs w:val="18"/>
              </w:rPr>
              <w:t>Contractual Maturities</w:t>
            </w:r>
          </w:p>
        </w:tc>
        <w:tc>
          <w:tcPr>
            <w:tcW w:w="280" w:type="dxa"/>
            <w:vAlign w:val="bottom"/>
          </w:tcPr>
          <w:p w:rsidR="000728AD" w:rsidRDefault="000728AD">
            <w:pPr>
              <w:rPr>
                <w:sz w:val="17"/>
                <w:szCs w:val="17"/>
              </w:rPr>
            </w:pPr>
          </w:p>
        </w:tc>
        <w:tc>
          <w:tcPr>
            <w:tcW w:w="1360" w:type="dxa"/>
            <w:gridSpan w:val="2"/>
            <w:vAlign w:val="bottom"/>
          </w:tcPr>
          <w:p w:rsidR="000728AD" w:rsidRDefault="000561BE">
            <w:pPr>
              <w:ind w:left="160"/>
              <w:rPr>
                <w:sz w:val="20"/>
                <w:szCs w:val="20"/>
              </w:rPr>
            </w:pPr>
            <w:r>
              <w:rPr>
                <w:rFonts w:ascii="Arial" w:eastAsia="Arial" w:hAnsi="Arial" w:cs="Arial"/>
                <w:b/>
                <w:bCs/>
                <w:sz w:val="18"/>
                <w:szCs w:val="18"/>
              </w:rPr>
              <w:t>June 30,</w:t>
            </w:r>
          </w:p>
        </w:tc>
        <w:tc>
          <w:tcPr>
            <w:tcW w:w="180" w:type="dxa"/>
            <w:vAlign w:val="bottom"/>
          </w:tcPr>
          <w:p w:rsidR="000728AD" w:rsidRDefault="000728AD">
            <w:pPr>
              <w:rPr>
                <w:sz w:val="17"/>
                <w:szCs w:val="17"/>
              </w:rPr>
            </w:pPr>
          </w:p>
        </w:tc>
        <w:tc>
          <w:tcPr>
            <w:tcW w:w="1340" w:type="dxa"/>
            <w:vAlign w:val="bottom"/>
          </w:tcPr>
          <w:p w:rsidR="000728AD" w:rsidRDefault="000561BE">
            <w:pPr>
              <w:ind w:right="145"/>
              <w:jc w:val="right"/>
              <w:rPr>
                <w:sz w:val="20"/>
                <w:szCs w:val="20"/>
              </w:rPr>
            </w:pPr>
            <w:r>
              <w:rPr>
                <w:rFonts w:ascii="Arial" w:eastAsia="Arial" w:hAnsi="Arial" w:cs="Arial"/>
                <w:b/>
                <w:bCs/>
                <w:w w:val="92"/>
                <w:sz w:val="18"/>
                <w:szCs w:val="18"/>
              </w:rPr>
              <w:t>December 31,</w:t>
            </w:r>
          </w:p>
        </w:tc>
        <w:tc>
          <w:tcPr>
            <w:tcW w:w="0" w:type="dxa"/>
            <w:vAlign w:val="bottom"/>
          </w:tcPr>
          <w:p w:rsidR="000728AD" w:rsidRDefault="000728AD">
            <w:pPr>
              <w:rPr>
                <w:sz w:val="1"/>
                <w:szCs w:val="1"/>
              </w:rPr>
            </w:pPr>
          </w:p>
        </w:tc>
      </w:tr>
      <w:tr w:rsidR="000728AD">
        <w:trPr>
          <w:trHeight w:val="229"/>
        </w:trPr>
        <w:tc>
          <w:tcPr>
            <w:tcW w:w="8080" w:type="dxa"/>
            <w:gridSpan w:val="2"/>
            <w:vMerge/>
            <w:vAlign w:val="bottom"/>
          </w:tcPr>
          <w:p w:rsidR="000728AD" w:rsidRDefault="000728AD">
            <w:pPr>
              <w:rPr>
                <w:sz w:val="19"/>
                <w:szCs w:val="19"/>
              </w:rPr>
            </w:pPr>
          </w:p>
        </w:tc>
        <w:tc>
          <w:tcPr>
            <w:tcW w:w="280" w:type="dxa"/>
            <w:vAlign w:val="bottom"/>
          </w:tcPr>
          <w:p w:rsidR="000728AD" w:rsidRDefault="000728AD">
            <w:pPr>
              <w:rPr>
                <w:sz w:val="19"/>
                <w:szCs w:val="19"/>
              </w:rPr>
            </w:pPr>
          </w:p>
        </w:tc>
        <w:tc>
          <w:tcPr>
            <w:tcW w:w="1240" w:type="dxa"/>
            <w:vAlign w:val="bottom"/>
          </w:tcPr>
          <w:p w:rsidR="000728AD" w:rsidRDefault="000561BE">
            <w:pPr>
              <w:ind w:right="485"/>
              <w:jc w:val="right"/>
              <w:rPr>
                <w:sz w:val="20"/>
                <w:szCs w:val="20"/>
              </w:rPr>
            </w:pPr>
            <w:r>
              <w:rPr>
                <w:rFonts w:ascii="Arial" w:eastAsia="Arial" w:hAnsi="Arial" w:cs="Arial"/>
                <w:b/>
                <w:bCs/>
                <w:sz w:val="18"/>
                <w:szCs w:val="18"/>
              </w:rPr>
              <w:t>2021</w:t>
            </w:r>
          </w:p>
        </w:tc>
        <w:tc>
          <w:tcPr>
            <w:tcW w:w="120" w:type="dxa"/>
            <w:vAlign w:val="bottom"/>
          </w:tcPr>
          <w:p w:rsidR="000728AD" w:rsidRDefault="000728AD">
            <w:pPr>
              <w:rPr>
                <w:sz w:val="19"/>
                <w:szCs w:val="19"/>
              </w:rPr>
            </w:pPr>
          </w:p>
        </w:tc>
        <w:tc>
          <w:tcPr>
            <w:tcW w:w="180" w:type="dxa"/>
            <w:vAlign w:val="bottom"/>
          </w:tcPr>
          <w:p w:rsidR="000728AD" w:rsidRDefault="000728AD">
            <w:pPr>
              <w:rPr>
                <w:sz w:val="19"/>
                <w:szCs w:val="19"/>
              </w:rPr>
            </w:pPr>
          </w:p>
        </w:tc>
        <w:tc>
          <w:tcPr>
            <w:tcW w:w="1340" w:type="dxa"/>
            <w:vAlign w:val="bottom"/>
          </w:tcPr>
          <w:p w:rsidR="000728AD" w:rsidRDefault="000561BE">
            <w:pPr>
              <w:ind w:right="485"/>
              <w:jc w:val="right"/>
              <w:rPr>
                <w:sz w:val="20"/>
                <w:szCs w:val="20"/>
              </w:rPr>
            </w:pPr>
            <w:r>
              <w:rPr>
                <w:rFonts w:ascii="Arial" w:eastAsia="Arial" w:hAnsi="Arial" w:cs="Arial"/>
                <w:b/>
                <w:bCs/>
                <w:sz w:val="18"/>
                <w:szCs w:val="18"/>
              </w:rPr>
              <w:t>2020</w:t>
            </w:r>
          </w:p>
        </w:tc>
        <w:tc>
          <w:tcPr>
            <w:tcW w:w="0" w:type="dxa"/>
            <w:vAlign w:val="bottom"/>
          </w:tcPr>
          <w:p w:rsidR="000728AD" w:rsidRDefault="000728AD">
            <w:pPr>
              <w:rPr>
                <w:sz w:val="1"/>
                <w:szCs w:val="1"/>
              </w:rPr>
            </w:pPr>
          </w:p>
        </w:tc>
      </w:tr>
      <w:tr w:rsidR="000728AD">
        <w:trPr>
          <w:trHeight w:val="237"/>
        </w:trPr>
        <w:tc>
          <w:tcPr>
            <w:tcW w:w="7980" w:type="dxa"/>
            <w:tcBorders>
              <w:top w:val="single" w:sz="8" w:space="0" w:color="auto"/>
            </w:tcBorders>
            <w:shd w:val="clear" w:color="auto" w:fill="CCEEFF"/>
            <w:vAlign w:val="bottom"/>
          </w:tcPr>
          <w:p w:rsidR="000728AD" w:rsidRDefault="000561BE">
            <w:pPr>
              <w:ind w:left="20"/>
              <w:rPr>
                <w:sz w:val="20"/>
                <w:szCs w:val="20"/>
              </w:rPr>
            </w:pPr>
            <w:r>
              <w:rPr>
                <w:rFonts w:ascii="Arial" w:eastAsia="Arial" w:hAnsi="Arial" w:cs="Arial"/>
                <w:sz w:val="20"/>
                <w:szCs w:val="20"/>
              </w:rPr>
              <w:t>Mature in one year or less</w:t>
            </w:r>
          </w:p>
        </w:tc>
        <w:tc>
          <w:tcPr>
            <w:tcW w:w="100" w:type="dxa"/>
            <w:tcBorders>
              <w:top w:val="single" w:sz="8" w:space="0" w:color="CCEEFF"/>
            </w:tcBorders>
            <w:shd w:val="clear" w:color="auto" w:fill="CCEEFF"/>
            <w:vAlign w:val="bottom"/>
          </w:tcPr>
          <w:p w:rsidR="000728AD" w:rsidRDefault="000728AD">
            <w:pPr>
              <w:rPr>
                <w:sz w:val="20"/>
                <w:szCs w:val="20"/>
              </w:rPr>
            </w:pPr>
          </w:p>
        </w:tc>
        <w:tc>
          <w:tcPr>
            <w:tcW w:w="280" w:type="dxa"/>
            <w:tcBorders>
              <w:top w:val="single" w:sz="8" w:space="0" w:color="auto"/>
            </w:tcBorders>
            <w:shd w:val="clear" w:color="auto" w:fill="CCEEFF"/>
            <w:vAlign w:val="bottom"/>
          </w:tcPr>
          <w:p w:rsidR="000728AD" w:rsidRDefault="000561BE">
            <w:pPr>
              <w:ind w:right="61"/>
              <w:jc w:val="right"/>
              <w:rPr>
                <w:sz w:val="20"/>
                <w:szCs w:val="20"/>
              </w:rPr>
            </w:pPr>
            <w:r>
              <w:rPr>
                <w:rFonts w:ascii="Arial" w:eastAsia="Arial" w:hAnsi="Arial" w:cs="Arial"/>
                <w:w w:val="89"/>
                <w:sz w:val="20"/>
                <w:szCs w:val="20"/>
              </w:rPr>
              <w:t>$</w:t>
            </w:r>
          </w:p>
        </w:tc>
        <w:tc>
          <w:tcPr>
            <w:tcW w:w="124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57,725</w:t>
            </w:r>
          </w:p>
        </w:tc>
        <w:tc>
          <w:tcPr>
            <w:tcW w:w="120" w:type="dxa"/>
            <w:tcBorders>
              <w:top w:val="single" w:sz="8" w:space="0" w:color="CCEEFF"/>
            </w:tcBorders>
            <w:shd w:val="clear" w:color="auto" w:fill="CCEEFF"/>
            <w:vAlign w:val="bottom"/>
          </w:tcPr>
          <w:p w:rsidR="000728AD" w:rsidRDefault="000728AD">
            <w:pPr>
              <w:rPr>
                <w:sz w:val="20"/>
                <w:szCs w:val="20"/>
              </w:rPr>
            </w:pPr>
          </w:p>
        </w:tc>
        <w:tc>
          <w:tcPr>
            <w:tcW w:w="18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w w:val="89"/>
                <w:sz w:val="20"/>
                <w:szCs w:val="20"/>
              </w:rPr>
              <w:t>$</w:t>
            </w:r>
          </w:p>
        </w:tc>
        <w:tc>
          <w:tcPr>
            <w:tcW w:w="134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86,338</w:t>
            </w:r>
          </w:p>
        </w:tc>
        <w:tc>
          <w:tcPr>
            <w:tcW w:w="0" w:type="dxa"/>
            <w:vAlign w:val="bottom"/>
          </w:tcPr>
          <w:p w:rsidR="000728AD" w:rsidRDefault="000728AD">
            <w:pPr>
              <w:rPr>
                <w:sz w:val="1"/>
                <w:szCs w:val="1"/>
              </w:rPr>
            </w:pPr>
          </w:p>
        </w:tc>
      </w:tr>
      <w:tr w:rsidR="000728AD">
        <w:trPr>
          <w:trHeight w:val="243"/>
        </w:trPr>
        <w:tc>
          <w:tcPr>
            <w:tcW w:w="8080" w:type="dxa"/>
            <w:gridSpan w:val="2"/>
            <w:tcBorders>
              <w:bottom w:val="single" w:sz="8" w:space="0" w:color="CCEEFF"/>
            </w:tcBorders>
            <w:vAlign w:val="bottom"/>
          </w:tcPr>
          <w:p w:rsidR="000728AD" w:rsidRDefault="000561BE">
            <w:pPr>
              <w:ind w:left="20"/>
              <w:rPr>
                <w:sz w:val="20"/>
                <w:szCs w:val="20"/>
              </w:rPr>
            </w:pPr>
            <w:r>
              <w:rPr>
                <w:rFonts w:ascii="Arial" w:eastAsia="Arial" w:hAnsi="Arial" w:cs="Arial"/>
                <w:sz w:val="20"/>
                <w:szCs w:val="20"/>
              </w:rPr>
              <w:t>Mature in two years or less</w:t>
            </w:r>
          </w:p>
        </w:tc>
        <w:tc>
          <w:tcPr>
            <w:tcW w:w="280" w:type="dxa"/>
            <w:tcBorders>
              <w:bottom w:val="single" w:sz="8" w:space="0" w:color="auto"/>
            </w:tcBorders>
            <w:vAlign w:val="bottom"/>
          </w:tcPr>
          <w:p w:rsidR="000728AD" w:rsidRDefault="000728AD">
            <w:pPr>
              <w:rPr>
                <w:sz w:val="21"/>
                <w:szCs w:val="21"/>
              </w:rPr>
            </w:pPr>
          </w:p>
        </w:tc>
        <w:tc>
          <w:tcPr>
            <w:tcW w:w="124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18,718</w:t>
            </w:r>
          </w:p>
        </w:tc>
        <w:tc>
          <w:tcPr>
            <w:tcW w:w="120" w:type="dxa"/>
            <w:tcBorders>
              <w:bottom w:val="single" w:sz="8" w:space="0" w:color="CCEEFF"/>
            </w:tcBorders>
            <w:vAlign w:val="bottom"/>
          </w:tcPr>
          <w:p w:rsidR="000728AD" w:rsidRDefault="000728AD">
            <w:pPr>
              <w:rPr>
                <w:sz w:val="21"/>
                <w:szCs w:val="21"/>
              </w:rPr>
            </w:pPr>
          </w:p>
        </w:tc>
        <w:tc>
          <w:tcPr>
            <w:tcW w:w="180" w:type="dxa"/>
            <w:tcBorders>
              <w:bottom w:val="single" w:sz="8" w:space="0" w:color="auto"/>
            </w:tcBorders>
            <w:vAlign w:val="bottom"/>
          </w:tcPr>
          <w:p w:rsidR="000728AD" w:rsidRDefault="000728AD">
            <w:pPr>
              <w:rPr>
                <w:sz w:val="21"/>
                <w:szCs w:val="21"/>
              </w:rPr>
            </w:pPr>
          </w:p>
        </w:tc>
        <w:tc>
          <w:tcPr>
            <w:tcW w:w="134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18,519</w:t>
            </w:r>
          </w:p>
        </w:tc>
        <w:tc>
          <w:tcPr>
            <w:tcW w:w="0" w:type="dxa"/>
            <w:vAlign w:val="bottom"/>
          </w:tcPr>
          <w:p w:rsidR="000728AD" w:rsidRDefault="000728AD">
            <w:pPr>
              <w:rPr>
                <w:sz w:val="1"/>
                <w:szCs w:val="1"/>
              </w:rPr>
            </w:pPr>
          </w:p>
        </w:tc>
      </w:tr>
      <w:tr w:rsidR="000728AD">
        <w:trPr>
          <w:trHeight w:val="262"/>
        </w:trPr>
        <w:tc>
          <w:tcPr>
            <w:tcW w:w="8080" w:type="dxa"/>
            <w:gridSpan w:val="2"/>
            <w:tcBorders>
              <w:bottom w:val="single" w:sz="8" w:space="0" w:color="CCEEFF"/>
            </w:tcBorders>
            <w:shd w:val="clear" w:color="auto" w:fill="CCEEFF"/>
            <w:vAlign w:val="bottom"/>
          </w:tcPr>
          <w:p w:rsidR="000728AD" w:rsidRDefault="000561BE">
            <w:pPr>
              <w:ind w:left="20"/>
              <w:rPr>
                <w:sz w:val="20"/>
                <w:szCs w:val="20"/>
              </w:rPr>
            </w:pPr>
            <w:r>
              <w:rPr>
                <w:rFonts w:ascii="Arial" w:eastAsia="Arial" w:hAnsi="Arial" w:cs="Arial"/>
                <w:sz w:val="20"/>
                <w:szCs w:val="20"/>
              </w:rPr>
              <w:t>Total</w:t>
            </w:r>
          </w:p>
        </w:tc>
        <w:tc>
          <w:tcPr>
            <w:tcW w:w="280" w:type="dxa"/>
            <w:tcBorders>
              <w:bottom w:val="single" w:sz="8" w:space="0" w:color="auto"/>
            </w:tcBorders>
            <w:shd w:val="clear" w:color="auto" w:fill="CCEEFF"/>
            <w:vAlign w:val="bottom"/>
          </w:tcPr>
          <w:p w:rsidR="000728AD" w:rsidRDefault="000561BE">
            <w:pPr>
              <w:ind w:right="61"/>
              <w:jc w:val="right"/>
              <w:rPr>
                <w:sz w:val="20"/>
                <w:szCs w:val="20"/>
              </w:rPr>
            </w:pPr>
            <w:r>
              <w:rPr>
                <w:rFonts w:ascii="Arial" w:eastAsia="Arial" w:hAnsi="Arial" w:cs="Arial"/>
                <w:w w:val="89"/>
                <w:sz w:val="20"/>
                <w:szCs w:val="20"/>
              </w:rPr>
              <w:t>$</w:t>
            </w:r>
          </w:p>
        </w:tc>
        <w:tc>
          <w:tcPr>
            <w:tcW w:w="124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76,443</w:t>
            </w:r>
          </w:p>
        </w:tc>
        <w:tc>
          <w:tcPr>
            <w:tcW w:w="120" w:type="dxa"/>
            <w:tcBorders>
              <w:bottom w:val="single" w:sz="8" w:space="0" w:color="CCEEFF"/>
            </w:tcBorders>
            <w:shd w:val="clear" w:color="auto" w:fill="CCEEFF"/>
            <w:vAlign w:val="bottom"/>
          </w:tcPr>
          <w:p w:rsidR="000728AD" w:rsidRDefault="000728AD"/>
        </w:tc>
        <w:tc>
          <w:tcPr>
            <w:tcW w:w="18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w w:val="89"/>
                <w:sz w:val="20"/>
                <w:szCs w:val="20"/>
              </w:rPr>
              <w:t>$</w:t>
            </w:r>
          </w:p>
        </w:tc>
        <w:tc>
          <w:tcPr>
            <w:tcW w:w="134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104,857</w:t>
            </w:r>
          </w:p>
        </w:tc>
        <w:tc>
          <w:tcPr>
            <w:tcW w:w="0" w:type="dxa"/>
            <w:vAlign w:val="bottom"/>
          </w:tcPr>
          <w:p w:rsidR="000728AD" w:rsidRDefault="000728AD">
            <w:pPr>
              <w:rPr>
                <w:sz w:val="1"/>
                <w:szCs w:val="1"/>
              </w:rPr>
            </w:pPr>
          </w:p>
        </w:tc>
      </w:tr>
      <w:tr w:rsidR="000728AD">
        <w:trPr>
          <w:trHeight w:val="20"/>
        </w:trPr>
        <w:tc>
          <w:tcPr>
            <w:tcW w:w="7980" w:type="dxa"/>
            <w:tcBorders>
              <w:top w:val="single" w:sz="8" w:space="0" w:color="CCEEFF"/>
            </w:tcBorders>
            <w:vAlign w:val="bottom"/>
          </w:tcPr>
          <w:p w:rsidR="000728AD" w:rsidRDefault="000728AD">
            <w:pPr>
              <w:spacing w:line="20" w:lineRule="exact"/>
              <w:rPr>
                <w:sz w:val="1"/>
                <w:szCs w:val="1"/>
              </w:rPr>
            </w:pPr>
          </w:p>
        </w:tc>
        <w:tc>
          <w:tcPr>
            <w:tcW w:w="100" w:type="dxa"/>
            <w:tcBorders>
              <w:top w:val="single" w:sz="8" w:space="0" w:color="CCEEFF"/>
            </w:tcBorders>
            <w:vAlign w:val="bottom"/>
          </w:tcPr>
          <w:p w:rsidR="000728AD" w:rsidRDefault="000728AD">
            <w:pPr>
              <w:spacing w:line="20" w:lineRule="exact"/>
              <w:rPr>
                <w:sz w:val="1"/>
                <w:szCs w:val="1"/>
              </w:rPr>
            </w:pPr>
          </w:p>
        </w:tc>
        <w:tc>
          <w:tcPr>
            <w:tcW w:w="28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24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20" w:type="dxa"/>
            <w:tcBorders>
              <w:top w:val="single" w:sz="8" w:space="0" w:color="CCEEFF"/>
            </w:tcBorders>
            <w:vAlign w:val="bottom"/>
          </w:tcPr>
          <w:p w:rsidR="000728AD" w:rsidRDefault="000728AD">
            <w:pPr>
              <w:spacing w:line="20" w:lineRule="exact"/>
              <w:rPr>
                <w:sz w:val="1"/>
                <w:szCs w:val="1"/>
              </w:rPr>
            </w:pPr>
          </w:p>
        </w:tc>
        <w:tc>
          <w:tcPr>
            <w:tcW w:w="18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34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0" w:type="dxa"/>
            <w:vAlign w:val="bottom"/>
          </w:tcPr>
          <w:p w:rsidR="000728AD" w:rsidRDefault="000728AD">
            <w:pPr>
              <w:spacing w:line="20" w:lineRule="exact"/>
              <w:rPr>
                <w:sz w:val="1"/>
                <w:szCs w:val="1"/>
              </w:rPr>
            </w:pPr>
          </w:p>
        </w:tc>
      </w:tr>
    </w:tbl>
    <w:p w:rsidR="000728AD" w:rsidRDefault="000728AD">
      <w:pPr>
        <w:spacing w:line="294" w:lineRule="exact"/>
        <w:rPr>
          <w:sz w:val="20"/>
          <w:szCs w:val="20"/>
        </w:rPr>
      </w:pPr>
    </w:p>
    <w:p w:rsidR="000728AD" w:rsidRDefault="000561BE">
      <w:pPr>
        <w:spacing w:line="246" w:lineRule="auto"/>
        <w:ind w:right="340"/>
        <w:rPr>
          <w:sz w:val="20"/>
          <w:szCs w:val="20"/>
        </w:rPr>
      </w:pPr>
      <w:r>
        <w:rPr>
          <w:rFonts w:ascii="Arial" w:eastAsia="Arial" w:hAnsi="Arial" w:cs="Arial"/>
          <w:sz w:val="20"/>
          <w:szCs w:val="20"/>
        </w:rPr>
        <w:t xml:space="preserve">Marketable securities with maturities beyond one year </w:t>
      </w:r>
      <w:r>
        <w:rPr>
          <w:rFonts w:ascii="Arial" w:eastAsia="Arial" w:hAnsi="Arial" w:cs="Arial"/>
          <w:sz w:val="20"/>
          <w:szCs w:val="20"/>
        </w:rPr>
        <w:t>are classified as short-term marketable securities in the condensed consolidated balance sheets due to their highly liquid nature and because they represent the Company’s investments that are available for current operations. All cash equivalents mature wi</w:t>
      </w:r>
      <w:r>
        <w:rPr>
          <w:rFonts w:ascii="Arial" w:eastAsia="Arial" w:hAnsi="Arial" w:cs="Arial"/>
          <w:sz w:val="20"/>
          <w:szCs w:val="20"/>
        </w:rPr>
        <w:t>thin three months or less. Operating cash of $2.5 million is excluded from the above table as of June 30, 2021 and December 31, 2020.</w:t>
      </w:r>
    </w:p>
    <w:p w:rsidR="000728AD" w:rsidRDefault="000728AD">
      <w:pPr>
        <w:spacing w:line="191" w:lineRule="exact"/>
        <w:rPr>
          <w:sz w:val="20"/>
          <w:szCs w:val="20"/>
        </w:rPr>
      </w:pPr>
    </w:p>
    <w:p w:rsidR="000728AD" w:rsidRDefault="000561BE">
      <w:pPr>
        <w:spacing w:line="287" w:lineRule="auto"/>
        <w:ind w:right="400"/>
        <w:rPr>
          <w:sz w:val="20"/>
          <w:szCs w:val="20"/>
        </w:rPr>
      </w:pPr>
      <w:r>
        <w:rPr>
          <w:rFonts w:ascii="Arial" w:eastAsia="Arial" w:hAnsi="Arial" w:cs="Arial"/>
          <w:sz w:val="19"/>
          <w:szCs w:val="19"/>
        </w:rPr>
        <w:t>There were no sales of our marketable securities during the three and six months ended June 30, 2021. No such sales occur</w:t>
      </w:r>
      <w:r>
        <w:rPr>
          <w:rFonts w:ascii="Arial" w:eastAsia="Arial" w:hAnsi="Arial" w:cs="Arial"/>
          <w:sz w:val="19"/>
          <w:szCs w:val="19"/>
        </w:rPr>
        <w:t>red during the three and six months ended June 30, 2020 as the Company did not have marketable securities during this period.</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49" w:lineRule="exact"/>
        <w:rPr>
          <w:sz w:val="20"/>
          <w:szCs w:val="20"/>
        </w:rPr>
      </w:pPr>
    </w:p>
    <w:p w:rsidR="000728AD" w:rsidRDefault="000561BE">
      <w:pPr>
        <w:jc w:val="center"/>
        <w:rPr>
          <w:sz w:val="20"/>
          <w:szCs w:val="20"/>
        </w:rPr>
      </w:pPr>
      <w:r>
        <w:rPr>
          <w:rFonts w:ascii="Arial" w:eastAsia="Arial" w:hAnsi="Arial" w:cs="Arial"/>
          <w:sz w:val="18"/>
          <w:szCs w:val="18"/>
        </w:rPr>
        <w:t>15</w:t>
      </w:r>
    </w:p>
    <w:p w:rsidR="000728AD" w:rsidRDefault="000561BE">
      <w:pPr>
        <w:spacing w:line="20" w:lineRule="exact"/>
        <w:rPr>
          <w:sz w:val="20"/>
          <w:szCs w:val="20"/>
        </w:rPr>
      </w:pPr>
      <w:r>
        <w:rPr>
          <w:noProof/>
          <w:sz w:val="20"/>
          <w:szCs w:val="20"/>
        </w:rPr>
        <w:drawing>
          <wp:anchor distT="0" distB="0" distL="114300" distR="114300" simplePos="0" relativeHeight="251620352"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16" w:name="page16"/>
    <w:bookmarkEnd w:id="16"/>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395" w:lineRule="exact"/>
        <w:rPr>
          <w:sz w:val="20"/>
          <w:szCs w:val="20"/>
        </w:rPr>
      </w:pPr>
    </w:p>
    <w:p w:rsidR="000728AD" w:rsidRDefault="000561BE">
      <w:pPr>
        <w:rPr>
          <w:sz w:val="20"/>
          <w:szCs w:val="20"/>
        </w:rPr>
      </w:pPr>
      <w:r>
        <w:rPr>
          <w:rFonts w:ascii="Arial" w:eastAsia="Arial" w:hAnsi="Arial" w:cs="Arial"/>
          <w:b/>
          <w:bCs/>
          <w:sz w:val="20"/>
          <w:szCs w:val="20"/>
        </w:rPr>
        <w:t>5. PROPERTY AND EQUIPMENT</w:t>
      </w:r>
    </w:p>
    <w:p w:rsidR="000728AD" w:rsidRDefault="000728AD">
      <w:pPr>
        <w:spacing w:line="222" w:lineRule="exact"/>
        <w:rPr>
          <w:sz w:val="20"/>
          <w:szCs w:val="20"/>
        </w:rPr>
      </w:pPr>
    </w:p>
    <w:p w:rsidR="000728AD" w:rsidRDefault="000561BE">
      <w:pPr>
        <w:rPr>
          <w:sz w:val="20"/>
          <w:szCs w:val="20"/>
        </w:rPr>
      </w:pPr>
      <w:r>
        <w:rPr>
          <w:rFonts w:ascii="Arial" w:eastAsia="Arial" w:hAnsi="Arial" w:cs="Arial"/>
          <w:sz w:val="20"/>
          <w:szCs w:val="20"/>
        </w:rPr>
        <w:t xml:space="preserve">Property and </w:t>
      </w:r>
      <w:r>
        <w:rPr>
          <w:rFonts w:ascii="Arial" w:eastAsia="Arial" w:hAnsi="Arial" w:cs="Arial"/>
          <w:sz w:val="20"/>
          <w:szCs w:val="20"/>
        </w:rPr>
        <w:t>equipment consist of the following (in thousands):</w:t>
      </w:r>
    </w:p>
    <w:p w:rsidR="000728AD" w:rsidRDefault="000728AD">
      <w:pPr>
        <w:spacing w:line="22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80"/>
        <w:gridCol w:w="280"/>
        <w:gridCol w:w="1240"/>
        <w:gridCol w:w="120"/>
        <w:gridCol w:w="180"/>
        <w:gridCol w:w="1340"/>
      </w:tblGrid>
      <w:tr w:rsidR="000728AD">
        <w:trPr>
          <w:trHeight w:val="207"/>
        </w:trPr>
        <w:tc>
          <w:tcPr>
            <w:tcW w:w="8080" w:type="dxa"/>
            <w:vAlign w:val="bottom"/>
          </w:tcPr>
          <w:p w:rsidR="000728AD" w:rsidRDefault="000728AD">
            <w:pPr>
              <w:rPr>
                <w:sz w:val="17"/>
                <w:szCs w:val="17"/>
              </w:rPr>
            </w:pPr>
          </w:p>
        </w:tc>
        <w:tc>
          <w:tcPr>
            <w:tcW w:w="280" w:type="dxa"/>
            <w:vAlign w:val="bottom"/>
          </w:tcPr>
          <w:p w:rsidR="000728AD" w:rsidRDefault="000728AD">
            <w:pPr>
              <w:rPr>
                <w:sz w:val="17"/>
                <w:szCs w:val="17"/>
              </w:rPr>
            </w:pPr>
          </w:p>
        </w:tc>
        <w:tc>
          <w:tcPr>
            <w:tcW w:w="1360" w:type="dxa"/>
            <w:gridSpan w:val="2"/>
            <w:vAlign w:val="bottom"/>
          </w:tcPr>
          <w:p w:rsidR="000728AD" w:rsidRDefault="000561BE">
            <w:pPr>
              <w:ind w:left="160"/>
              <w:rPr>
                <w:sz w:val="20"/>
                <w:szCs w:val="20"/>
              </w:rPr>
            </w:pPr>
            <w:r>
              <w:rPr>
                <w:rFonts w:ascii="Arial" w:eastAsia="Arial" w:hAnsi="Arial" w:cs="Arial"/>
                <w:b/>
                <w:bCs/>
                <w:sz w:val="18"/>
                <w:szCs w:val="18"/>
              </w:rPr>
              <w:t>June 30,</w:t>
            </w:r>
          </w:p>
        </w:tc>
        <w:tc>
          <w:tcPr>
            <w:tcW w:w="180" w:type="dxa"/>
            <w:vAlign w:val="bottom"/>
          </w:tcPr>
          <w:p w:rsidR="000728AD" w:rsidRDefault="000728AD">
            <w:pPr>
              <w:rPr>
                <w:sz w:val="17"/>
                <w:szCs w:val="17"/>
              </w:rPr>
            </w:pPr>
          </w:p>
        </w:tc>
        <w:tc>
          <w:tcPr>
            <w:tcW w:w="1340" w:type="dxa"/>
            <w:vAlign w:val="bottom"/>
          </w:tcPr>
          <w:p w:rsidR="000728AD" w:rsidRDefault="000561BE">
            <w:pPr>
              <w:ind w:right="143"/>
              <w:jc w:val="right"/>
              <w:rPr>
                <w:sz w:val="20"/>
                <w:szCs w:val="20"/>
              </w:rPr>
            </w:pPr>
            <w:r>
              <w:rPr>
                <w:rFonts w:ascii="Arial" w:eastAsia="Arial" w:hAnsi="Arial" w:cs="Arial"/>
                <w:b/>
                <w:bCs/>
                <w:w w:val="92"/>
                <w:sz w:val="18"/>
                <w:szCs w:val="18"/>
              </w:rPr>
              <w:t>December 31,</w:t>
            </w:r>
          </w:p>
        </w:tc>
      </w:tr>
      <w:tr w:rsidR="000728AD">
        <w:trPr>
          <w:trHeight w:val="229"/>
        </w:trPr>
        <w:tc>
          <w:tcPr>
            <w:tcW w:w="8080" w:type="dxa"/>
            <w:tcBorders>
              <w:bottom w:val="single" w:sz="8" w:space="0" w:color="CCEEFF"/>
            </w:tcBorders>
            <w:vAlign w:val="bottom"/>
          </w:tcPr>
          <w:p w:rsidR="000728AD" w:rsidRDefault="000728AD">
            <w:pPr>
              <w:rPr>
                <w:sz w:val="19"/>
                <w:szCs w:val="19"/>
              </w:rPr>
            </w:pPr>
          </w:p>
        </w:tc>
        <w:tc>
          <w:tcPr>
            <w:tcW w:w="280" w:type="dxa"/>
            <w:tcBorders>
              <w:bottom w:val="single" w:sz="8" w:space="0" w:color="auto"/>
            </w:tcBorders>
            <w:vAlign w:val="bottom"/>
          </w:tcPr>
          <w:p w:rsidR="000728AD" w:rsidRDefault="000728AD">
            <w:pPr>
              <w:rPr>
                <w:sz w:val="19"/>
                <w:szCs w:val="19"/>
              </w:rPr>
            </w:pPr>
          </w:p>
        </w:tc>
        <w:tc>
          <w:tcPr>
            <w:tcW w:w="1240" w:type="dxa"/>
            <w:tcBorders>
              <w:bottom w:val="single" w:sz="8" w:space="0" w:color="auto"/>
            </w:tcBorders>
            <w:vAlign w:val="bottom"/>
          </w:tcPr>
          <w:p w:rsidR="000728AD" w:rsidRDefault="000561BE">
            <w:pPr>
              <w:ind w:right="483"/>
              <w:jc w:val="right"/>
              <w:rPr>
                <w:sz w:val="20"/>
                <w:szCs w:val="20"/>
              </w:rPr>
            </w:pPr>
            <w:r>
              <w:rPr>
                <w:rFonts w:ascii="Arial" w:eastAsia="Arial" w:hAnsi="Arial" w:cs="Arial"/>
                <w:b/>
                <w:bCs/>
                <w:sz w:val="18"/>
                <w:szCs w:val="18"/>
              </w:rPr>
              <w:t>2021</w:t>
            </w:r>
          </w:p>
        </w:tc>
        <w:tc>
          <w:tcPr>
            <w:tcW w:w="120" w:type="dxa"/>
            <w:tcBorders>
              <w:bottom w:val="single" w:sz="8" w:space="0" w:color="CCEEFF"/>
            </w:tcBorders>
            <w:vAlign w:val="bottom"/>
          </w:tcPr>
          <w:p w:rsidR="000728AD" w:rsidRDefault="000728AD">
            <w:pPr>
              <w:rPr>
                <w:sz w:val="19"/>
                <w:szCs w:val="19"/>
              </w:rPr>
            </w:pPr>
          </w:p>
        </w:tc>
        <w:tc>
          <w:tcPr>
            <w:tcW w:w="180" w:type="dxa"/>
            <w:tcBorders>
              <w:bottom w:val="single" w:sz="8" w:space="0" w:color="auto"/>
            </w:tcBorders>
            <w:vAlign w:val="bottom"/>
          </w:tcPr>
          <w:p w:rsidR="000728AD" w:rsidRDefault="000728AD">
            <w:pPr>
              <w:rPr>
                <w:sz w:val="19"/>
                <w:szCs w:val="19"/>
              </w:rPr>
            </w:pPr>
          </w:p>
        </w:tc>
        <w:tc>
          <w:tcPr>
            <w:tcW w:w="1340" w:type="dxa"/>
            <w:tcBorders>
              <w:bottom w:val="single" w:sz="8" w:space="0" w:color="auto"/>
            </w:tcBorders>
            <w:vAlign w:val="bottom"/>
          </w:tcPr>
          <w:p w:rsidR="000728AD" w:rsidRDefault="000561BE">
            <w:pPr>
              <w:ind w:right="483"/>
              <w:jc w:val="right"/>
              <w:rPr>
                <w:sz w:val="20"/>
                <w:szCs w:val="20"/>
              </w:rPr>
            </w:pPr>
            <w:r>
              <w:rPr>
                <w:rFonts w:ascii="Arial" w:eastAsia="Arial" w:hAnsi="Arial" w:cs="Arial"/>
                <w:b/>
                <w:bCs/>
                <w:sz w:val="18"/>
                <w:szCs w:val="18"/>
              </w:rPr>
              <w:t>2020</w:t>
            </w:r>
          </w:p>
        </w:tc>
      </w:tr>
      <w:tr w:rsidR="000728AD">
        <w:trPr>
          <w:trHeight w:val="237"/>
        </w:trPr>
        <w:tc>
          <w:tcPr>
            <w:tcW w:w="8080" w:type="dxa"/>
            <w:shd w:val="clear" w:color="auto" w:fill="CCEEFF"/>
            <w:vAlign w:val="bottom"/>
          </w:tcPr>
          <w:p w:rsidR="000728AD" w:rsidRDefault="000561BE">
            <w:pPr>
              <w:ind w:left="20"/>
              <w:rPr>
                <w:sz w:val="20"/>
                <w:szCs w:val="20"/>
              </w:rPr>
            </w:pPr>
            <w:r>
              <w:rPr>
                <w:rFonts w:ascii="Arial" w:eastAsia="Arial" w:hAnsi="Arial" w:cs="Arial"/>
                <w:sz w:val="20"/>
                <w:szCs w:val="20"/>
              </w:rPr>
              <w:t>Laboratory equipment</w:t>
            </w:r>
          </w:p>
        </w:tc>
        <w:tc>
          <w:tcPr>
            <w:tcW w:w="280" w:type="dxa"/>
            <w:shd w:val="clear" w:color="auto" w:fill="CCEEFF"/>
            <w:vAlign w:val="bottom"/>
          </w:tcPr>
          <w:p w:rsidR="000728AD" w:rsidRDefault="000561BE">
            <w:pPr>
              <w:ind w:right="61"/>
              <w:jc w:val="right"/>
              <w:rPr>
                <w:sz w:val="20"/>
                <w:szCs w:val="20"/>
              </w:rPr>
            </w:pPr>
            <w:r>
              <w:rPr>
                <w:rFonts w:ascii="Arial" w:eastAsia="Arial" w:hAnsi="Arial" w:cs="Arial"/>
                <w:w w:val="89"/>
                <w:sz w:val="20"/>
                <w:szCs w:val="20"/>
              </w:rPr>
              <w:t>$</w:t>
            </w:r>
          </w:p>
        </w:tc>
        <w:tc>
          <w:tcPr>
            <w:tcW w:w="1240" w:type="dxa"/>
            <w:shd w:val="clear" w:color="auto" w:fill="CCEEFF"/>
            <w:vAlign w:val="bottom"/>
          </w:tcPr>
          <w:p w:rsidR="000728AD" w:rsidRDefault="000561BE">
            <w:pPr>
              <w:jc w:val="right"/>
              <w:rPr>
                <w:sz w:val="20"/>
                <w:szCs w:val="20"/>
              </w:rPr>
            </w:pPr>
            <w:r>
              <w:rPr>
                <w:rFonts w:ascii="Arial" w:eastAsia="Arial" w:hAnsi="Arial" w:cs="Arial"/>
                <w:sz w:val="20"/>
                <w:szCs w:val="20"/>
              </w:rPr>
              <w:t>3,418</w:t>
            </w:r>
          </w:p>
        </w:tc>
        <w:tc>
          <w:tcPr>
            <w:tcW w:w="120" w:type="dxa"/>
            <w:shd w:val="clear" w:color="auto" w:fill="CCEEFF"/>
            <w:vAlign w:val="bottom"/>
          </w:tcPr>
          <w:p w:rsidR="000728AD" w:rsidRDefault="000728AD">
            <w:pPr>
              <w:rPr>
                <w:sz w:val="20"/>
                <w:szCs w:val="20"/>
              </w:rPr>
            </w:pPr>
          </w:p>
        </w:tc>
        <w:tc>
          <w:tcPr>
            <w:tcW w:w="180" w:type="dxa"/>
            <w:shd w:val="clear" w:color="auto" w:fill="CCEEFF"/>
            <w:vAlign w:val="bottom"/>
          </w:tcPr>
          <w:p w:rsidR="000728AD" w:rsidRDefault="000561BE">
            <w:pPr>
              <w:jc w:val="right"/>
              <w:rPr>
                <w:sz w:val="20"/>
                <w:szCs w:val="20"/>
              </w:rPr>
            </w:pPr>
            <w:r>
              <w:rPr>
                <w:rFonts w:ascii="Arial" w:eastAsia="Arial" w:hAnsi="Arial" w:cs="Arial"/>
                <w:w w:val="89"/>
                <w:sz w:val="20"/>
                <w:szCs w:val="20"/>
              </w:rPr>
              <w:t>$</w:t>
            </w:r>
          </w:p>
        </w:tc>
        <w:tc>
          <w:tcPr>
            <w:tcW w:w="1340" w:type="dxa"/>
            <w:shd w:val="clear" w:color="auto" w:fill="CCEEFF"/>
            <w:vAlign w:val="bottom"/>
          </w:tcPr>
          <w:p w:rsidR="000728AD" w:rsidRDefault="000561BE">
            <w:pPr>
              <w:jc w:val="right"/>
              <w:rPr>
                <w:sz w:val="20"/>
                <w:szCs w:val="20"/>
              </w:rPr>
            </w:pPr>
            <w:r>
              <w:rPr>
                <w:rFonts w:ascii="Arial" w:eastAsia="Arial" w:hAnsi="Arial" w:cs="Arial"/>
                <w:sz w:val="20"/>
                <w:szCs w:val="20"/>
              </w:rPr>
              <w:t>3,022</w:t>
            </w:r>
          </w:p>
        </w:tc>
      </w:tr>
      <w:tr w:rsidR="000728AD">
        <w:trPr>
          <w:trHeight w:val="243"/>
        </w:trPr>
        <w:tc>
          <w:tcPr>
            <w:tcW w:w="8080" w:type="dxa"/>
            <w:vAlign w:val="bottom"/>
          </w:tcPr>
          <w:p w:rsidR="000728AD" w:rsidRDefault="000561BE">
            <w:pPr>
              <w:ind w:left="20"/>
              <w:rPr>
                <w:sz w:val="20"/>
                <w:szCs w:val="20"/>
              </w:rPr>
            </w:pPr>
            <w:r>
              <w:rPr>
                <w:rFonts w:ascii="Arial" w:eastAsia="Arial" w:hAnsi="Arial" w:cs="Arial"/>
                <w:sz w:val="20"/>
                <w:szCs w:val="20"/>
              </w:rPr>
              <w:t>Leasehold improvements</w:t>
            </w:r>
          </w:p>
        </w:tc>
        <w:tc>
          <w:tcPr>
            <w:tcW w:w="280" w:type="dxa"/>
            <w:vAlign w:val="bottom"/>
          </w:tcPr>
          <w:p w:rsidR="000728AD" w:rsidRDefault="000728AD">
            <w:pPr>
              <w:rPr>
                <w:sz w:val="21"/>
                <w:szCs w:val="21"/>
              </w:rPr>
            </w:pPr>
          </w:p>
        </w:tc>
        <w:tc>
          <w:tcPr>
            <w:tcW w:w="1240" w:type="dxa"/>
            <w:vAlign w:val="bottom"/>
          </w:tcPr>
          <w:p w:rsidR="000728AD" w:rsidRDefault="000561BE">
            <w:pPr>
              <w:jc w:val="right"/>
              <w:rPr>
                <w:sz w:val="20"/>
                <w:szCs w:val="20"/>
              </w:rPr>
            </w:pPr>
            <w:r>
              <w:rPr>
                <w:rFonts w:ascii="Arial" w:eastAsia="Arial" w:hAnsi="Arial" w:cs="Arial"/>
                <w:sz w:val="20"/>
                <w:szCs w:val="20"/>
              </w:rPr>
              <w:t>564</w:t>
            </w:r>
          </w:p>
        </w:tc>
        <w:tc>
          <w:tcPr>
            <w:tcW w:w="120" w:type="dxa"/>
            <w:vAlign w:val="bottom"/>
          </w:tcPr>
          <w:p w:rsidR="000728AD" w:rsidRDefault="000728AD">
            <w:pPr>
              <w:rPr>
                <w:sz w:val="21"/>
                <w:szCs w:val="21"/>
              </w:rPr>
            </w:pPr>
          </w:p>
        </w:tc>
        <w:tc>
          <w:tcPr>
            <w:tcW w:w="180" w:type="dxa"/>
            <w:vAlign w:val="bottom"/>
          </w:tcPr>
          <w:p w:rsidR="000728AD" w:rsidRDefault="000728AD">
            <w:pPr>
              <w:rPr>
                <w:sz w:val="21"/>
                <w:szCs w:val="21"/>
              </w:rPr>
            </w:pPr>
          </w:p>
        </w:tc>
        <w:tc>
          <w:tcPr>
            <w:tcW w:w="1340" w:type="dxa"/>
            <w:vAlign w:val="bottom"/>
          </w:tcPr>
          <w:p w:rsidR="000728AD" w:rsidRDefault="000561BE">
            <w:pPr>
              <w:jc w:val="right"/>
              <w:rPr>
                <w:sz w:val="20"/>
                <w:szCs w:val="20"/>
              </w:rPr>
            </w:pPr>
            <w:r>
              <w:rPr>
                <w:rFonts w:ascii="Arial" w:eastAsia="Arial" w:hAnsi="Arial" w:cs="Arial"/>
                <w:sz w:val="20"/>
                <w:szCs w:val="20"/>
              </w:rPr>
              <w:t>564</w:t>
            </w:r>
          </w:p>
        </w:tc>
      </w:tr>
      <w:tr w:rsidR="000728AD">
        <w:trPr>
          <w:trHeight w:val="243"/>
        </w:trPr>
        <w:tc>
          <w:tcPr>
            <w:tcW w:w="8080" w:type="dxa"/>
            <w:shd w:val="clear" w:color="auto" w:fill="CCEEFF"/>
            <w:vAlign w:val="bottom"/>
          </w:tcPr>
          <w:p w:rsidR="000728AD" w:rsidRDefault="000561BE">
            <w:pPr>
              <w:ind w:left="20"/>
              <w:rPr>
                <w:sz w:val="20"/>
                <w:szCs w:val="20"/>
              </w:rPr>
            </w:pPr>
            <w:r>
              <w:rPr>
                <w:rFonts w:ascii="Arial" w:eastAsia="Arial" w:hAnsi="Arial" w:cs="Arial"/>
                <w:sz w:val="20"/>
                <w:szCs w:val="20"/>
              </w:rPr>
              <w:t>Office and computer equipment</w:t>
            </w:r>
          </w:p>
        </w:tc>
        <w:tc>
          <w:tcPr>
            <w:tcW w:w="280" w:type="dxa"/>
            <w:shd w:val="clear" w:color="auto" w:fill="CCEEFF"/>
            <w:vAlign w:val="bottom"/>
          </w:tcPr>
          <w:p w:rsidR="000728AD" w:rsidRDefault="000728AD">
            <w:pPr>
              <w:rPr>
                <w:sz w:val="21"/>
                <w:szCs w:val="21"/>
              </w:rPr>
            </w:pPr>
          </w:p>
        </w:tc>
        <w:tc>
          <w:tcPr>
            <w:tcW w:w="1240" w:type="dxa"/>
            <w:shd w:val="clear" w:color="auto" w:fill="CCEEFF"/>
            <w:vAlign w:val="bottom"/>
          </w:tcPr>
          <w:p w:rsidR="000728AD" w:rsidRDefault="000561BE">
            <w:pPr>
              <w:jc w:val="right"/>
              <w:rPr>
                <w:sz w:val="20"/>
                <w:szCs w:val="20"/>
              </w:rPr>
            </w:pPr>
            <w:r>
              <w:rPr>
                <w:rFonts w:ascii="Arial" w:eastAsia="Arial" w:hAnsi="Arial" w:cs="Arial"/>
                <w:sz w:val="20"/>
                <w:szCs w:val="20"/>
              </w:rPr>
              <w:t>146</w:t>
            </w:r>
          </w:p>
        </w:tc>
        <w:tc>
          <w:tcPr>
            <w:tcW w:w="120" w:type="dxa"/>
            <w:shd w:val="clear" w:color="auto" w:fill="CCEEFF"/>
            <w:vAlign w:val="bottom"/>
          </w:tcPr>
          <w:p w:rsidR="000728AD" w:rsidRDefault="000728AD">
            <w:pPr>
              <w:rPr>
                <w:sz w:val="21"/>
                <w:szCs w:val="21"/>
              </w:rPr>
            </w:pPr>
          </w:p>
        </w:tc>
        <w:tc>
          <w:tcPr>
            <w:tcW w:w="180" w:type="dxa"/>
            <w:shd w:val="clear" w:color="auto" w:fill="CCEEFF"/>
            <w:vAlign w:val="bottom"/>
          </w:tcPr>
          <w:p w:rsidR="000728AD" w:rsidRDefault="000728AD">
            <w:pPr>
              <w:rPr>
                <w:sz w:val="21"/>
                <w:szCs w:val="21"/>
              </w:rPr>
            </w:pPr>
          </w:p>
        </w:tc>
        <w:tc>
          <w:tcPr>
            <w:tcW w:w="1340" w:type="dxa"/>
            <w:shd w:val="clear" w:color="auto" w:fill="CCEEFF"/>
            <w:vAlign w:val="bottom"/>
          </w:tcPr>
          <w:p w:rsidR="000728AD" w:rsidRDefault="000561BE">
            <w:pPr>
              <w:jc w:val="right"/>
              <w:rPr>
                <w:sz w:val="20"/>
                <w:szCs w:val="20"/>
              </w:rPr>
            </w:pPr>
            <w:r>
              <w:rPr>
                <w:rFonts w:ascii="Arial" w:eastAsia="Arial" w:hAnsi="Arial" w:cs="Arial"/>
                <w:sz w:val="20"/>
                <w:szCs w:val="20"/>
              </w:rPr>
              <w:t>111</w:t>
            </w:r>
          </w:p>
        </w:tc>
      </w:tr>
      <w:tr w:rsidR="000728AD">
        <w:trPr>
          <w:trHeight w:val="243"/>
        </w:trPr>
        <w:tc>
          <w:tcPr>
            <w:tcW w:w="8080" w:type="dxa"/>
            <w:tcBorders>
              <w:bottom w:val="single" w:sz="8" w:space="0" w:color="CCEEFF"/>
            </w:tcBorders>
            <w:vAlign w:val="bottom"/>
          </w:tcPr>
          <w:p w:rsidR="000728AD" w:rsidRDefault="000561BE">
            <w:pPr>
              <w:ind w:left="20"/>
              <w:rPr>
                <w:sz w:val="20"/>
                <w:szCs w:val="20"/>
              </w:rPr>
            </w:pPr>
            <w:r>
              <w:rPr>
                <w:rFonts w:ascii="Arial" w:eastAsia="Arial" w:hAnsi="Arial" w:cs="Arial"/>
                <w:sz w:val="20"/>
                <w:szCs w:val="20"/>
              </w:rPr>
              <w:t>Furniture and fixtures</w:t>
            </w:r>
          </w:p>
        </w:tc>
        <w:tc>
          <w:tcPr>
            <w:tcW w:w="280" w:type="dxa"/>
            <w:tcBorders>
              <w:bottom w:val="single" w:sz="8" w:space="0" w:color="auto"/>
            </w:tcBorders>
            <w:vAlign w:val="bottom"/>
          </w:tcPr>
          <w:p w:rsidR="000728AD" w:rsidRDefault="000728AD">
            <w:pPr>
              <w:rPr>
                <w:sz w:val="21"/>
                <w:szCs w:val="21"/>
              </w:rPr>
            </w:pPr>
          </w:p>
        </w:tc>
        <w:tc>
          <w:tcPr>
            <w:tcW w:w="124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122</w:t>
            </w:r>
          </w:p>
        </w:tc>
        <w:tc>
          <w:tcPr>
            <w:tcW w:w="120" w:type="dxa"/>
            <w:tcBorders>
              <w:bottom w:val="single" w:sz="8" w:space="0" w:color="CCEEFF"/>
            </w:tcBorders>
            <w:vAlign w:val="bottom"/>
          </w:tcPr>
          <w:p w:rsidR="000728AD" w:rsidRDefault="000728AD">
            <w:pPr>
              <w:rPr>
                <w:sz w:val="21"/>
                <w:szCs w:val="21"/>
              </w:rPr>
            </w:pPr>
          </w:p>
        </w:tc>
        <w:tc>
          <w:tcPr>
            <w:tcW w:w="180" w:type="dxa"/>
            <w:tcBorders>
              <w:bottom w:val="single" w:sz="8" w:space="0" w:color="auto"/>
            </w:tcBorders>
            <w:vAlign w:val="bottom"/>
          </w:tcPr>
          <w:p w:rsidR="000728AD" w:rsidRDefault="000728AD">
            <w:pPr>
              <w:rPr>
                <w:sz w:val="21"/>
                <w:szCs w:val="21"/>
              </w:rPr>
            </w:pPr>
          </w:p>
        </w:tc>
        <w:tc>
          <w:tcPr>
            <w:tcW w:w="134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122</w:t>
            </w:r>
          </w:p>
        </w:tc>
      </w:tr>
      <w:tr w:rsidR="000728AD">
        <w:trPr>
          <w:trHeight w:val="237"/>
        </w:trPr>
        <w:tc>
          <w:tcPr>
            <w:tcW w:w="8080" w:type="dxa"/>
            <w:shd w:val="clear" w:color="auto" w:fill="CCEEFF"/>
            <w:vAlign w:val="bottom"/>
          </w:tcPr>
          <w:p w:rsidR="000728AD" w:rsidRDefault="000561BE">
            <w:pPr>
              <w:ind w:left="220"/>
              <w:rPr>
                <w:sz w:val="20"/>
                <w:szCs w:val="20"/>
              </w:rPr>
            </w:pPr>
            <w:r>
              <w:rPr>
                <w:rFonts w:ascii="Arial" w:eastAsia="Arial" w:hAnsi="Arial" w:cs="Arial"/>
                <w:sz w:val="20"/>
                <w:szCs w:val="20"/>
              </w:rPr>
              <w:t>Property and equipment</w:t>
            </w:r>
          </w:p>
        </w:tc>
        <w:tc>
          <w:tcPr>
            <w:tcW w:w="280" w:type="dxa"/>
            <w:shd w:val="clear" w:color="auto" w:fill="CCEEFF"/>
            <w:vAlign w:val="bottom"/>
          </w:tcPr>
          <w:p w:rsidR="000728AD" w:rsidRDefault="000728AD">
            <w:pPr>
              <w:rPr>
                <w:sz w:val="20"/>
                <w:szCs w:val="20"/>
              </w:rPr>
            </w:pPr>
          </w:p>
        </w:tc>
        <w:tc>
          <w:tcPr>
            <w:tcW w:w="1240" w:type="dxa"/>
            <w:shd w:val="clear" w:color="auto" w:fill="CCEEFF"/>
            <w:vAlign w:val="bottom"/>
          </w:tcPr>
          <w:p w:rsidR="000728AD" w:rsidRDefault="000561BE">
            <w:pPr>
              <w:jc w:val="right"/>
              <w:rPr>
                <w:sz w:val="20"/>
                <w:szCs w:val="20"/>
              </w:rPr>
            </w:pPr>
            <w:r>
              <w:rPr>
                <w:rFonts w:ascii="Arial" w:eastAsia="Arial" w:hAnsi="Arial" w:cs="Arial"/>
                <w:sz w:val="20"/>
                <w:szCs w:val="20"/>
              </w:rPr>
              <w:t>4,250</w:t>
            </w:r>
          </w:p>
        </w:tc>
        <w:tc>
          <w:tcPr>
            <w:tcW w:w="120" w:type="dxa"/>
            <w:shd w:val="clear" w:color="auto" w:fill="CCEEFF"/>
            <w:vAlign w:val="bottom"/>
          </w:tcPr>
          <w:p w:rsidR="000728AD" w:rsidRDefault="000728AD">
            <w:pPr>
              <w:rPr>
                <w:sz w:val="20"/>
                <w:szCs w:val="20"/>
              </w:rPr>
            </w:pPr>
          </w:p>
        </w:tc>
        <w:tc>
          <w:tcPr>
            <w:tcW w:w="180" w:type="dxa"/>
            <w:shd w:val="clear" w:color="auto" w:fill="CCEEFF"/>
            <w:vAlign w:val="bottom"/>
          </w:tcPr>
          <w:p w:rsidR="000728AD" w:rsidRDefault="000728AD">
            <w:pPr>
              <w:rPr>
                <w:sz w:val="20"/>
                <w:szCs w:val="20"/>
              </w:rPr>
            </w:pPr>
          </w:p>
        </w:tc>
        <w:tc>
          <w:tcPr>
            <w:tcW w:w="1340" w:type="dxa"/>
            <w:shd w:val="clear" w:color="auto" w:fill="CCEEFF"/>
            <w:vAlign w:val="bottom"/>
          </w:tcPr>
          <w:p w:rsidR="000728AD" w:rsidRDefault="000561BE">
            <w:pPr>
              <w:jc w:val="right"/>
              <w:rPr>
                <w:sz w:val="20"/>
                <w:szCs w:val="20"/>
              </w:rPr>
            </w:pPr>
            <w:r>
              <w:rPr>
                <w:rFonts w:ascii="Arial" w:eastAsia="Arial" w:hAnsi="Arial" w:cs="Arial"/>
                <w:sz w:val="20"/>
                <w:szCs w:val="20"/>
              </w:rPr>
              <w:t>3,819</w:t>
            </w:r>
          </w:p>
        </w:tc>
      </w:tr>
      <w:tr w:rsidR="000728AD">
        <w:trPr>
          <w:trHeight w:val="243"/>
        </w:trPr>
        <w:tc>
          <w:tcPr>
            <w:tcW w:w="8080" w:type="dxa"/>
            <w:tcBorders>
              <w:bottom w:val="single" w:sz="8" w:space="0" w:color="CCEEFF"/>
            </w:tcBorders>
            <w:vAlign w:val="bottom"/>
          </w:tcPr>
          <w:p w:rsidR="000728AD" w:rsidRDefault="000561BE">
            <w:pPr>
              <w:ind w:left="20"/>
              <w:rPr>
                <w:sz w:val="20"/>
                <w:szCs w:val="20"/>
              </w:rPr>
            </w:pPr>
            <w:r>
              <w:rPr>
                <w:rFonts w:ascii="Arial" w:eastAsia="Arial" w:hAnsi="Arial" w:cs="Arial"/>
                <w:sz w:val="20"/>
                <w:szCs w:val="20"/>
              </w:rPr>
              <w:t>Less: accumulated depreciation and amortization</w:t>
            </w:r>
          </w:p>
        </w:tc>
        <w:tc>
          <w:tcPr>
            <w:tcW w:w="280" w:type="dxa"/>
            <w:tcBorders>
              <w:bottom w:val="single" w:sz="8" w:space="0" w:color="auto"/>
            </w:tcBorders>
            <w:vAlign w:val="bottom"/>
          </w:tcPr>
          <w:p w:rsidR="000728AD" w:rsidRDefault="000728AD">
            <w:pPr>
              <w:rPr>
                <w:sz w:val="21"/>
                <w:szCs w:val="21"/>
              </w:rPr>
            </w:pPr>
          </w:p>
        </w:tc>
        <w:tc>
          <w:tcPr>
            <w:tcW w:w="124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(3,235)</w:t>
            </w:r>
          </w:p>
        </w:tc>
        <w:tc>
          <w:tcPr>
            <w:tcW w:w="120" w:type="dxa"/>
            <w:tcBorders>
              <w:bottom w:val="single" w:sz="8" w:space="0" w:color="CCEEFF"/>
            </w:tcBorders>
            <w:vAlign w:val="bottom"/>
          </w:tcPr>
          <w:p w:rsidR="000728AD" w:rsidRDefault="000728AD">
            <w:pPr>
              <w:rPr>
                <w:sz w:val="21"/>
                <w:szCs w:val="21"/>
              </w:rPr>
            </w:pPr>
          </w:p>
        </w:tc>
        <w:tc>
          <w:tcPr>
            <w:tcW w:w="180" w:type="dxa"/>
            <w:tcBorders>
              <w:bottom w:val="single" w:sz="8" w:space="0" w:color="auto"/>
            </w:tcBorders>
            <w:vAlign w:val="bottom"/>
          </w:tcPr>
          <w:p w:rsidR="000728AD" w:rsidRDefault="000728AD">
            <w:pPr>
              <w:rPr>
                <w:sz w:val="21"/>
                <w:szCs w:val="21"/>
              </w:rPr>
            </w:pPr>
          </w:p>
        </w:tc>
        <w:tc>
          <w:tcPr>
            <w:tcW w:w="134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(3,459)</w:t>
            </w:r>
          </w:p>
        </w:tc>
      </w:tr>
      <w:tr w:rsidR="000728AD">
        <w:trPr>
          <w:trHeight w:val="262"/>
        </w:trPr>
        <w:tc>
          <w:tcPr>
            <w:tcW w:w="8080" w:type="dxa"/>
            <w:tcBorders>
              <w:bottom w:val="single" w:sz="8" w:space="0" w:color="CCEEFF"/>
            </w:tcBorders>
            <w:shd w:val="clear" w:color="auto" w:fill="CCEEFF"/>
            <w:vAlign w:val="bottom"/>
          </w:tcPr>
          <w:p w:rsidR="000728AD" w:rsidRDefault="000561BE">
            <w:pPr>
              <w:ind w:left="20"/>
              <w:rPr>
                <w:sz w:val="20"/>
                <w:szCs w:val="20"/>
              </w:rPr>
            </w:pPr>
            <w:r>
              <w:rPr>
                <w:rFonts w:ascii="Arial" w:eastAsia="Arial" w:hAnsi="Arial" w:cs="Arial"/>
                <w:sz w:val="20"/>
                <w:szCs w:val="20"/>
              </w:rPr>
              <w:t>Property and equipment, net</w:t>
            </w:r>
          </w:p>
        </w:tc>
        <w:tc>
          <w:tcPr>
            <w:tcW w:w="280" w:type="dxa"/>
            <w:tcBorders>
              <w:bottom w:val="single" w:sz="8" w:space="0" w:color="auto"/>
            </w:tcBorders>
            <w:shd w:val="clear" w:color="auto" w:fill="CCEEFF"/>
            <w:vAlign w:val="bottom"/>
          </w:tcPr>
          <w:p w:rsidR="000728AD" w:rsidRDefault="000561BE">
            <w:pPr>
              <w:ind w:right="61"/>
              <w:jc w:val="right"/>
              <w:rPr>
                <w:sz w:val="20"/>
                <w:szCs w:val="20"/>
              </w:rPr>
            </w:pPr>
            <w:r>
              <w:rPr>
                <w:rFonts w:ascii="Arial" w:eastAsia="Arial" w:hAnsi="Arial" w:cs="Arial"/>
                <w:w w:val="89"/>
                <w:sz w:val="20"/>
                <w:szCs w:val="20"/>
              </w:rPr>
              <w:t>$</w:t>
            </w:r>
          </w:p>
        </w:tc>
        <w:tc>
          <w:tcPr>
            <w:tcW w:w="124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1,015</w:t>
            </w:r>
          </w:p>
        </w:tc>
        <w:tc>
          <w:tcPr>
            <w:tcW w:w="120" w:type="dxa"/>
            <w:tcBorders>
              <w:bottom w:val="single" w:sz="8" w:space="0" w:color="CCEEFF"/>
            </w:tcBorders>
            <w:shd w:val="clear" w:color="auto" w:fill="CCEEFF"/>
            <w:vAlign w:val="bottom"/>
          </w:tcPr>
          <w:p w:rsidR="000728AD" w:rsidRDefault="000728AD"/>
        </w:tc>
        <w:tc>
          <w:tcPr>
            <w:tcW w:w="18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w w:val="89"/>
                <w:sz w:val="20"/>
                <w:szCs w:val="20"/>
              </w:rPr>
              <w:t>$</w:t>
            </w:r>
          </w:p>
        </w:tc>
        <w:tc>
          <w:tcPr>
            <w:tcW w:w="134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360</w:t>
            </w:r>
          </w:p>
        </w:tc>
      </w:tr>
      <w:tr w:rsidR="000728AD">
        <w:trPr>
          <w:trHeight w:val="20"/>
        </w:trPr>
        <w:tc>
          <w:tcPr>
            <w:tcW w:w="8080" w:type="dxa"/>
            <w:tcBorders>
              <w:top w:val="single" w:sz="8" w:space="0" w:color="CCEEFF"/>
            </w:tcBorders>
            <w:vAlign w:val="bottom"/>
          </w:tcPr>
          <w:p w:rsidR="000728AD" w:rsidRDefault="000728AD">
            <w:pPr>
              <w:spacing w:line="20" w:lineRule="exact"/>
              <w:rPr>
                <w:sz w:val="1"/>
                <w:szCs w:val="1"/>
              </w:rPr>
            </w:pPr>
          </w:p>
        </w:tc>
        <w:tc>
          <w:tcPr>
            <w:tcW w:w="28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24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20" w:type="dxa"/>
            <w:tcBorders>
              <w:top w:val="single" w:sz="8" w:space="0" w:color="CCEEFF"/>
            </w:tcBorders>
            <w:vAlign w:val="bottom"/>
          </w:tcPr>
          <w:p w:rsidR="000728AD" w:rsidRDefault="000728AD">
            <w:pPr>
              <w:spacing w:line="20" w:lineRule="exact"/>
              <w:rPr>
                <w:sz w:val="1"/>
                <w:szCs w:val="1"/>
              </w:rPr>
            </w:pPr>
          </w:p>
        </w:tc>
        <w:tc>
          <w:tcPr>
            <w:tcW w:w="18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340" w:type="dxa"/>
            <w:tcBorders>
              <w:top w:val="single" w:sz="8" w:space="0" w:color="CCEEFF"/>
              <w:bottom w:val="single" w:sz="8" w:space="0" w:color="auto"/>
            </w:tcBorders>
            <w:vAlign w:val="bottom"/>
          </w:tcPr>
          <w:p w:rsidR="000728AD" w:rsidRDefault="000728AD">
            <w:pPr>
              <w:spacing w:line="20" w:lineRule="exact"/>
              <w:rPr>
                <w:sz w:val="1"/>
                <w:szCs w:val="1"/>
              </w:rPr>
            </w:pPr>
          </w:p>
        </w:tc>
      </w:tr>
    </w:tbl>
    <w:p w:rsidR="000728AD" w:rsidRDefault="000728AD">
      <w:pPr>
        <w:spacing w:line="294" w:lineRule="exact"/>
        <w:rPr>
          <w:sz w:val="20"/>
          <w:szCs w:val="20"/>
        </w:rPr>
      </w:pPr>
    </w:p>
    <w:p w:rsidR="000728AD" w:rsidRDefault="000561BE">
      <w:pPr>
        <w:rPr>
          <w:sz w:val="20"/>
          <w:szCs w:val="20"/>
        </w:rPr>
      </w:pPr>
      <w:r>
        <w:rPr>
          <w:rFonts w:ascii="Arial" w:eastAsia="Arial" w:hAnsi="Arial" w:cs="Arial"/>
          <w:sz w:val="18"/>
          <w:szCs w:val="18"/>
        </w:rPr>
        <w:t xml:space="preserve">Depreciation and amortization expense for the six months ended June 30, 2021 and 2020 was </w:t>
      </w:r>
      <w:r>
        <w:rPr>
          <w:rFonts w:ascii="Arial" w:eastAsia="Arial" w:hAnsi="Arial" w:cs="Arial"/>
          <w:sz w:val="18"/>
          <w:szCs w:val="18"/>
        </w:rPr>
        <w:t>$0.1 million and $0.3 million, respectively.</w:t>
      </w:r>
    </w:p>
    <w:p w:rsidR="000728AD" w:rsidRDefault="000728AD">
      <w:pPr>
        <w:spacing w:line="39" w:lineRule="exact"/>
        <w:rPr>
          <w:sz w:val="20"/>
          <w:szCs w:val="20"/>
        </w:rPr>
      </w:pPr>
    </w:p>
    <w:p w:rsidR="000728AD" w:rsidRDefault="000561BE">
      <w:pPr>
        <w:rPr>
          <w:sz w:val="20"/>
          <w:szCs w:val="20"/>
        </w:rPr>
      </w:pPr>
      <w:r>
        <w:rPr>
          <w:rFonts w:ascii="Arial" w:eastAsia="Arial" w:hAnsi="Arial" w:cs="Arial"/>
          <w:sz w:val="18"/>
          <w:szCs w:val="18"/>
        </w:rPr>
        <w:t>Property and equipment totaling $0.3 million was disposed of for the six months ended June 30, 2021, and no gains or losses were recorded.</w:t>
      </w:r>
    </w:p>
    <w:p w:rsidR="000728AD" w:rsidRDefault="000728AD">
      <w:pPr>
        <w:spacing w:line="23" w:lineRule="exact"/>
        <w:rPr>
          <w:sz w:val="20"/>
          <w:szCs w:val="20"/>
        </w:rPr>
      </w:pPr>
    </w:p>
    <w:p w:rsidR="000728AD" w:rsidRDefault="000561BE">
      <w:pPr>
        <w:rPr>
          <w:sz w:val="20"/>
          <w:szCs w:val="20"/>
        </w:rPr>
      </w:pPr>
      <w:r>
        <w:rPr>
          <w:rFonts w:ascii="Arial" w:eastAsia="Arial" w:hAnsi="Arial" w:cs="Arial"/>
          <w:sz w:val="20"/>
          <w:szCs w:val="20"/>
        </w:rPr>
        <w:t>There were no disposals for the six months ended June 30, 2020.</w:t>
      </w:r>
    </w:p>
    <w:p w:rsidR="000728AD" w:rsidRDefault="000728AD">
      <w:pPr>
        <w:spacing w:line="248" w:lineRule="exact"/>
        <w:rPr>
          <w:sz w:val="20"/>
          <w:szCs w:val="20"/>
        </w:rPr>
      </w:pPr>
    </w:p>
    <w:p w:rsidR="000728AD" w:rsidRDefault="000561BE">
      <w:pPr>
        <w:rPr>
          <w:sz w:val="20"/>
          <w:szCs w:val="20"/>
        </w:rPr>
      </w:pPr>
      <w:r>
        <w:rPr>
          <w:rFonts w:ascii="Arial" w:eastAsia="Arial" w:hAnsi="Arial" w:cs="Arial"/>
          <w:b/>
          <w:bCs/>
          <w:sz w:val="20"/>
          <w:szCs w:val="20"/>
        </w:rPr>
        <w:t xml:space="preserve">6. </w:t>
      </w:r>
      <w:r>
        <w:rPr>
          <w:rFonts w:ascii="Arial" w:eastAsia="Arial" w:hAnsi="Arial" w:cs="Arial"/>
          <w:b/>
          <w:bCs/>
          <w:sz w:val="20"/>
          <w:szCs w:val="20"/>
        </w:rPr>
        <w:t>ACCRUED EXPENSES AND OTHER CURRENT LIABILITIES</w:t>
      </w:r>
    </w:p>
    <w:p w:rsidR="000728AD" w:rsidRDefault="000728AD">
      <w:pPr>
        <w:spacing w:line="222" w:lineRule="exact"/>
        <w:rPr>
          <w:sz w:val="20"/>
          <w:szCs w:val="20"/>
        </w:rPr>
      </w:pPr>
    </w:p>
    <w:p w:rsidR="000728AD" w:rsidRDefault="000561BE">
      <w:pPr>
        <w:rPr>
          <w:sz w:val="20"/>
          <w:szCs w:val="20"/>
        </w:rPr>
      </w:pPr>
      <w:r>
        <w:rPr>
          <w:rFonts w:ascii="Arial" w:eastAsia="Arial" w:hAnsi="Arial" w:cs="Arial"/>
          <w:sz w:val="20"/>
          <w:szCs w:val="20"/>
        </w:rPr>
        <w:t>Accrued expenses and other current liabilities consisted of the following (in thousands):</w:t>
      </w:r>
    </w:p>
    <w:p w:rsidR="000728AD" w:rsidRDefault="000728AD">
      <w:pPr>
        <w:spacing w:line="22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80"/>
        <w:gridCol w:w="280"/>
        <w:gridCol w:w="1240"/>
        <w:gridCol w:w="120"/>
        <w:gridCol w:w="180"/>
        <w:gridCol w:w="1340"/>
        <w:gridCol w:w="20"/>
      </w:tblGrid>
      <w:tr w:rsidR="000728AD">
        <w:trPr>
          <w:trHeight w:val="207"/>
        </w:trPr>
        <w:tc>
          <w:tcPr>
            <w:tcW w:w="8080" w:type="dxa"/>
            <w:vAlign w:val="bottom"/>
          </w:tcPr>
          <w:p w:rsidR="000728AD" w:rsidRDefault="000728AD">
            <w:pPr>
              <w:rPr>
                <w:sz w:val="17"/>
                <w:szCs w:val="17"/>
              </w:rPr>
            </w:pPr>
          </w:p>
        </w:tc>
        <w:tc>
          <w:tcPr>
            <w:tcW w:w="280" w:type="dxa"/>
            <w:vAlign w:val="bottom"/>
          </w:tcPr>
          <w:p w:rsidR="000728AD" w:rsidRDefault="000728AD">
            <w:pPr>
              <w:rPr>
                <w:sz w:val="17"/>
                <w:szCs w:val="17"/>
              </w:rPr>
            </w:pPr>
          </w:p>
        </w:tc>
        <w:tc>
          <w:tcPr>
            <w:tcW w:w="1360" w:type="dxa"/>
            <w:gridSpan w:val="2"/>
            <w:vAlign w:val="bottom"/>
          </w:tcPr>
          <w:p w:rsidR="000728AD" w:rsidRDefault="000561BE">
            <w:pPr>
              <w:ind w:right="400"/>
              <w:jc w:val="center"/>
              <w:rPr>
                <w:sz w:val="20"/>
                <w:szCs w:val="20"/>
              </w:rPr>
            </w:pPr>
            <w:r>
              <w:rPr>
                <w:rFonts w:ascii="Arial" w:eastAsia="Arial" w:hAnsi="Arial" w:cs="Arial"/>
                <w:b/>
                <w:bCs/>
                <w:w w:val="88"/>
                <w:sz w:val="18"/>
                <w:szCs w:val="18"/>
              </w:rPr>
              <w:t>June 30,</w:t>
            </w:r>
          </w:p>
        </w:tc>
        <w:tc>
          <w:tcPr>
            <w:tcW w:w="180" w:type="dxa"/>
            <w:vAlign w:val="bottom"/>
          </w:tcPr>
          <w:p w:rsidR="000728AD" w:rsidRDefault="000728AD">
            <w:pPr>
              <w:rPr>
                <w:sz w:val="17"/>
                <w:szCs w:val="17"/>
              </w:rPr>
            </w:pPr>
          </w:p>
        </w:tc>
        <w:tc>
          <w:tcPr>
            <w:tcW w:w="1340" w:type="dxa"/>
            <w:vAlign w:val="bottom"/>
          </w:tcPr>
          <w:p w:rsidR="000728AD" w:rsidRDefault="000561BE">
            <w:pPr>
              <w:ind w:right="84"/>
              <w:jc w:val="center"/>
              <w:rPr>
                <w:sz w:val="20"/>
                <w:szCs w:val="20"/>
              </w:rPr>
            </w:pPr>
            <w:r>
              <w:rPr>
                <w:rFonts w:ascii="Arial" w:eastAsia="Arial" w:hAnsi="Arial" w:cs="Arial"/>
                <w:b/>
                <w:bCs/>
                <w:w w:val="88"/>
                <w:sz w:val="18"/>
                <w:szCs w:val="18"/>
              </w:rPr>
              <w:t>December 31,</w:t>
            </w:r>
          </w:p>
        </w:tc>
        <w:tc>
          <w:tcPr>
            <w:tcW w:w="0" w:type="dxa"/>
            <w:vAlign w:val="bottom"/>
          </w:tcPr>
          <w:p w:rsidR="000728AD" w:rsidRDefault="000728AD">
            <w:pPr>
              <w:rPr>
                <w:sz w:val="1"/>
                <w:szCs w:val="1"/>
              </w:rPr>
            </w:pPr>
          </w:p>
        </w:tc>
      </w:tr>
      <w:tr w:rsidR="000728AD">
        <w:trPr>
          <w:trHeight w:val="230"/>
        </w:trPr>
        <w:tc>
          <w:tcPr>
            <w:tcW w:w="8080" w:type="dxa"/>
            <w:tcBorders>
              <w:bottom w:val="single" w:sz="8" w:space="0" w:color="CCEEFF"/>
            </w:tcBorders>
            <w:vAlign w:val="bottom"/>
          </w:tcPr>
          <w:p w:rsidR="000728AD" w:rsidRDefault="000728AD">
            <w:pPr>
              <w:rPr>
                <w:sz w:val="19"/>
                <w:szCs w:val="19"/>
              </w:rPr>
            </w:pPr>
          </w:p>
        </w:tc>
        <w:tc>
          <w:tcPr>
            <w:tcW w:w="280" w:type="dxa"/>
            <w:tcBorders>
              <w:bottom w:val="single" w:sz="8" w:space="0" w:color="auto"/>
            </w:tcBorders>
            <w:vAlign w:val="bottom"/>
          </w:tcPr>
          <w:p w:rsidR="000728AD" w:rsidRDefault="000728AD">
            <w:pPr>
              <w:rPr>
                <w:sz w:val="19"/>
                <w:szCs w:val="19"/>
              </w:rPr>
            </w:pPr>
          </w:p>
        </w:tc>
        <w:tc>
          <w:tcPr>
            <w:tcW w:w="1240" w:type="dxa"/>
            <w:tcBorders>
              <w:bottom w:val="single" w:sz="8" w:space="0" w:color="auto"/>
            </w:tcBorders>
            <w:vAlign w:val="bottom"/>
          </w:tcPr>
          <w:p w:rsidR="000728AD" w:rsidRDefault="000561BE">
            <w:pPr>
              <w:ind w:right="184"/>
              <w:jc w:val="center"/>
              <w:rPr>
                <w:sz w:val="20"/>
                <w:szCs w:val="20"/>
              </w:rPr>
            </w:pPr>
            <w:r>
              <w:rPr>
                <w:rFonts w:ascii="Arial" w:eastAsia="Arial" w:hAnsi="Arial" w:cs="Arial"/>
                <w:b/>
                <w:bCs/>
                <w:w w:val="89"/>
                <w:sz w:val="18"/>
                <w:szCs w:val="18"/>
              </w:rPr>
              <w:t>2021</w:t>
            </w:r>
          </w:p>
        </w:tc>
        <w:tc>
          <w:tcPr>
            <w:tcW w:w="120" w:type="dxa"/>
            <w:tcBorders>
              <w:bottom w:val="single" w:sz="8" w:space="0" w:color="CCEEFF"/>
            </w:tcBorders>
            <w:vAlign w:val="bottom"/>
          </w:tcPr>
          <w:p w:rsidR="000728AD" w:rsidRDefault="000728AD">
            <w:pPr>
              <w:rPr>
                <w:sz w:val="19"/>
                <w:szCs w:val="19"/>
              </w:rPr>
            </w:pPr>
          </w:p>
        </w:tc>
        <w:tc>
          <w:tcPr>
            <w:tcW w:w="180" w:type="dxa"/>
            <w:tcBorders>
              <w:bottom w:val="single" w:sz="8" w:space="0" w:color="auto"/>
            </w:tcBorders>
            <w:vAlign w:val="bottom"/>
          </w:tcPr>
          <w:p w:rsidR="000728AD" w:rsidRDefault="000728AD">
            <w:pPr>
              <w:rPr>
                <w:sz w:val="19"/>
                <w:szCs w:val="19"/>
              </w:rPr>
            </w:pPr>
          </w:p>
        </w:tc>
        <w:tc>
          <w:tcPr>
            <w:tcW w:w="1340" w:type="dxa"/>
            <w:tcBorders>
              <w:bottom w:val="single" w:sz="8" w:space="0" w:color="auto"/>
            </w:tcBorders>
            <w:vAlign w:val="bottom"/>
          </w:tcPr>
          <w:p w:rsidR="000728AD" w:rsidRDefault="000561BE">
            <w:pPr>
              <w:ind w:right="84"/>
              <w:jc w:val="center"/>
              <w:rPr>
                <w:sz w:val="20"/>
                <w:szCs w:val="20"/>
              </w:rPr>
            </w:pPr>
            <w:r>
              <w:rPr>
                <w:rFonts w:ascii="Arial" w:eastAsia="Arial" w:hAnsi="Arial" w:cs="Arial"/>
                <w:b/>
                <w:bCs/>
                <w:w w:val="89"/>
                <w:sz w:val="18"/>
                <w:szCs w:val="18"/>
              </w:rPr>
              <w:t>2020</w:t>
            </w:r>
          </w:p>
        </w:tc>
        <w:tc>
          <w:tcPr>
            <w:tcW w:w="0" w:type="dxa"/>
            <w:vAlign w:val="bottom"/>
          </w:tcPr>
          <w:p w:rsidR="000728AD" w:rsidRDefault="000728AD">
            <w:pPr>
              <w:rPr>
                <w:sz w:val="1"/>
                <w:szCs w:val="1"/>
              </w:rPr>
            </w:pPr>
          </w:p>
        </w:tc>
      </w:tr>
      <w:tr w:rsidR="000728AD">
        <w:trPr>
          <w:trHeight w:val="237"/>
        </w:trPr>
        <w:tc>
          <w:tcPr>
            <w:tcW w:w="8080" w:type="dxa"/>
            <w:shd w:val="clear" w:color="auto" w:fill="CCEEFF"/>
            <w:vAlign w:val="bottom"/>
          </w:tcPr>
          <w:p w:rsidR="000728AD" w:rsidRDefault="000561BE">
            <w:pPr>
              <w:ind w:left="20"/>
              <w:rPr>
                <w:sz w:val="20"/>
                <w:szCs w:val="20"/>
              </w:rPr>
            </w:pPr>
            <w:r>
              <w:rPr>
                <w:rFonts w:ascii="Arial" w:eastAsia="Arial" w:hAnsi="Arial" w:cs="Arial"/>
                <w:sz w:val="20"/>
                <w:szCs w:val="20"/>
              </w:rPr>
              <w:t>Accrued employee compensation and benefits</w:t>
            </w:r>
          </w:p>
        </w:tc>
        <w:tc>
          <w:tcPr>
            <w:tcW w:w="280" w:type="dxa"/>
            <w:shd w:val="clear" w:color="auto" w:fill="CCEEFF"/>
            <w:vAlign w:val="bottom"/>
          </w:tcPr>
          <w:p w:rsidR="000728AD" w:rsidRDefault="000561BE">
            <w:pPr>
              <w:ind w:right="61"/>
              <w:jc w:val="right"/>
              <w:rPr>
                <w:sz w:val="20"/>
                <w:szCs w:val="20"/>
              </w:rPr>
            </w:pPr>
            <w:r>
              <w:rPr>
                <w:rFonts w:ascii="Arial" w:eastAsia="Arial" w:hAnsi="Arial" w:cs="Arial"/>
                <w:w w:val="89"/>
                <w:sz w:val="20"/>
                <w:szCs w:val="20"/>
              </w:rPr>
              <w:t>$</w:t>
            </w:r>
          </w:p>
        </w:tc>
        <w:tc>
          <w:tcPr>
            <w:tcW w:w="1240" w:type="dxa"/>
            <w:shd w:val="clear" w:color="auto" w:fill="CCEEFF"/>
            <w:vAlign w:val="bottom"/>
          </w:tcPr>
          <w:p w:rsidR="000728AD" w:rsidRDefault="000561BE">
            <w:pPr>
              <w:jc w:val="right"/>
              <w:rPr>
                <w:sz w:val="20"/>
                <w:szCs w:val="20"/>
              </w:rPr>
            </w:pPr>
            <w:r>
              <w:rPr>
                <w:rFonts w:ascii="Arial" w:eastAsia="Arial" w:hAnsi="Arial" w:cs="Arial"/>
                <w:sz w:val="20"/>
                <w:szCs w:val="20"/>
              </w:rPr>
              <w:t>1,643</w:t>
            </w:r>
          </w:p>
        </w:tc>
        <w:tc>
          <w:tcPr>
            <w:tcW w:w="120" w:type="dxa"/>
            <w:shd w:val="clear" w:color="auto" w:fill="CCEEFF"/>
            <w:vAlign w:val="bottom"/>
          </w:tcPr>
          <w:p w:rsidR="000728AD" w:rsidRDefault="000728AD">
            <w:pPr>
              <w:rPr>
                <w:sz w:val="20"/>
                <w:szCs w:val="20"/>
              </w:rPr>
            </w:pPr>
          </w:p>
        </w:tc>
        <w:tc>
          <w:tcPr>
            <w:tcW w:w="180" w:type="dxa"/>
            <w:shd w:val="clear" w:color="auto" w:fill="CCEEFF"/>
            <w:vAlign w:val="bottom"/>
          </w:tcPr>
          <w:p w:rsidR="000728AD" w:rsidRDefault="000561BE">
            <w:pPr>
              <w:jc w:val="right"/>
              <w:rPr>
                <w:sz w:val="20"/>
                <w:szCs w:val="20"/>
              </w:rPr>
            </w:pPr>
            <w:r>
              <w:rPr>
                <w:rFonts w:ascii="Arial" w:eastAsia="Arial" w:hAnsi="Arial" w:cs="Arial"/>
                <w:w w:val="89"/>
                <w:sz w:val="20"/>
                <w:szCs w:val="20"/>
              </w:rPr>
              <w:t>$</w:t>
            </w:r>
          </w:p>
        </w:tc>
        <w:tc>
          <w:tcPr>
            <w:tcW w:w="1340" w:type="dxa"/>
            <w:shd w:val="clear" w:color="auto" w:fill="CCEEFF"/>
            <w:vAlign w:val="bottom"/>
          </w:tcPr>
          <w:p w:rsidR="000728AD" w:rsidRDefault="000561BE">
            <w:pPr>
              <w:jc w:val="right"/>
              <w:rPr>
                <w:sz w:val="20"/>
                <w:szCs w:val="20"/>
              </w:rPr>
            </w:pPr>
            <w:r>
              <w:rPr>
                <w:rFonts w:ascii="Arial" w:eastAsia="Arial" w:hAnsi="Arial" w:cs="Arial"/>
                <w:sz w:val="20"/>
                <w:szCs w:val="20"/>
              </w:rPr>
              <w:t>2,998</w:t>
            </w:r>
          </w:p>
        </w:tc>
        <w:tc>
          <w:tcPr>
            <w:tcW w:w="0" w:type="dxa"/>
            <w:vAlign w:val="bottom"/>
          </w:tcPr>
          <w:p w:rsidR="000728AD" w:rsidRDefault="000728AD">
            <w:pPr>
              <w:rPr>
                <w:sz w:val="1"/>
                <w:szCs w:val="1"/>
              </w:rPr>
            </w:pPr>
          </w:p>
        </w:tc>
      </w:tr>
      <w:tr w:rsidR="000728AD">
        <w:trPr>
          <w:trHeight w:val="243"/>
        </w:trPr>
        <w:tc>
          <w:tcPr>
            <w:tcW w:w="8080" w:type="dxa"/>
            <w:vAlign w:val="bottom"/>
          </w:tcPr>
          <w:p w:rsidR="000728AD" w:rsidRDefault="000561BE">
            <w:pPr>
              <w:ind w:left="20"/>
              <w:rPr>
                <w:sz w:val="20"/>
                <w:szCs w:val="20"/>
              </w:rPr>
            </w:pPr>
            <w:r>
              <w:rPr>
                <w:rFonts w:ascii="Arial" w:eastAsia="Arial" w:hAnsi="Arial" w:cs="Arial"/>
                <w:sz w:val="20"/>
                <w:szCs w:val="20"/>
              </w:rPr>
              <w:t>Accrued external research and development expenses</w:t>
            </w:r>
          </w:p>
        </w:tc>
        <w:tc>
          <w:tcPr>
            <w:tcW w:w="280" w:type="dxa"/>
            <w:vAlign w:val="bottom"/>
          </w:tcPr>
          <w:p w:rsidR="000728AD" w:rsidRDefault="000728AD">
            <w:pPr>
              <w:rPr>
                <w:sz w:val="21"/>
                <w:szCs w:val="21"/>
              </w:rPr>
            </w:pPr>
          </w:p>
        </w:tc>
        <w:tc>
          <w:tcPr>
            <w:tcW w:w="1240" w:type="dxa"/>
            <w:vAlign w:val="bottom"/>
          </w:tcPr>
          <w:p w:rsidR="000728AD" w:rsidRDefault="000561BE">
            <w:pPr>
              <w:jc w:val="right"/>
              <w:rPr>
                <w:sz w:val="20"/>
                <w:szCs w:val="20"/>
              </w:rPr>
            </w:pPr>
            <w:r>
              <w:rPr>
                <w:rFonts w:ascii="Arial" w:eastAsia="Arial" w:hAnsi="Arial" w:cs="Arial"/>
                <w:sz w:val="20"/>
                <w:szCs w:val="20"/>
              </w:rPr>
              <w:t>1,497</w:t>
            </w:r>
          </w:p>
        </w:tc>
        <w:tc>
          <w:tcPr>
            <w:tcW w:w="120" w:type="dxa"/>
            <w:vAlign w:val="bottom"/>
          </w:tcPr>
          <w:p w:rsidR="000728AD" w:rsidRDefault="000728AD">
            <w:pPr>
              <w:rPr>
                <w:sz w:val="21"/>
                <w:szCs w:val="21"/>
              </w:rPr>
            </w:pPr>
          </w:p>
        </w:tc>
        <w:tc>
          <w:tcPr>
            <w:tcW w:w="180" w:type="dxa"/>
            <w:vAlign w:val="bottom"/>
          </w:tcPr>
          <w:p w:rsidR="000728AD" w:rsidRDefault="000728AD">
            <w:pPr>
              <w:rPr>
                <w:sz w:val="21"/>
                <w:szCs w:val="21"/>
              </w:rPr>
            </w:pPr>
          </w:p>
        </w:tc>
        <w:tc>
          <w:tcPr>
            <w:tcW w:w="1340" w:type="dxa"/>
            <w:vAlign w:val="bottom"/>
          </w:tcPr>
          <w:p w:rsidR="000728AD" w:rsidRDefault="000561BE">
            <w:pPr>
              <w:jc w:val="right"/>
              <w:rPr>
                <w:sz w:val="20"/>
                <w:szCs w:val="20"/>
              </w:rPr>
            </w:pPr>
            <w:r>
              <w:rPr>
                <w:rFonts w:ascii="Arial" w:eastAsia="Arial" w:hAnsi="Arial" w:cs="Arial"/>
                <w:sz w:val="20"/>
                <w:szCs w:val="20"/>
              </w:rPr>
              <w:t>1,870</w:t>
            </w:r>
          </w:p>
        </w:tc>
        <w:tc>
          <w:tcPr>
            <w:tcW w:w="0" w:type="dxa"/>
            <w:vAlign w:val="bottom"/>
          </w:tcPr>
          <w:p w:rsidR="000728AD" w:rsidRDefault="000728AD">
            <w:pPr>
              <w:rPr>
                <w:sz w:val="1"/>
                <w:szCs w:val="1"/>
              </w:rPr>
            </w:pPr>
          </w:p>
        </w:tc>
      </w:tr>
      <w:tr w:rsidR="000728AD">
        <w:trPr>
          <w:trHeight w:val="243"/>
        </w:trPr>
        <w:tc>
          <w:tcPr>
            <w:tcW w:w="8080" w:type="dxa"/>
            <w:shd w:val="clear" w:color="auto" w:fill="CCEEFF"/>
            <w:vAlign w:val="bottom"/>
          </w:tcPr>
          <w:p w:rsidR="000728AD" w:rsidRDefault="000561BE">
            <w:pPr>
              <w:ind w:left="20"/>
              <w:rPr>
                <w:sz w:val="20"/>
                <w:szCs w:val="20"/>
              </w:rPr>
            </w:pPr>
            <w:r>
              <w:rPr>
                <w:rFonts w:ascii="Arial" w:eastAsia="Arial" w:hAnsi="Arial" w:cs="Arial"/>
                <w:sz w:val="20"/>
                <w:szCs w:val="20"/>
              </w:rPr>
              <w:t>Accrued professional fees</w:t>
            </w:r>
          </w:p>
        </w:tc>
        <w:tc>
          <w:tcPr>
            <w:tcW w:w="280" w:type="dxa"/>
            <w:shd w:val="clear" w:color="auto" w:fill="CCEEFF"/>
            <w:vAlign w:val="bottom"/>
          </w:tcPr>
          <w:p w:rsidR="000728AD" w:rsidRDefault="000728AD">
            <w:pPr>
              <w:rPr>
                <w:sz w:val="21"/>
                <w:szCs w:val="21"/>
              </w:rPr>
            </w:pPr>
          </w:p>
        </w:tc>
        <w:tc>
          <w:tcPr>
            <w:tcW w:w="1240" w:type="dxa"/>
            <w:shd w:val="clear" w:color="auto" w:fill="CCEEFF"/>
            <w:vAlign w:val="bottom"/>
          </w:tcPr>
          <w:p w:rsidR="000728AD" w:rsidRDefault="000561BE">
            <w:pPr>
              <w:jc w:val="right"/>
              <w:rPr>
                <w:sz w:val="20"/>
                <w:szCs w:val="20"/>
              </w:rPr>
            </w:pPr>
            <w:r>
              <w:rPr>
                <w:rFonts w:ascii="Arial" w:eastAsia="Arial" w:hAnsi="Arial" w:cs="Arial"/>
                <w:sz w:val="20"/>
                <w:szCs w:val="20"/>
              </w:rPr>
              <w:t>576</w:t>
            </w:r>
          </w:p>
        </w:tc>
        <w:tc>
          <w:tcPr>
            <w:tcW w:w="120" w:type="dxa"/>
            <w:shd w:val="clear" w:color="auto" w:fill="CCEEFF"/>
            <w:vAlign w:val="bottom"/>
          </w:tcPr>
          <w:p w:rsidR="000728AD" w:rsidRDefault="000728AD">
            <w:pPr>
              <w:rPr>
                <w:sz w:val="21"/>
                <w:szCs w:val="21"/>
              </w:rPr>
            </w:pPr>
          </w:p>
        </w:tc>
        <w:tc>
          <w:tcPr>
            <w:tcW w:w="180" w:type="dxa"/>
            <w:shd w:val="clear" w:color="auto" w:fill="CCEEFF"/>
            <w:vAlign w:val="bottom"/>
          </w:tcPr>
          <w:p w:rsidR="000728AD" w:rsidRDefault="000728AD">
            <w:pPr>
              <w:rPr>
                <w:sz w:val="21"/>
                <w:szCs w:val="21"/>
              </w:rPr>
            </w:pPr>
          </w:p>
        </w:tc>
        <w:tc>
          <w:tcPr>
            <w:tcW w:w="1340" w:type="dxa"/>
            <w:shd w:val="clear" w:color="auto" w:fill="CCEEFF"/>
            <w:vAlign w:val="bottom"/>
          </w:tcPr>
          <w:p w:rsidR="000728AD" w:rsidRDefault="000561BE">
            <w:pPr>
              <w:jc w:val="right"/>
              <w:rPr>
                <w:sz w:val="20"/>
                <w:szCs w:val="20"/>
              </w:rPr>
            </w:pPr>
            <w:r>
              <w:rPr>
                <w:rFonts w:ascii="Arial" w:eastAsia="Arial" w:hAnsi="Arial" w:cs="Arial"/>
                <w:sz w:val="20"/>
                <w:szCs w:val="20"/>
              </w:rPr>
              <w:t>626</w:t>
            </w:r>
          </w:p>
        </w:tc>
        <w:tc>
          <w:tcPr>
            <w:tcW w:w="0" w:type="dxa"/>
            <w:vAlign w:val="bottom"/>
          </w:tcPr>
          <w:p w:rsidR="000728AD" w:rsidRDefault="000728AD">
            <w:pPr>
              <w:rPr>
                <w:sz w:val="1"/>
                <w:szCs w:val="1"/>
              </w:rPr>
            </w:pPr>
          </w:p>
        </w:tc>
      </w:tr>
      <w:tr w:rsidR="000728AD">
        <w:trPr>
          <w:trHeight w:val="243"/>
        </w:trPr>
        <w:tc>
          <w:tcPr>
            <w:tcW w:w="8080" w:type="dxa"/>
            <w:tcBorders>
              <w:bottom w:val="single" w:sz="8" w:space="0" w:color="CCEEFF"/>
            </w:tcBorders>
            <w:vAlign w:val="bottom"/>
          </w:tcPr>
          <w:p w:rsidR="000728AD" w:rsidRDefault="000561BE">
            <w:pPr>
              <w:ind w:left="20"/>
              <w:rPr>
                <w:sz w:val="20"/>
                <w:szCs w:val="20"/>
              </w:rPr>
            </w:pPr>
            <w:r>
              <w:rPr>
                <w:rFonts w:ascii="Arial" w:eastAsia="Arial" w:hAnsi="Arial" w:cs="Arial"/>
                <w:sz w:val="20"/>
                <w:szCs w:val="20"/>
              </w:rPr>
              <w:t>Other</w:t>
            </w:r>
          </w:p>
        </w:tc>
        <w:tc>
          <w:tcPr>
            <w:tcW w:w="280" w:type="dxa"/>
            <w:tcBorders>
              <w:bottom w:val="single" w:sz="8" w:space="0" w:color="auto"/>
            </w:tcBorders>
            <w:vAlign w:val="bottom"/>
          </w:tcPr>
          <w:p w:rsidR="000728AD" w:rsidRDefault="000728AD">
            <w:pPr>
              <w:rPr>
                <w:sz w:val="21"/>
                <w:szCs w:val="21"/>
              </w:rPr>
            </w:pPr>
          </w:p>
        </w:tc>
        <w:tc>
          <w:tcPr>
            <w:tcW w:w="124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238</w:t>
            </w:r>
          </w:p>
        </w:tc>
        <w:tc>
          <w:tcPr>
            <w:tcW w:w="120" w:type="dxa"/>
            <w:tcBorders>
              <w:bottom w:val="single" w:sz="8" w:space="0" w:color="CCEEFF"/>
            </w:tcBorders>
            <w:vAlign w:val="bottom"/>
          </w:tcPr>
          <w:p w:rsidR="000728AD" w:rsidRDefault="000728AD">
            <w:pPr>
              <w:rPr>
                <w:sz w:val="21"/>
                <w:szCs w:val="21"/>
              </w:rPr>
            </w:pPr>
          </w:p>
        </w:tc>
        <w:tc>
          <w:tcPr>
            <w:tcW w:w="180" w:type="dxa"/>
            <w:tcBorders>
              <w:bottom w:val="single" w:sz="8" w:space="0" w:color="auto"/>
            </w:tcBorders>
            <w:vAlign w:val="bottom"/>
          </w:tcPr>
          <w:p w:rsidR="000728AD" w:rsidRDefault="000728AD">
            <w:pPr>
              <w:rPr>
                <w:sz w:val="21"/>
                <w:szCs w:val="21"/>
              </w:rPr>
            </w:pPr>
          </w:p>
        </w:tc>
        <w:tc>
          <w:tcPr>
            <w:tcW w:w="134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w:t>
            </w:r>
          </w:p>
        </w:tc>
        <w:tc>
          <w:tcPr>
            <w:tcW w:w="0" w:type="dxa"/>
            <w:vAlign w:val="bottom"/>
          </w:tcPr>
          <w:p w:rsidR="000728AD" w:rsidRDefault="000728AD">
            <w:pPr>
              <w:rPr>
                <w:sz w:val="1"/>
                <w:szCs w:val="1"/>
              </w:rPr>
            </w:pPr>
          </w:p>
        </w:tc>
      </w:tr>
      <w:tr w:rsidR="000728AD">
        <w:trPr>
          <w:trHeight w:val="262"/>
        </w:trPr>
        <w:tc>
          <w:tcPr>
            <w:tcW w:w="8080" w:type="dxa"/>
            <w:tcBorders>
              <w:bottom w:val="single" w:sz="8" w:space="0" w:color="CCEEFF"/>
            </w:tcBorders>
            <w:shd w:val="clear" w:color="auto" w:fill="CCEEFF"/>
            <w:vAlign w:val="bottom"/>
          </w:tcPr>
          <w:p w:rsidR="000728AD" w:rsidRDefault="000561BE">
            <w:pPr>
              <w:ind w:left="20"/>
              <w:rPr>
                <w:sz w:val="20"/>
                <w:szCs w:val="20"/>
              </w:rPr>
            </w:pPr>
            <w:r>
              <w:rPr>
                <w:rFonts w:ascii="Arial" w:eastAsia="Arial" w:hAnsi="Arial" w:cs="Arial"/>
                <w:sz w:val="20"/>
                <w:szCs w:val="20"/>
              </w:rPr>
              <w:t>Total accrued expenses and other current liabilities</w:t>
            </w:r>
          </w:p>
        </w:tc>
        <w:tc>
          <w:tcPr>
            <w:tcW w:w="280" w:type="dxa"/>
            <w:tcBorders>
              <w:bottom w:val="single" w:sz="8" w:space="0" w:color="auto"/>
            </w:tcBorders>
            <w:shd w:val="clear" w:color="auto" w:fill="CCEEFF"/>
            <w:vAlign w:val="bottom"/>
          </w:tcPr>
          <w:p w:rsidR="000728AD" w:rsidRDefault="000561BE">
            <w:pPr>
              <w:ind w:right="61"/>
              <w:jc w:val="right"/>
              <w:rPr>
                <w:sz w:val="20"/>
                <w:szCs w:val="20"/>
              </w:rPr>
            </w:pPr>
            <w:r>
              <w:rPr>
                <w:rFonts w:ascii="Arial" w:eastAsia="Arial" w:hAnsi="Arial" w:cs="Arial"/>
                <w:w w:val="89"/>
                <w:sz w:val="20"/>
                <w:szCs w:val="20"/>
              </w:rPr>
              <w:t>$</w:t>
            </w:r>
          </w:p>
        </w:tc>
        <w:tc>
          <w:tcPr>
            <w:tcW w:w="124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3,954</w:t>
            </w:r>
          </w:p>
        </w:tc>
        <w:tc>
          <w:tcPr>
            <w:tcW w:w="120" w:type="dxa"/>
            <w:tcBorders>
              <w:bottom w:val="single" w:sz="8" w:space="0" w:color="CCEEFF"/>
            </w:tcBorders>
            <w:shd w:val="clear" w:color="auto" w:fill="CCEEFF"/>
            <w:vAlign w:val="bottom"/>
          </w:tcPr>
          <w:p w:rsidR="000728AD" w:rsidRDefault="000728AD"/>
        </w:tc>
        <w:tc>
          <w:tcPr>
            <w:tcW w:w="18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w w:val="89"/>
                <w:sz w:val="20"/>
                <w:szCs w:val="20"/>
              </w:rPr>
              <w:t>$</w:t>
            </w:r>
          </w:p>
        </w:tc>
        <w:tc>
          <w:tcPr>
            <w:tcW w:w="134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5,494</w:t>
            </w:r>
          </w:p>
        </w:tc>
        <w:tc>
          <w:tcPr>
            <w:tcW w:w="0" w:type="dxa"/>
            <w:vAlign w:val="bottom"/>
          </w:tcPr>
          <w:p w:rsidR="000728AD" w:rsidRDefault="000728AD">
            <w:pPr>
              <w:rPr>
                <w:sz w:val="1"/>
                <w:szCs w:val="1"/>
              </w:rPr>
            </w:pPr>
          </w:p>
        </w:tc>
      </w:tr>
      <w:tr w:rsidR="000728AD">
        <w:trPr>
          <w:trHeight w:val="20"/>
        </w:trPr>
        <w:tc>
          <w:tcPr>
            <w:tcW w:w="8080" w:type="dxa"/>
            <w:vMerge w:val="restart"/>
            <w:tcBorders>
              <w:top w:val="single" w:sz="8" w:space="0" w:color="CCEEFF"/>
              <w:bottom w:val="single" w:sz="8" w:space="0" w:color="CCEEFF"/>
            </w:tcBorders>
            <w:vAlign w:val="bottom"/>
          </w:tcPr>
          <w:p w:rsidR="000728AD" w:rsidRDefault="000561BE">
            <w:pPr>
              <w:rPr>
                <w:sz w:val="20"/>
                <w:szCs w:val="20"/>
              </w:rPr>
            </w:pPr>
            <w:r>
              <w:rPr>
                <w:rFonts w:ascii="Arial" w:eastAsia="Arial" w:hAnsi="Arial" w:cs="Arial"/>
                <w:b/>
                <w:bCs/>
                <w:sz w:val="20"/>
                <w:szCs w:val="20"/>
              </w:rPr>
              <w:t>7. DEBT FINANCING</w:t>
            </w:r>
          </w:p>
        </w:tc>
        <w:tc>
          <w:tcPr>
            <w:tcW w:w="28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24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20" w:type="dxa"/>
            <w:tcBorders>
              <w:top w:val="single" w:sz="8" w:space="0" w:color="CCEEFF"/>
            </w:tcBorders>
            <w:vAlign w:val="bottom"/>
          </w:tcPr>
          <w:p w:rsidR="000728AD" w:rsidRDefault="000728AD">
            <w:pPr>
              <w:spacing w:line="20" w:lineRule="exact"/>
              <w:rPr>
                <w:sz w:val="1"/>
                <w:szCs w:val="1"/>
              </w:rPr>
            </w:pPr>
          </w:p>
        </w:tc>
        <w:tc>
          <w:tcPr>
            <w:tcW w:w="18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34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0" w:type="dxa"/>
            <w:vAlign w:val="bottom"/>
          </w:tcPr>
          <w:p w:rsidR="000728AD" w:rsidRDefault="000728AD">
            <w:pPr>
              <w:spacing w:line="20" w:lineRule="exact"/>
              <w:rPr>
                <w:sz w:val="1"/>
                <w:szCs w:val="1"/>
              </w:rPr>
            </w:pPr>
          </w:p>
        </w:tc>
      </w:tr>
      <w:tr w:rsidR="000728AD">
        <w:trPr>
          <w:trHeight w:val="504"/>
        </w:trPr>
        <w:tc>
          <w:tcPr>
            <w:tcW w:w="8080" w:type="dxa"/>
            <w:vMerge/>
            <w:vAlign w:val="bottom"/>
          </w:tcPr>
          <w:p w:rsidR="000728AD" w:rsidRDefault="000728AD">
            <w:pPr>
              <w:rPr>
                <w:sz w:val="24"/>
                <w:szCs w:val="24"/>
              </w:rPr>
            </w:pPr>
          </w:p>
        </w:tc>
        <w:tc>
          <w:tcPr>
            <w:tcW w:w="280" w:type="dxa"/>
            <w:vAlign w:val="bottom"/>
          </w:tcPr>
          <w:p w:rsidR="000728AD" w:rsidRDefault="000728AD">
            <w:pPr>
              <w:rPr>
                <w:sz w:val="24"/>
                <w:szCs w:val="24"/>
              </w:rPr>
            </w:pPr>
          </w:p>
        </w:tc>
        <w:tc>
          <w:tcPr>
            <w:tcW w:w="1240" w:type="dxa"/>
            <w:vAlign w:val="bottom"/>
          </w:tcPr>
          <w:p w:rsidR="000728AD" w:rsidRDefault="000728AD">
            <w:pPr>
              <w:rPr>
                <w:sz w:val="24"/>
                <w:szCs w:val="24"/>
              </w:rPr>
            </w:pPr>
          </w:p>
        </w:tc>
        <w:tc>
          <w:tcPr>
            <w:tcW w:w="120" w:type="dxa"/>
            <w:vAlign w:val="bottom"/>
          </w:tcPr>
          <w:p w:rsidR="000728AD" w:rsidRDefault="000728AD">
            <w:pPr>
              <w:rPr>
                <w:sz w:val="24"/>
                <w:szCs w:val="24"/>
              </w:rPr>
            </w:pPr>
          </w:p>
        </w:tc>
        <w:tc>
          <w:tcPr>
            <w:tcW w:w="180" w:type="dxa"/>
            <w:vAlign w:val="bottom"/>
          </w:tcPr>
          <w:p w:rsidR="000728AD" w:rsidRDefault="000728AD">
            <w:pPr>
              <w:rPr>
                <w:sz w:val="24"/>
                <w:szCs w:val="24"/>
              </w:rPr>
            </w:pPr>
          </w:p>
        </w:tc>
        <w:tc>
          <w:tcPr>
            <w:tcW w:w="1340" w:type="dxa"/>
            <w:vAlign w:val="bottom"/>
          </w:tcPr>
          <w:p w:rsidR="000728AD" w:rsidRDefault="000728AD">
            <w:pPr>
              <w:rPr>
                <w:sz w:val="24"/>
                <w:szCs w:val="24"/>
              </w:rPr>
            </w:pPr>
          </w:p>
        </w:tc>
        <w:tc>
          <w:tcPr>
            <w:tcW w:w="0" w:type="dxa"/>
            <w:vAlign w:val="bottom"/>
          </w:tcPr>
          <w:p w:rsidR="000728AD" w:rsidRDefault="000728AD">
            <w:pPr>
              <w:rPr>
                <w:sz w:val="1"/>
                <w:szCs w:val="1"/>
              </w:rPr>
            </w:pPr>
          </w:p>
        </w:tc>
      </w:tr>
      <w:tr w:rsidR="000728AD">
        <w:trPr>
          <w:trHeight w:val="445"/>
        </w:trPr>
        <w:tc>
          <w:tcPr>
            <w:tcW w:w="8080" w:type="dxa"/>
            <w:vAlign w:val="bottom"/>
          </w:tcPr>
          <w:p w:rsidR="000728AD" w:rsidRDefault="000561BE">
            <w:pPr>
              <w:rPr>
                <w:sz w:val="20"/>
                <w:szCs w:val="20"/>
              </w:rPr>
            </w:pPr>
            <w:r>
              <w:rPr>
                <w:rFonts w:ascii="Arial" w:eastAsia="Arial" w:hAnsi="Arial" w:cs="Arial"/>
                <w:sz w:val="20"/>
                <w:szCs w:val="20"/>
              </w:rPr>
              <w:t xml:space="preserve">Long-term debt </w:t>
            </w:r>
            <w:r>
              <w:rPr>
                <w:rFonts w:ascii="Arial" w:eastAsia="Arial" w:hAnsi="Arial" w:cs="Arial"/>
                <w:sz w:val="20"/>
                <w:szCs w:val="20"/>
              </w:rPr>
              <w:t>consisted of the following (in thousands):</w:t>
            </w:r>
          </w:p>
        </w:tc>
        <w:tc>
          <w:tcPr>
            <w:tcW w:w="280" w:type="dxa"/>
            <w:vAlign w:val="bottom"/>
          </w:tcPr>
          <w:p w:rsidR="000728AD" w:rsidRDefault="000728AD">
            <w:pPr>
              <w:rPr>
                <w:sz w:val="24"/>
                <w:szCs w:val="24"/>
              </w:rPr>
            </w:pPr>
          </w:p>
        </w:tc>
        <w:tc>
          <w:tcPr>
            <w:tcW w:w="1240" w:type="dxa"/>
            <w:vAlign w:val="bottom"/>
          </w:tcPr>
          <w:p w:rsidR="000728AD" w:rsidRDefault="000728AD">
            <w:pPr>
              <w:rPr>
                <w:sz w:val="24"/>
                <w:szCs w:val="24"/>
              </w:rPr>
            </w:pPr>
          </w:p>
        </w:tc>
        <w:tc>
          <w:tcPr>
            <w:tcW w:w="120" w:type="dxa"/>
            <w:vAlign w:val="bottom"/>
          </w:tcPr>
          <w:p w:rsidR="000728AD" w:rsidRDefault="000728AD">
            <w:pPr>
              <w:rPr>
                <w:sz w:val="24"/>
                <w:szCs w:val="24"/>
              </w:rPr>
            </w:pPr>
          </w:p>
        </w:tc>
        <w:tc>
          <w:tcPr>
            <w:tcW w:w="180" w:type="dxa"/>
            <w:vAlign w:val="bottom"/>
          </w:tcPr>
          <w:p w:rsidR="000728AD" w:rsidRDefault="000728AD">
            <w:pPr>
              <w:rPr>
                <w:sz w:val="24"/>
                <w:szCs w:val="24"/>
              </w:rPr>
            </w:pPr>
          </w:p>
        </w:tc>
        <w:tc>
          <w:tcPr>
            <w:tcW w:w="1340" w:type="dxa"/>
            <w:vAlign w:val="bottom"/>
          </w:tcPr>
          <w:p w:rsidR="000728AD" w:rsidRDefault="000728AD">
            <w:pPr>
              <w:rPr>
                <w:sz w:val="24"/>
                <w:szCs w:val="24"/>
              </w:rPr>
            </w:pPr>
          </w:p>
        </w:tc>
        <w:tc>
          <w:tcPr>
            <w:tcW w:w="0" w:type="dxa"/>
            <w:vAlign w:val="bottom"/>
          </w:tcPr>
          <w:p w:rsidR="000728AD" w:rsidRDefault="000728AD">
            <w:pPr>
              <w:rPr>
                <w:sz w:val="1"/>
                <w:szCs w:val="1"/>
              </w:rPr>
            </w:pPr>
          </w:p>
        </w:tc>
      </w:tr>
      <w:tr w:rsidR="000728AD">
        <w:trPr>
          <w:trHeight w:val="415"/>
        </w:trPr>
        <w:tc>
          <w:tcPr>
            <w:tcW w:w="8080" w:type="dxa"/>
            <w:vAlign w:val="bottom"/>
          </w:tcPr>
          <w:p w:rsidR="000728AD" w:rsidRDefault="000728AD">
            <w:pPr>
              <w:rPr>
                <w:sz w:val="24"/>
                <w:szCs w:val="24"/>
              </w:rPr>
            </w:pPr>
          </w:p>
        </w:tc>
        <w:tc>
          <w:tcPr>
            <w:tcW w:w="280" w:type="dxa"/>
            <w:vAlign w:val="bottom"/>
          </w:tcPr>
          <w:p w:rsidR="000728AD" w:rsidRDefault="000728AD">
            <w:pPr>
              <w:rPr>
                <w:sz w:val="24"/>
                <w:szCs w:val="24"/>
              </w:rPr>
            </w:pPr>
          </w:p>
        </w:tc>
        <w:tc>
          <w:tcPr>
            <w:tcW w:w="1360" w:type="dxa"/>
            <w:gridSpan w:val="2"/>
            <w:vAlign w:val="bottom"/>
          </w:tcPr>
          <w:p w:rsidR="000728AD" w:rsidRDefault="000561BE">
            <w:pPr>
              <w:ind w:right="400"/>
              <w:jc w:val="center"/>
              <w:rPr>
                <w:sz w:val="20"/>
                <w:szCs w:val="20"/>
              </w:rPr>
            </w:pPr>
            <w:r>
              <w:rPr>
                <w:rFonts w:ascii="Arial" w:eastAsia="Arial" w:hAnsi="Arial" w:cs="Arial"/>
                <w:b/>
                <w:bCs/>
                <w:w w:val="88"/>
                <w:sz w:val="18"/>
                <w:szCs w:val="18"/>
              </w:rPr>
              <w:t>June 30,</w:t>
            </w:r>
          </w:p>
        </w:tc>
        <w:tc>
          <w:tcPr>
            <w:tcW w:w="180" w:type="dxa"/>
            <w:vAlign w:val="bottom"/>
          </w:tcPr>
          <w:p w:rsidR="000728AD" w:rsidRDefault="000728AD">
            <w:pPr>
              <w:rPr>
                <w:sz w:val="24"/>
                <w:szCs w:val="24"/>
              </w:rPr>
            </w:pPr>
          </w:p>
        </w:tc>
        <w:tc>
          <w:tcPr>
            <w:tcW w:w="1340" w:type="dxa"/>
            <w:vAlign w:val="bottom"/>
          </w:tcPr>
          <w:p w:rsidR="000728AD" w:rsidRDefault="000561BE">
            <w:pPr>
              <w:ind w:right="84"/>
              <w:jc w:val="center"/>
              <w:rPr>
                <w:sz w:val="20"/>
                <w:szCs w:val="20"/>
              </w:rPr>
            </w:pPr>
            <w:r>
              <w:rPr>
                <w:rFonts w:ascii="Arial" w:eastAsia="Arial" w:hAnsi="Arial" w:cs="Arial"/>
                <w:b/>
                <w:bCs/>
                <w:w w:val="88"/>
                <w:sz w:val="18"/>
                <w:szCs w:val="18"/>
              </w:rPr>
              <w:t>December 31,</w:t>
            </w:r>
          </w:p>
        </w:tc>
        <w:tc>
          <w:tcPr>
            <w:tcW w:w="0" w:type="dxa"/>
            <w:vAlign w:val="bottom"/>
          </w:tcPr>
          <w:p w:rsidR="000728AD" w:rsidRDefault="000728AD">
            <w:pPr>
              <w:rPr>
                <w:sz w:val="1"/>
                <w:szCs w:val="1"/>
              </w:rPr>
            </w:pPr>
          </w:p>
        </w:tc>
      </w:tr>
      <w:tr w:rsidR="000728AD">
        <w:trPr>
          <w:trHeight w:val="230"/>
        </w:trPr>
        <w:tc>
          <w:tcPr>
            <w:tcW w:w="8080" w:type="dxa"/>
            <w:tcBorders>
              <w:bottom w:val="single" w:sz="8" w:space="0" w:color="CCEEFF"/>
            </w:tcBorders>
            <w:vAlign w:val="bottom"/>
          </w:tcPr>
          <w:p w:rsidR="000728AD" w:rsidRDefault="000728AD">
            <w:pPr>
              <w:rPr>
                <w:sz w:val="19"/>
                <w:szCs w:val="19"/>
              </w:rPr>
            </w:pPr>
          </w:p>
        </w:tc>
        <w:tc>
          <w:tcPr>
            <w:tcW w:w="280" w:type="dxa"/>
            <w:tcBorders>
              <w:bottom w:val="single" w:sz="8" w:space="0" w:color="auto"/>
            </w:tcBorders>
            <w:vAlign w:val="bottom"/>
          </w:tcPr>
          <w:p w:rsidR="000728AD" w:rsidRDefault="000728AD">
            <w:pPr>
              <w:rPr>
                <w:sz w:val="19"/>
                <w:szCs w:val="19"/>
              </w:rPr>
            </w:pPr>
          </w:p>
        </w:tc>
        <w:tc>
          <w:tcPr>
            <w:tcW w:w="1240" w:type="dxa"/>
            <w:tcBorders>
              <w:bottom w:val="single" w:sz="8" w:space="0" w:color="auto"/>
            </w:tcBorders>
            <w:vAlign w:val="bottom"/>
          </w:tcPr>
          <w:p w:rsidR="000728AD" w:rsidRDefault="000561BE">
            <w:pPr>
              <w:ind w:right="184"/>
              <w:jc w:val="center"/>
              <w:rPr>
                <w:sz w:val="20"/>
                <w:szCs w:val="20"/>
              </w:rPr>
            </w:pPr>
            <w:r>
              <w:rPr>
                <w:rFonts w:ascii="Arial" w:eastAsia="Arial" w:hAnsi="Arial" w:cs="Arial"/>
                <w:b/>
                <w:bCs/>
                <w:w w:val="89"/>
                <w:sz w:val="18"/>
                <w:szCs w:val="18"/>
              </w:rPr>
              <w:t>2021</w:t>
            </w:r>
          </w:p>
        </w:tc>
        <w:tc>
          <w:tcPr>
            <w:tcW w:w="120" w:type="dxa"/>
            <w:tcBorders>
              <w:bottom w:val="single" w:sz="8" w:space="0" w:color="CCEEFF"/>
            </w:tcBorders>
            <w:vAlign w:val="bottom"/>
          </w:tcPr>
          <w:p w:rsidR="000728AD" w:rsidRDefault="000728AD">
            <w:pPr>
              <w:rPr>
                <w:sz w:val="19"/>
                <w:szCs w:val="19"/>
              </w:rPr>
            </w:pPr>
          </w:p>
        </w:tc>
        <w:tc>
          <w:tcPr>
            <w:tcW w:w="180" w:type="dxa"/>
            <w:tcBorders>
              <w:bottom w:val="single" w:sz="8" w:space="0" w:color="auto"/>
            </w:tcBorders>
            <w:vAlign w:val="bottom"/>
          </w:tcPr>
          <w:p w:rsidR="000728AD" w:rsidRDefault="000728AD">
            <w:pPr>
              <w:rPr>
                <w:sz w:val="19"/>
                <w:szCs w:val="19"/>
              </w:rPr>
            </w:pPr>
          </w:p>
        </w:tc>
        <w:tc>
          <w:tcPr>
            <w:tcW w:w="1340" w:type="dxa"/>
            <w:tcBorders>
              <w:bottom w:val="single" w:sz="8" w:space="0" w:color="auto"/>
            </w:tcBorders>
            <w:vAlign w:val="bottom"/>
          </w:tcPr>
          <w:p w:rsidR="000728AD" w:rsidRDefault="000561BE">
            <w:pPr>
              <w:ind w:right="84"/>
              <w:jc w:val="center"/>
              <w:rPr>
                <w:sz w:val="20"/>
                <w:szCs w:val="20"/>
              </w:rPr>
            </w:pPr>
            <w:r>
              <w:rPr>
                <w:rFonts w:ascii="Arial" w:eastAsia="Arial" w:hAnsi="Arial" w:cs="Arial"/>
                <w:b/>
                <w:bCs/>
                <w:w w:val="89"/>
                <w:sz w:val="18"/>
                <w:szCs w:val="18"/>
              </w:rPr>
              <w:t>2020</w:t>
            </w:r>
          </w:p>
        </w:tc>
        <w:tc>
          <w:tcPr>
            <w:tcW w:w="0" w:type="dxa"/>
            <w:vAlign w:val="bottom"/>
          </w:tcPr>
          <w:p w:rsidR="000728AD" w:rsidRDefault="000728AD">
            <w:pPr>
              <w:rPr>
                <w:sz w:val="1"/>
                <w:szCs w:val="1"/>
              </w:rPr>
            </w:pPr>
          </w:p>
        </w:tc>
      </w:tr>
      <w:tr w:rsidR="000728AD">
        <w:trPr>
          <w:trHeight w:val="236"/>
        </w:trPr>
        <w:tc>
          <w:tcPr>
            <w:tcW w:w="8080" w:type="dxa"/>
            <w:shd w:val="clear" w:color="auto" w:fill="CCEEFF"/>
            <w:vAlign w:val="bottom"/>
          </w:tcPr>
          <w:p w:rsidR="000728AD" w:rsidRDefault="000561BE">
            <w:pPr>
              <w:ind w:left="20"/>
              <w:rPr>
                <w:sz w:val="20"/>
                <w:szCs w:val="20"/>
              </w:rPr>
            </w:pPr>
            <w:r>
              <w:rPr>
                <w:rFonts w:ascii="Arial" w:eastAsia="Arial" w:hAnsi="Arial" w:cs="Arial"/>
                <w:sz w:val="20"/>
                <w:szCs w:val="20"/>
              </w:rPr>
              <w:t>Principal amount of long-term debt</w:t>
            </w:r>
          </w:p>
        </w:tc>
        <w:tc>
          <w:tcPr>
            <w:tcW w:w="280" w:type="dxa"/>
            <w:shd w:val="clear" w:color="auto" w:fill="CCEEFF"/>
            <w:vAlign w:val="bottom"/>
          </w:tcPr>
          <w:p w:rsidR="000728AD" w:rsidRDefault="000561BE">
            <w:pPr>
              <w:ind w:right="61"/>
              <w:jc w:val="right"/>
              <w:rPr>
                <w:sz w:val="20"/>
                <w:szCs w:val="20"/>
              </w:rPr>
            </w:pPr>
            <w:r>
              <w:rPr>
                <w:rFonts w:ascii="Arial" w:eastAsia="Arial" w:hAnsi="Arial" w:cs="Arial"/>
                <w:w w:val="89"/>
                <w:sz w:val="20"/>
                <w:szCs w:val="20"/>
              </w:rPr>
              <w:t>$</w:t>
            </w:r>
          </w:p>
        </w:tc>
        <w:tc>
          <w:tcPr>
            <w:tcW w:w="1240" w:type="dxa"/>
            <w:shd w:val="clear" w:color="auto" w:fill="CCEEFF"/>
            <w:vAlign w:val="bottom"/>
          </w:tcPr>
          <w:p w:rsidR="000728AD" w:rsidRDefault="000561BE">
            <w:pPr>
              <w:jc w:val="right"/>
              <w:rPr>
                <w:sz w:val="20"/>
                <w:szCs w:val="20"/>
              </w:rPr>
            </w:pPr>
            <w:r>
              <w:rPr>
                <w:rFonts w:ascii="Arial" w:eastAsia="Arial" w:hAnsi="Arial" w:cs="Arial"/>
                <w:sz w:val="20"/>
                <w:szCs w:val="20"/>
              </w:rPr>
              <w:t>26,000</w:t>
            </w:r>
          </w:p>
        </w:tc>
        <w:tc>
          <w:tcPr>
            <w:tcW w:w="120" w:type="dxa"/>
            <w:shd w:val="clear" w:color="auto" w:fill="CCEEFF"/>
            <w:vAlign w:val="bottom"/>
          </w:tcPr>
          <w:p w:rsidR="000728AD" w:rsidRDefault="000728AD">
            <w:pPr>
              <w:rPr>
                <w:sz w:val="20"/>
                <w:szCs w:val="20"/>
              </w:rPr>
            </w:pPr>
          </w:p>
        </w:tc>
        <w:tc>
          <w:tcPr>
            <w:tcW w:w="180" w:type="dxa"/>
            <w:shd w:val="clear" w:color="auto" w:fill="CCEEFF"/>
            <w:vAlign w:val="bottom"/>
          </w:tcPr>
          <w:p w:rsidR="000728AD" w:rsidRDefault="000561BE">
            <w:pPr>
              <w:jc w:val="right"/>
              <w:rPr>
                <w:sz w:val="20"/>
                <w:szCs w:val="20"/>
              </w:rPr>
            </w:pPr>
            <w:r>
              <w:rPr>
                <w:rFonts w:ascii="Arial" w:eastAsia="Arial" w:hAnsi="Arial" w:cs="Arial"/>
                <w:w w:val="89"/>
                <w:sz w:val="20"/>
                <w:szCs w:val="20"/>
              </w:rPr>
              <w:t>$</w:t>
            </w:r>
          </w:p>
        </w:tc>
        <w:tc>
          <w:tcPr>
            <w:tcW w:w="1340" w:type="dxa"/>
            <w:shd w:val="clear" w:color="auto" w:fill="CCEEFF"/>
            <w:vAlign w:val="bottom"/>
          </w:tcPr>
          <w:p w:rsidR="000728AD" w:rsidRDefault="000561BE">
            <w:pPr>
              <w:jc w:val="right"/>
              <w:rPr>
                <w:sz w:val="20"/>
                <w:szCs w:val="20"/>
              </w:rPr>
            </w:pPr>
            <w:r>
              <w:rPr>
                <w:rFonts w:ascii="Arial" w:eastAsia="Arial" w:hAnsi="Arial" w:cs="Arial"/>
                <w:sz w:val="20"/>
                <w:szCs w:val="20"/>
              </w:rPr>
              <w:t>26,000</w:t>
            </w:r>
          </w:p>
        </w:tc>
        <w:tc>
          <w:tcPr>
            <w:tcW w:w="0" w:type="dxa"/>
            <w:vAlign w:val="bottom"/>
          </w:tcPr>
          <w:p w:rsidR="000728AD" w:rsidRDefault="000728AD">
            <w:pPr>
              <w:rPr>
                <w:sz w:val="1"/>
                <w:szCs w:val="1"/>
              </w:rPr>
            </w:pPr>
          </w:p>
        </w:tc>
      </w:tr>
      <w:tr w:rsidR="000728AD">
        <w:trPr>
          <w:trHeight w:val="243"/>
        </w:trPr>
        <w:tc>
          <w:tcPr>
            <w:tcW w:w="8080" w:type="dxa"/>
            <w:vAlign w:val="bottom"/>
          </w:tcPr>
          <w:p w:rsidR="000728AD" w:rsidRDefault="000561BE">
            <w:pPr>
              <w:ind w:left="20"/>
              <w:rPr>
                <w:sz w:val="20"/>
                <w:szCs w:val="20"/>
              </w:rPr>
            </w:pPr>
            <w:r>
              <w:rPr>
                <w:rFonts w:ascii="Arial" w:eastAsia="Arial" w:hAnsi="Arial" w:cs="Arial"/>
                <w:sz w:val="20"/>
                <w:szCs w:val="20"/>
              </w:rPr>
              <w:t>Debt discount</w:t>
            </w:r>
          </w:p>
        </w:tc>
        <w:tc>
          <w:tcPr>
            <w:tcW w:w="280" w:type="dxa"/>
            <w:vAlign w:val="bottom"/>
          </w:tcPr>
          <w:p w:rsidR="000728AD" w:rsidRDefault="000728AD">
            <w:pPr>
              <w:rPr>
                <w:sz w:val="21"/>
                <w:szCs w:val="21"/>
              </w:rPr>
            </w:pPr>
          </w:p>
        </w:tc>
        <w:tc>
          <w:tcPr>
            <w:tcW w:w="1240" w:type="dxa"/>
            <w:vAlign w:val="bottom"/>
          </w:tcPr>
          <w:p w:rsidR="000728AD" w:rsidRDefault="000561BE">
            <w:pPr>
              <w:jc w:val="right"/>
              <w:rPr>
                <w:sz w:val="20"/>
                <w:szCs w:val="20"/>
              </w:rPr>
            </w:pPr>
            <w:r>
              <w:rPr>
                <w:rFonts w:ascii="Arial" w:eastAsia="Arial" w:hAnsi="Arial" w:cs="Arial"/>
                <w:sz w:val="20"/>
                <w:szCs w:val="20"/>
              </w:rPr>
              <w:t>(234)</w:t>
            </w:r>
          </w:p>
        </w:tc>
        <w:tc>
          <w:tcPr>
            <w:tcW w:w="120" w:type="dxa"/>
            <w:vAlign w:val="bottom"/>
          </w:tcPr>
          <w:p w:rsidR="000728AD" w:rsidRDefault="000728AD">
            <w:pPr>
              <w:rPr>
                <w:sz w:val="21"/>
                <w:szCs w:val="21"/>
              </w:rPr>
            </w:pPr>
          </w:p>
        </w:tc>
        <w:tc>
          <w:tcPr>
            <w:tcW w:w="180" w:type="dxa"/>
            <w:vAlign w:val="bottom"/>
          </w:tcPr>
          <w:p w:rsidR="000728AD" w:rsidRDefault="000728AD">
            <w:pPr>
              <w:rPr>
                <w:sz w:val="21"/>
                <w:szCs w:val="21"/>
              </w:rPr>
            </w:pPr>
          </w:p>
        </w:tc>
        <w:tc>
          <w:tcPr>
            <w:tcW w:w="1340" w:type="dxa"/>
            <w:vAlign w:val="bottom"/>
          </w:tcPr>
          <w:p w:rsidR="000728AD" w:rsidRDefault="000561BE">
            <w:pPr>
              <w:jc w:val="right"/>
              <w:rPr>
                <w:sz w:val="20"/>
                <w:szCs w:val="20"/>
              </w:rPr>
            </w:pPr>
            <w:r>
              <w:rPr>
                <w:rFonts w:ascii="Arial" w:eastAsia="Arial" w:hAnsi="Arial" w:cs="Arial"/>
                <w:sz w:val="20"/>
                <w:szCs w:val="20"/>
              </w:rPr>
              <w:t>(308)</w:t>
            </w:r>
          </w:p>
        </w:tc>
        <w:tc>
          <w:tcPr>
            <w:tcW w:w="0" w:type="dxa"/>
            <w:vAlign w:val="bottom"/>
          </w:tcPr>
          <w:p w:rsidR="000728AD" w:rsidRDefault="000728AD">
            <w:pPr>
              <w:rPr>
                <w:sz w:val="1"/>
                <w:szCs w:val="1"/>
              </w:rPr>
            </w:pPr>
          </w:p>
        </w:tc>
      </w:tr>
      <w:tr w:rsidR="000728AD">
        <w:trPr>
          <w:trHeight w:val="243"/>
        </w:trPr>
        <w:tc>
          <w:tcPr>
            <w:tcW w:w="8080" w:type="dxa"/>
            <w:shd w:val="clear" w:color="auto" w:fill="CCEEFF"/>
            <w:vAlign w:val="bottom"/>
          </w:tcPr>
          <w:p w:rsidR="000728AD" w:rsidRDefault="000561BE">
            <w:pPr>
              <w:ind w:left="20"/>
              <w:rPr>
                <w:sz w:val="20"/>
                <w:szCs w:val="20"/>
              </w:rPr>
            </w:pPr>
            <w:r>
              <w:rPr>
                <w:rFonts w:ascii="Arial" w:eastAsia="Arial" w:hAnsi="Arial" w:cs="Arial"/>
                <w:sz w:val="20"/>
                <w:szCs w:val="20"/>
              </w:rPr>
              <w:t>Deferred financing fees</w:t>
            </w:r>
          </w:p>
        </w:tc>
        <w:tc>
          <w:tcPr>
            <w:tcW w:w="280" w:type="dxa"/>
            <w:shd w:val="clear" w:color="auto" w:fill="CCEEFF"/>
            <w:vAlign w:val="bottom"/>
          </w:tcPr>
          <w:p w:rsidR="000728AD" w:rsidRDefault="000728AD">
            <w:pPr>
              <w:rPr>
                <w:sz w:val="21"/>
                <w:szCs w:val="21"/>
              </w:rPr>
            </w:pPr>
          </w:p>
        </w:tc>
        <w:tc>
          <w:tcPr>
            <w:tcW w:w="1240" w:type="dxa"/>
            <w:shd w:val="clear" w:color="auto" w:fill="CCEEFF"/>
            <w:vAlign w:val="bottom"/>
          </w:tcPr>
          <w:p w:rsidR="000728AD" w:rsidRDefault="000561BE">
            <w:pPr>
              <w:jc w:val="right"/>
              <w:rPr>
                <w:sz w:val="20"/>
                <w:szCs w:val="20"/>
              </w:rPr>
            </w:pPr>
            <w:r>
              <w:rPr>
                <w:rFonts w:ascii="Arial" w:eastAsia="Arial" w:hAnsi="Arial" w:cs="Arial"/>
                <w:sz w:val="20"/>
                <w:szCs w:val="20"/>
              </w:rPr>
              <w:t>(357)</w:t>
            </w:r>
          </w:p>
        </w:tc>
        <w:tc>
          <w:tcPr>
            <w:tcW w:w="120" w:type="dxa"/>
            <w:shd w:val="clear" w:color="auto" w:fill="CCEEFF"/>
            <w:vAlign w:val="bottom"/>
          </w:tcPr>
          <w:p w:rsidR="000728AD" w:rsidRDefault="000728AD">
            <w:pPr>
              <w:rPr>
                <w:sz w:val="21"/>
                <w:szCs w:val="21"/>
              </w:rPr>
            </w:pPr>
          </w:p>
        </w:tc>
        <w:tc>
          <w:tcPr>
            <w:tcW w:w="180" w:type="dxa"/>
            <w:shd w:val="clear" w:color="auto" w:fill="CCEEFF"/>
            <w:vAlign w:val="bottom"/>
          </w:tcPr>
          <w:p w:rsidR="000728AD" w:rsidRDefault="000728AD">
            <w:pPr>
              <w:rPr>
                <w:sz w:val="21"/>
                <w:szCs w:val="21"/>
              </w:rPr>
            </w:pPr>
          </w:p>
        </w:tc>
        <w:tc>
          <w:tcPr>
            <w:tcW w:w="1340" w:type="dxa"/>
            <w:shd w:val="clear" w:color="auto" w:fill="CCEEFF"/>
            <w:vAlign w:val="bottom"/>
          </w:tcPr>
          <w:p w:rsidR="000728AD" w:rsidRDefault="000561BE">
            <w:pPr>
              <w:jc w:val="right"/>
              <w:rPr>
                <w:sz w:val="20"/>
                <w:szCs w:val="20"/>
              </w:rPr>
            </w:pPr>
            <w:r>
              <w:rPr>
                <w:rFonts w:ascii="Arial" w:eastAsia="Arial" w:hAnsi="Arial" w:cs="Arial"/>
                <w:sz w:val="20"/>
                <w:szCs w:val="20"/>
              </w:rPr>
              <w:t>(470)</w:t>
            </w:r>
          </w:p>
        </w:tc>
        <w:tc>
          <w:tcPr>
            <w:tcW w:w="0" w:type="dxa"/>
            <w:vAlign w:val="bottom"/>
          </w:tcPr>
          <w:p w:rsidR="000728AD" w:rsidRDefault="000728AD">
            <w:pPr>
              <w:rPr>
                <w:sz w:val="1"/>
                <w:szCs w:val="1"/>
              </w:rPr>
            </w:pPr>
          </w:p>
        </w:tc>
      </w:tr>
      <w:tr w:rsidR="000728AD">
        <w:trPr>
          <w:trHeight w:val="243"/>
        </w:trPr>
        <w:tc>
          <w:tcPr>
            <w:tcW w:w="8080" w:type="dxa"/>
            <w:tcBorders>
              <w:bottom w:val="single" w:sz="8" w:space="0" w:color="CCEEFF"/>
            </w:tcBorders>
            <w:vAlign w:val="bottom"/>
          </w:tcPr>
          <w:p w:rsidR="000728AD" w:rsidRDefault="000561BE">
            <w:pPr>
              <w:ind w:left="20"/>
              <w:rPr>
                <w:sz w:val="20"/>
                <w:szCs w:val="20"/>
              </w:rPr>
            </w:pPr>
            <w:r>
              <w:rPr>
                <w:rFonts w:ascii="Arial" w:eastAsia="Arial" w:hAnsi="Arial" w:cs="Arial"/>
                <w:sz w:val="20"/>
                <w:szCs w:val="20"/>
              </w:rPr>
              <w:t xml:space="preserve">Current portion of </w:t>
            </w:r>
            <w:r>
              <w:rPr>
                <w:rFonts w:ascii="Arial" w:eastAsia="Arial" w:hAnsi="Arial" w:cs="Arial"/>
                <w:sz w:val="20"/>
                <w:szCs w:val="20"/>
              </w:rPr>
              <w:t>long-term debt</w:t>
            </w:r>
          </w:p>
        </w:tc>
        <w:tc>
          <w:tcPr>
            <w:tcW w:w="280" w:type="dxa"/>
            <w:tcBorders>
              <w:bottom w:val="single" w:sz="8" w:space="0" w:color="auto"/>
            </w:tcBorders>
            <w:vAlign w:val="bottom"/>
          </w:tcPr>
          <w:p w:rsidR="000728AD" w:rsidRDefault="000728AD">
            <w:pPr>
              <w:rPr>
                <w:sz w:val="21"/>
                <w:szCs w:val="21"/>
              </w:rPr>
            </w:pPr>
          </w:p>
        </w:tc>
        <w:tc>
          <w:tcPr>
            <w:tcW w:w="124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(5,778)</w:t>
            </w:r>
          </w:p>
        </w:tc>
        <w:tc>
          <w:tcPr>
            <w:tcW w:w="120" w:type="dxa"/>
            <w:tcBorders>
              <w:bottom w:val="single" w:sz="8" w:space="0" w:color="CCEEFF"/>
            </w:tcBorders>
            <w:vAlign w:val="bottom"/>
          </w:tcPr>
          <w:p w:rsidR="000728AD" w:rsidRDefault="000728AD">
            <w:pPr>
              <w:rPr>
                <w:sz w:val="21"/>
                <w:szCs w:val="21"/>
              </w:rPr>
            </w:pPr>
          </w:p>
        </w:tc>
        <w:tc>
          <w:tcPr>
            <w:tcW w:w="180" w:type="dxa"/>
            <w:tcBorders>
              <w:bottom w:val="single" w:sz="8" w:space="0" w:color="auto"/>
            </w:tcBorders>
            <w:vAlign w:val="bottom"/>
          </w:tcPr>
          <w:p w:rsidR="000728AD" w:rsidRDefault="000728AD">
            <w:pPr>
              <w:rPr>
                <w:sz w:val="21"/>
                <w:szCs w:val="21"/>
              </w:rPr>
            </w:pPr>
          </w:p>
        </w:tc>
        <w:tc>
          <w:tcPr>
            <w:tcW w:w="134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w:t>
            </w:r>
          </w:p>
        </w:tc>
        <w:tc>
          <w:tcPr>
            <w:tcW w:w="0" w:type="dxa"/>
            <w:vAlign w:val="bottom"/>
          </w:tcPr>
          <w:p w:rsidR="000728AD" w:rsidRDefault="000728AD">
            <w:pPr>
              <w:rPr>
                <w:sz w:val="1"/>
                <w:szCs w:val="1"/>
              </w:rPr>
            </w:pPr>
          </w:p>
        </w:tc>
      </w:tr>
      <w:tr w:rsidR="000728AD">
        <w:trPr>
          <w:trHeight w:val="261"/>
        </w:trPr>
        <w:tc>
          <w:tcPr>
            <w:tcW w:w="8080" w:type="dxa"/>
            <w:tcBorders>
              <w:bottom w:val="single" w:sz="8" w:space="0" w:color="CCEEFF"/>
            </w:tcBorders>
            <w:shd w:val="clear" w:color="auto" w:fill="CCEEFF"/>
            <w:vAlign w:val="bottom"/>
          </w:tcPr>
          <w:p w:rsidR="000728AD" w:rsidRDefault="000561BE">
            <w:pPr>
              <w:ind w:left="20"/>
              <w:rPr>
                <w:sz w:val="20"/>
                <w:szCs w:val="20"/>
              </w:rPr>
            </w:pPr>
            <w:r>
              <w:rPr>
                <w:rFonts w:ascii="Arial" w:eastAsia="Arial" w:hAnsi="Arial" w:cs="Arial"/>
                <w:sz w:val="20"/>
                <w:szCs w:val="20"/>
              </w:rPr>
              <w:t>Long-term debt, net of current portion and discount</w:t>
            </w:r>
          </w:p>
        </w:tc>
        <w:tc>
          <w:tcPr>
            <w:tcW w:w="280" w:type="dxa"/>
            <w:tcBorders>
              <w:bottom w:val="single" w:sz="8" w:space="0" w:color="auto"/>
            </w:tcBorders>
            <w:shd w:val="clear" w:color="auto" w:fill="CCEEFF"/>
            <w:vAlign w:val="bottom"/>
          </w:tcPr>
          <w:p w:rsidR="000728AD" w:rsidRDefault="000561BE">
            <w:pPr>
              <w:ind w:right="61"/>
              <w:jc w:val="right"/>
              <w:rPr>
                <w:sz w:val="20"/>
                <w:szCs w:val="20"/>
              </w:rPr>
            </w:pPr>
            <w:r>
              <w:rPr>
                <w:rFonts w:ascii="Arial" w:eastAsia="Arial" w:hAnsi="Arial" w:cs="Arial"/>
                <w:w w:val="89"/>
                <w:sz w:val="20"/>
                <w:szCs w:val="20"/>
              </w:rPr>
              <w:t>$</w:t>
            </w:r>
          </w:p>
        </w:tc>
        <w:tc>
          <w:tcPr>
            <w:tcW w:w="124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19,631</w:t>
            </w:r>
          </w:p>
        </w:tc>
        <w:tc>
          <w:tcPr>
            <w:tcW w:w="120" w:type="dxa"/>
            <w:tcBorders>
              <w:bottom w:val="single" w:sz="8" w:space="0" w:color="CCEEFF"/>
            </w:tcBorders>
            <w:shd w:val="clear" w:color="auto" w:fill="CCEEFF"/>
            <w:vAlign w:val="bottom"/>
          </w:tcPr>
          <w:p w:rsidR="000728AD" w:rsidRDefault="000728AD"/>
        </w:tc>
        <w:tc>
          <w:tcPr>
            <w:tcW w:w="18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w w:val="89"/>
                <w:sz w:val="20"/>
                <w:szCs w:val="20"/>
              </w:rPr>
              <w:t>$</w:t>
            </w:r>
          </w:p>
        </w:tc>
        <w:tc>
          <w:tcPr>
            <w:tcW w:w="134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25,222</w:t>
            </w:r>
          </w:p>
        </w:tc>
        <w:tc>
          <w:tcPr>
            <w:tcW w:w="0" w:type="dxa"/>
            <w:vAlign w:val="bottom"/>
          </w:tcPr>
          <w:p w:rsidR="000728AD" w:rsidRDefault="000728AD">
            <w:pPr>
              <w:rPr>
                <w:sz w:val="1"/>
                <w:szCs w:val="1"/>
              </w:rPr>
            </w:pPr>
          </w:p>
        </w:tc>
      </w:tr>
      <w:tr w:rsidR="000728AD">
        <w:trPr>
          <w:trHeight w:val="20"/>
        </w:trPr>
        <w:tc>
          <w:tcPr>
            <w:tcW w:w="8080" w:type="dxa"/>
            <w:tcBorders>
              <w:top w:val="single" w:sz="8" w:space="0" w:color="CCEEFF"/>
            </w:tcBorders>
            <w:vAlign w:val="bottom"/>
          </w:tcPr>
          <w:p w:rsidR="000728AD" w:rsidRDefault="000728AD">
            <w:pPr>
              <w:spacing w:line="20" w:lineRule="exact"/>
              <w:rPr>
                <w:sz w:val="1"/>
                <w:szCs w:val="1"/>
              </w:rPr>
            </w:pPr>
          </w:p>
        </w:tc>
        <w:tc>
          <w:tcPr>
            <w:tcW w:w="28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24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20" w:type="dxa"/>
            <w:tcBorders>
              <w:top w:val="single" w:sz="8" w:space="0" w:color="CCEEFF"/>
            </w:tcBorders>
            <w:vAlign w:val="bottom"/>
          </w:tcPr>
          <w:p w:rsidR="000728AD" w:rsidRDefault="000728AD">
            <w:pPr>
              <w:spacing w:line="20" w:lineRule="exact"/>
              <w:rPr>
                <w:sz w:val="1"/>
                <w:szCs w:val="1"/>
              </w:rPr>
            </w:pPr>
          </w:p>
        </w:tc>
        <w:tc>
          <w:tcPr>
            <w:tcW w:w="18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34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0" w:type="dxa"/>
            <w:vAlign w:val="bottom"/>
          </w:tcPr>
          <w:p w:rsidR="000728AD" w:rsidRDefault="000728AD">
            <w:pPr>
              <w:spacing w:line="20" w:lineRule="exact"/>
              <w:rPr>
                <w:sz w:val="1"/>
                <w:szCs w:val="1"/>
              </w:rPr>
            </w:pPr>
          </w:p>
        </w:tc>
      </w:tr>
    </w:tbl>
    <w:p w:rsidR="000728AD" w:rsidRDefault="000728AD">
      <w:pPr>
        <w:spacing w:line="294" w:lineRule="exact"/>
        <w:rPr>
          <w:sz w:val="20"/>
          <w:szCs w:val="20"/>
        </w:rPr>
      </w:pPr>
    </w:p>
    <w:p w:rsidR="000728AD" w:rsidRDefault="000561BE">
      <w:pPr>
        <w:spacing w:line="246" w:lineRule="auto"/>
        <w:ind w:right="120"/>
        <w:rPr>
          <w:sz w:val="20"/>
          <w:szCs w:val="20"/>
        </w:rPr>
      </w:pPr>
      <w:r>
        <w:rPr>
          <w:rFonts w:ascii="Arial" w:eastAsia="Arial" w:hAnsi="Arial" w:cs="Arial"/>
          <w:sz w:val="20"/>
          <w:szCs w:val="20"/>
        </w:rPr>
        <w:t xml:space="preserve">In January 2018, the Company entered into a Loan and Security Agreement. Under the Loan and Security Agreement, the Company granted the </w:t>
      </w:r>
      <w:r>
        <w:rPr>
          <w:rFonts w:ascii="Arial" w:eastAsia="Arial" w:hAnsi="Arial" w:cs="Arial"/>
          <w:sz w:val="20"/>
          <w:szCs w:val="20"/>
        </w:rPr>
        <w:t>lender a first priority security interest in all assets of the Company, excluding intellectual property and granted a negative pledge on such intellectual property. Additionally, there are no financial covenants under the agreement; however, the Company ad</w:t>
      </w:r>
      <w:r>
        <w:rPr>
          <w:rFonts w:ascii="Arial" w:eastAsia="Arial" w:hAnsi="Arial" w:cs="Arial"/>
          <w:sz w:val="20"/>
          <w:szCs w:val="20"/>
        </w:rPr>
        <w:t>heres to non-financial covenants. The interest rate is LIBOR plus 8.50% per annum.</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8" w:lineRule="exact"/>
        <w:rPr>
          <w:sz w:val="20"/>
          <w:szCs w:val="20"/>
        </w:rPr>
      </w:pPr>
    </w:p>
    <w:p w:rsidR="000728AD" w:rsidRDefault="000561BE">
      <w:pPr>
        <w:jc w:val="center"/>
        <w:rPr>
          <w:sz w:val="20"/>
          <w:szCs w:val="20"/>
        </w:rPr>
      </w:pPr>
      <w:r>
        <w:rPr>
          <w:rFonts w:ascii="Arial" w:eastAsia="Arial" w:hAnsi="Arial" w:cs="Arial"/>
          <w:sz w:val="18"/>
          <w:szCs w:val="18"/>
        </w:rPr>
        <w:t>16</w:t>
      </w:r>
    </w:p>
    <w:p w:rsidR="000728AD" w:rsidRDefault="000561BE">
      <w:pPr>
        <w:spacing w:line="20" w:lineRule="exact"/>
        <w:rPr>
          <w:sz w:val="20"/>
          <w:szCs w:val="20"/>
        </w:rPr>
      </w:pPr>
      <w:r>
        <w:rPr>
          <w:noProof/>
          <w:sz w:val="20"/>
          <w:szCs w:val="20"/>
        </w:rPr>
        <w:drawing>
          <wp:anchor distT="0" distB="0" distL="114300" distR="114300" simplePos="0" relativeHeight="251621376"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17" w:name="page17"/>
    <w:bookmarkEnd w:id="17"/>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17" w:lineRule="exact"/>
        <w:rPr>
          <w:sz w:val="20"/>
          <w:szCs w:val="20"/>
        </w:rPr>
      </w:pPr>
    </w:p>
    <w:p w:rsidR="000728AD" w:rsidRDefault="000561BE">
      <w:pPr>
        <w:spacing w:line="263" w:lineRule="auto"/>
        <w:ind w:right="120"/>
        <w:jc w:val="both"/>
        <w:rPr>
          <w:sz w:val="20"/>
          <w:szCs w:val="20"/>
        </w:rPr>
      </w:pPr>
      <w:r>
        <w:rPr>
          <w:rFonts w:ascii="Arial" w:eastAsia="Arial" w:hAnsi="Arial" w:cs="Arial"/>
          <w:sz w:val="19"/>
          <w:szCs w:val="19"/>
        </w:rPr>
        <w:t xml:space="preserve">On August 28, 2020, the Loan and Security Agreement was further amended to, among other </w:t>
      </w:r>
      <w:r>
        <w:rPr>
          <w:rFonts w:ascii="Arial" w:eastAsia="Arial" w:hAnsi="Arial" w:cs="Arial"/>
          <w:sz w:val="19"/>
          <w:szCs w:val="19"/>
        </w:rPr>
        <w:t>things; (i) extend the date on which repayment of principal commences until November 2021, (ii) provide for further extensions of the date on which repayment of principal commences to February 2022 and May 2022, provided that certain specified regulatory a</w:t>
      </w:r>
      <w:r>
        <w:rPr>
          <w:rFonts w:ascii="Arial" w:eastAsia="Arial" w:hAnsi="Arial" w:cs="Arial"/>
          <w:sz w:val="19"/>
          <w:szCs w:val="19"/>
        </w:rPr>
        <w:t>nd clinical milestones are satisfied by the Company, (iii) increase the final payment fee from 5.35% to 6.35% and (iv) add a 0.2% floor to the LIBOR rate.</w:t>
      </w:r>
    </w:p>
    <w:p w:rsidR="000728AD" w:rsidRDefault="000728AD">
      <w:pPr>
        <w:spacing w:line="176" w:lineRule="exact"/>
        <w:rPr>
          <w:sz w:val="20"/>
          <w:szCs w:val="20"/>
        </w:rPr>
      </w:pPr>
    </w:p>
    <w:p w:rsidR="000728AD" w:rsidRDefault="000561BE">
      <w:pPr>
        <w:spacing w:line="250" w:lineRule="auto"/>
        <w:ind w:right="180"/>
        <w:rPr>
          <w:sz w:val="20"/>
          <w:szCs w:val="20"/>
        </w:rPr>
      </w:pPr>
      <w:r>
        <w:rPr>
          <w:rFonts w:ascii="Arial" w:eastAsia="Arial" w:hAnsi="Arial" w:cs="Arial"/>
          <w:sz w:val="20"/>
          <w:szCs w:val="20"/>
        </w:rPr>
        <w:t>The Company has achieved all three of the specified regulatory and clinical milestones; therefore, t</w:t>
      </w:r>
      <w:r>
        <w:rPr>
          <w:rFonts w:ascii="Arial" w:eastAsia="Arial" w:hAnsi="Arial" w:cs="Arial"/>
          <w:sz w:val="20"/>
          <w:szCs w:val="20"/>
        </w:rPr>
        <w:t>he date on which repayment of principal commences was extended to May 2022. The monthly principal payments of $2.9 million will be paid over a period of nine months</w:t>
      </w:r>
      <w:r>
        <w:rPr>
          <w:rFonts w:ascii="Arial" w:eastAsia="Arial" w:hAnsi="Arial" w:cs="Arial"/>
          <w:sz w:val="17"/>
          <w:szCs w:val="17"/>
        </w:rPr>
        <w:t>.</w:t>
      </w:r>
      <w:r>
        <w:rPr>
          <w:rFonts w:ascii="Arial" w:eastAsia="Arial" w:hAnsi="Arial" w:cs="Arial"/>
          <w:sz w:val="20"/>
          <w:szCs w:val="20"/>
        </w:rPr>
        <w:t xml:space="preserve"> The interest rate was 8.70% as of June 30, 2021.</w:t>
      </w:r>
    </w:p>
    <w:p w:rsidR="000728AD" w:rsidRDefault="000728AD">
      <w:pPr>
        <w:spacing w:line="186" w:lineRule="exact"/>
        <w:rPr>
          <w:sz w:val="20"/>
          <w:szCs w:val="20"/>
        </w:rPr>
      </w:pPr>
    </w:p>
    <w:p w:rsidR="000728AD" w:rsidRDefault="000561BE">
      <w:pPr>
        <w:spacing w:line="250" w:lineRule="auto"/>
        <w:ind w:right="20"/>
        <w:jc w:val="both"/>
        <w:rPr>
          <w:sz w:val="20"/>
          <w:szCs w:val="20"/>
        </w:rPr>
      </w:pPr>
      <w:r>
        <w:rPr>
          <w:rFonts w:ascii="Arial" w:eastAsia="Arial" w:hAnsi="Arial" w:cs="Arial"/>
          <w:sz w:val="20"/>
          <w:szCs w:val="20"/>
        </w:rPr>
        <w:t xml:space="preserve">The Company's debt facility </w:t>
      </w:r>
      <w:r>
        <w:rPr>
          <w:rFonts w:ascii="Arial" w:eastAsia="Arial" w:hAnsi="Arial" w:cs="Arial"/>
          <w:sz w:val="20"/>
          <w:szCs w:val="20"/>
        </w:rPr>
        <w:t>includes a terminal interest fee obligation totaling $1.7 million, which is due with the final principal payment of the loan. The Company is accruing the terminal fee obligation over the term of the facility. The carrying value of the terminal interest fee</w:t>
      </w:r>
      <w:r>
        <w:rPr>
          <w:rFonts w:ascii="Arial" w:eastAsia="Arial" w:hAnsi="Arial" w:cs="Arial"/>
          <w:sz w:val="20"/>
          <w:szCs w:val="20"/>
        </w:rPr>
        <w:t xml:space="preserve"> was $1.2 million and $1.1 million at June 30, 2021 and December 31, 2020, respectively.</w:t>
      </w:r>
    </w:p>
    <w:p w:rsidR="000728AD" w:rsidRDefault="000728AD">
      <w:pPr>
        <w:spacing w:line="186" w:lineRule="exact"/>
        <w:rPr>
          <w:sz w:val="20"/>
          <w:szCs w:val="20"/>
        </w:rPr>
      </w:pPr>
    </w:p>
    <w:p w:rsidR="000728AD" w:rsidRDefault="000561BE">
      <w:pPr>
        <w:rPr>
          <w:sz w:val="20"/>
          <w:szCs w:val="20"/>
        </w:rPr>
      </w:pPr>
      <w:r>
        <w:rPr>
          <w:rFonts w:ascii="Arial" w:eastAsia="Arial" w:hAnsi="Arial" w:cs="Arial"/>
          <w:sz w:val="20"/>
          <w:szCs w:val="20"/>
        </w:rPr>
        <w:t>The scheduled principal maturity of the long-term debt as of June 30, 2021 is as follows (in thousands):</w:t>
      </w:r>
    </w:p>
    <w:p w:rsidR="000728AD" w:rsidRDefault="000728AD">
      <w:pPr>
        <w:spacing w:line="255" w:lineRule="exact"/>
        <w:rPr>
          <w:sz w:val="20"/>
          <w:szCs w:val="20"/>
        </w:rPr>
      </w:pPr>
    </w:p>
    <w:p w:rsidR="000728AD" w:rsidRDefault="000561BE">
      <w:pPr>
        <w:ind w:left="20"/>
        <w:rPr>
          <w:sz w:val="20"/>
          <w:szCs w:val="20"/>
        </w:rPr>
      </w:pPr>
      <w:r>
        <w:rPr>
          <w:rFonts w:ascii="Arial" w:eastAsia="Arial" w:hAnsi="Arial" w:cs="Arial"/>
          <w:b/>
          <w:bCs/>
          <w:sz w:val="18"/>
          <w:szCs w:val="18"/>
        </w:rPr>
        <w:t>Year Ending December 31,</w:t>
      </w:r>
    </w:p>
    <w:p w:rsidR="000728AD" w:rsidRDefault="000728AD">
      <w:pPr>
        <w:spacing w:line="2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720"/>
        <w:gridCol w:w="500"/>
        <w:gridCol w:w="1020"/>
      </w:tblGrid>
      <w:tr w:rsidR="000728AD">
        <w:trPr>
          <w:trHeight w:val="237"/>
        </w:trPr>
        <w:tc>
          <w:tcPr>
            <w:tcW w:w="9720" w:type="dxa"/>
            <w:tcBorders>
              <w:top w:val="single" w:sz="8" w:space="0" w:color="auto"/>
            </w:tcBorders>
            <w:shd w:val="clear" w:color="auto" w:fill="CCEEFF"/>
            <w:vAlign w:val="bottom"/>
          </w:tcPr>
          <w:p w:rsidR="000728AD" w:rsidRDefault="000561BE">
            <w:pPr>
              <w:ind w:right="9201"/>
              <w:jc w:val="right"/>
              <w:rPr>
                <w:sz w:val="20"/>
                <w:szCs w:val="20"/>
              </w:rPr>
            </w:pPr>
            <w:r>
              <w:rPr>
                <w:rFonts w:ascii="Arial" w:eastAsia="Arial" w:hAnsi="Arial" w:cs="Arial"/>
                <w:w w:val="89"/>
                <w:sz w:val="20"/>
                <w:szCs w:val="20"/>
              </w:rPr>
              <w:t>2021</w:t>
            </w:r>
          </w:p>
        </w:tc>
        <w:tc>
          <w:tcPr>
            <w:tcW w:w="500" w:type="dxa"/>
            <w:tcBorders>
              <w:top w:val="single" w:sz="8" w:space="0" w:color="auto"/>
            </w:tcBorders>
            <w:shd w:val="clear" w:color="auto" w:fill="CCEEFF"/>
            <w:vAlign w:val="bottom"/>
          </w:tcPr>
          <w:p w:rsidR="000728AD" w:rsidRDefault="000561BE">
            <w:pPr>
              <w:ind w:right="281"/>
              <w:jc w:val="right"/>
              <w:rPr>
                <w:sz w:val="20"/>
                <w:szCs w:val="20"/>
              </w:rPr>
            </w:pPr>
            <w:r>
              <w:rPr>
                <w:rFonts w:ascii="Arial" w:eastAsia="Arial" w:hAnsi="Arial" w:cs="Arial"/>
                <w:w w:val="89"/>
                <w:sz w:val="20"/>
                <w:szCs w:val="20"/>
              </w:rPr>
              <w:t>$</w:t>
            </w:r>
          </w:p>
        </w:tc>
        <w:tc>
          <w:tcPr>
            <w:tcW w:w="102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w:t>
            </w:r>
          </w:p>
        </w:tc>
      </w:tr>
      <w:tr w:rsidR="000728AD">
        <w:trPr>
          <w:trHeight w:val="243"/>
        </w:trPr>
        <w:tc>
          <w:tcPr>
            <w:tcW w:w="9720" w:type="dxa"/>
            <w:vAlign w:val="bottom"/>
          </w:tcPr>
          <w:p w:rsidR="000728AD" w:rsidRDefault="000561BE">
            <w:pPr>
              <w:ind w:right="9201"/>
              <w:jc w:val="right"/>
              <w:rPr>
                <w:sz w:val="20"/>
                <w:szCs w:val="20"/>
              </w:rPr>
            </w:pPr>
            <w:r>
              <w:rPr>
                <w:rFonts w:ascii="Arial" w:eastAsia="Arial" w:hAnsi="Arial" w:cs="Arial"/>
                <w:w w:val="89"/>
                <w:sz w:val="20"/>
                <w:szCs w:val="20"/>
              </w:rPr>
              <w:t>2022</w:t>
            </w:r>
          </w:p>
        </w:tc>
        <w:tc>
          <w:tcPr>
            <w:tcW w:w="500" w:type="dxa"/>
            <w:vAlign w:val="bottom"/>
          </w:tcPr>
          <w:p w:rsidR="000728AD" w:rsidRDefault="000728AD">
            <w:pPr>
              <w:rPr>
                <w:sz w:val="21"/>
                <w:szCs w:val="21"/>
              </w:rPr>
            </w:pPr>
          </w:p>
        </w:tc>
        <w:tc>
          <w:tcPr>
            <w:tcW w:w="1020" w:type="dxa"/>
            <w:vAlign w:val="bottom"/>
          </w:tcPr>
          <w:p w:rsidR="000728AD" w:rsidRDefault="000561BE">
            <w:pPr>
              <w:jc w:val="right"/>
              <w:rPr>
                <w:sz w:val="20"/>
                <w:szCs w:val="20"/>
              </w:rPr>
            </w:pPr>
            <w:r>
              <w:rPr>
                <w:rFonts w:ascii="Arial" w:eastAsia="Arial" w:hAnsi="Arial" w:cs="Arial"/>
                <w:sz w:val="20"/>
                <w:szCs w:val="20"/>
              </w:rPr>
              <w:t>23,111</w:t>
            </w:r>
          </w:p>
        </w:tc>
      </w:tr>
      <w:tr w:rsidR="000728AD">
        <w:trPr>
          <w:trHeight w:val="243"/>
        </w:trPr>
        <w:tc>
          <w:tcPr>
            <w:tcW w:w="9720" w:type="dxa"/>
            <w:shd w:val="clear" w:color="auto" w:fill="CCEEFF"/>
            <w:vAlign w:val="bottom"/>
          </w:tcPr>
          <w:p w:rsidR="000728AD" w:rsidRDefault="000561BE">
            <w:pPr>
              <w:ind w:right="9201"/>
              <w:jc w:val="right"/>
              <w:rPr>
                <w:sz w:val="20"/>
                <w:szCs w:val="20"/>
              </w:rPr>
            </w:pPr>
            <w:r>
              <w:rPr>
                <w:rFonts w:ascii="Arial" w:eastAsia="Arial" w:hAnsi="Arial" w:cs="Arial"/>
                <w:w w:val="89"/>
                <w:sz w:val="20"/>
                <w:szCs w:val="20"/>
              </w:rPr>
              <w:t>2023</w:t>
            </w:r>
          </w:p>
        </w:tc>
        <w:tc>
          <w:tcPr>
            <w:tcW w:w="500" w:type="dxa"/>
            <w:tcBorders>
              <w:bottom w:val="single" w:sz="8" w:space="0" w:color="auto"/>
            </w:tcBorders>
            <w:shd w:val="clear" w:color="auto" w:fill="CCEEFF"/>
            <w:vAlign w:val="bottom"/>
          </w:tcPr>
          <w:p w:rsidR="000728AD" w:rsidRDefault="000728AD">
            <w:pPr>
              <w:rPr>
                <w:sz w:val="21"/>
                <w:szCs w:val="21"/>
              </w:rPr>
            </w:pPr>
          </w:p>
        </w:tc>
        <w:tc>
          <w:tcPr>
            <w:tcW w:w="102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2,889</w:t>
            </w:r>
          </w:p>
        </w:tc>
      </w:tr>
      <w:tr w:rsidR="000728AD">
        <w:trPr>
          <w:trHeight w:val="237"/>
        </w:trPr>
        <w:tc>
          <w:tcPr>
            <w:tcW w:w="9720" w:type="dxa"/>
            <w:vAlign w:val="bottom"/>
          </w:tcPr>
          <w:p w:rsidR="000728AD" w:rsidRDefault="000728AD">
            <w:pPr>
              <w:rPr>
                <w:sz w:val="20"/>
                <w:szCs w:val="20"/>
              </w:rPr>
            </w:pPr>
          </w:p>
        </w:tc>
        <w:tc>
          <w:tcPr>
            <w:tcW w:w="500" w:type="dxa"/>
            <w:tcBorders>
              <w:bottom w:val="single" w:sz="8" w:space="0" w:color="auto"/>
            </w:tcBorders>
            <w:vAlign w:val="bottom"/>
          </w:tcPr>
          <w:p w:rsidR="000728AD" w:rsidRDefault="000561BE">
            <w:pPr>
              <w:ind w:right="281"/>
              <w:jc w:val="right"/>
              <w:rPr>
                <w:sz w:val="20"/>
                <w:szCs w:val="20"/>
              </w:rPr>
            </w:pPr>
            <w:r>
              <w:rPr>
                <w:rFonts w:ascii="Arial" w:eastAsia="Arial" w:hAnsi="Arial" w:cs="Arial"/>
                <w:w w:val="89"/>
                <w:sz w:val="20"/>
                <w:szCs w:val="20"/>
              </w:rPr>
              <w:t>$</w:t>
            </w:r>
          </w:p>
        </w:tc>
        <w:tc>
          <w:tcPr>
            <w:tcW w:w="102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26,000</w:t>
            </w:r>
          </w:p>
        </w:tc>
      </w:tr>
      <w:tr w:rsidR="000728AD">
        <w:trPr>
          <w:trHeight w:val="21"/>
        </w:trPr>
        <w:tc>
          <w:tcPr>
            <w:tcW w:w="9720" w:type="dxa"/>
            <w:vAlign w:val="bottom"/>
          </w:tcPr>
          <w:p w:rsidR="000728AD" w:rsidRDefault="000728AD">
            <w:pPr>
              <w:spacing w:line="20" w:lineRule="exact"/>
              <w:rPr>
                <w:sz w:val="1"/>
                <w:szCs w:val="1"/>
              </w:rPr>
            </w:pPr>
          </w:p>
        </w:tc>
        <w:tc>
          <w:tcPr>
            <w:tcW w:w="500" w:type="dxa"/>
            <w:tcBorders>
              <w:bottom w:val="single" w:sz="8" w:space="0" w:color="auto"/>
            </w:tcBorders>
            <w:vAlign w:val="bottom"/>
          </w:tcPr>
          <w:p w:rsidR="000728AD" w:rsidRDefault="000728AD">
            <w:pPr>
              <w:spacing w:line="20" w:lineRule="exact"/>
              <w:rPr>
                <w:sz w:val="1"/>
                <w:szCs w:val="1"/>
              </w:rPr>
            </w:pPr>
          </w:p>
        </w:tc>
        <w:tc>
          <w:tcPr>
            <w:tcW w:w="1020" w:type="dxa"/>
            <w:tcBorders>
              <w:bottom w:val="single" w:sz="8" w:space="0" w:color="auto"/>
            </w:tcBorders>
            <w:vAlign w:val="bottom"/>
          </w:tcPr>
          <w:p w:rsidR="000728AD" w:rsidRDefault="000728AD">
            <w:pPr>
              <w:spacing w:line="20" w:lineRule="exact"/>
              <w:rPr>
                <w:sz w:val="1"/>
                <w:szCs w:val="1"/>
              </w:rPr>
            </w:pPr>
          </w:p>
        </w:tc>
      </w:tr>
    </w:tbl>
    <w:p w:rsidR="000728AD" w:rsidRDefault="000728AD">
      <w:pPr>
        <w:spacing w:line="72" w:lineRule="exact"/>
        <w:rPr>
          <w:sz w:val="20"/>
          <w:szCs w:val="20"/>
        </w:rPr>
      </w:pPr>
    </w:p>
    <w:p w:rsidR="000728AD" w:rsidRDefault="000561BE">
      <w:pPr>
        <w:rPr>
          <w:sz w:val="20"/>
          <w:szCs w:val="20"/>
        </w:rPr>
      </w:pPr>
      <w:r>
        <w:rPr>
          <w:rFonts w:ascii="Arial" w:eastAsia="Arial" w:hAnsi="Arial" w:cs="Arial"/>
          <w:b/>
          <w:bCs/>
          <w:sz w:val="20"/>
          <w:szCs w:val="20"/>
        </w:rPr>
        <w:t>8. STOCKHOLDERS' EQUITY</w:t>
      </w:r>
    </w:p>
    <w:p w:rsidR="000728AD" w:rsidRDefault="000728AD">
      <w:pPr>
        <w:spacing w:line="222" w:lineRule="exact"/>
        <w:rPr>
          <w:sz w:val="20"/>
          <w:szCs w:val="20"/>
        </w:rPr>
      </w:pPr>
    </w:p>
    <w:p w:rsidR="000728AD" w:rsidRDefault="000561BE">
      <w:pPr>
        <w:rPr>
          <w:sz w:val="20"/>
          <w:szCs w:val="20"/>
        </w:rPr>
      </w:pPr>
      <w:r>
        <w:rPr>
          <w:rFonts w:ascii="Arial" w:eastAsia="Arial" w:hAnsi="Arial" w:cs="Arial"/>
          <w:b/>
          <w:bCs/>
          <w:i/>
          <w:iCs/>
          <w:sz w:val="20"/>
          <w:szCs w:val="20"/>
        </w:rPr>
        <w:t>2019 Stock Option and Incentive Plan</w:t>
      </w:r>
    </w:p>
    <w:p w:rsidR="000728AD" w:rsidRDefault="000728AD">
      <w:pPr>
        <w:spacing w:line="216" w:lineRule="exact"/>
        <w:rPr>
          <w:sz w:val="20"/>
          <w:szCs w:val="20"/>
        </w:rPr>
      </w:pPr>
    </w:p>
    <w:p w:rsidR="000728AD" w:rsidRDefault="000561BE">
      <w:pPr>
        <w:spacing w:line="246" w:lineRule="auto"/>
        <w:ind w:right="140"/>
        <w:jc w:val="both"/>
        <w:rPr>
          <w:sz w:val="20"/>
          <w:szCs w:val="20"/>
        </w:rPr>
      </w:pPr>
      <w:r>
        <w:rPr>
          <w:rFonts w:ascii="Arial" w:eastAsia="Arial" w:hAnsi="Arial" w:cs="Arial"/>
          <w:sz w:val="20"/>
          <w:szCs w:val="20"/>
        </w:rPr>
        <w:t xml:space="preserve">The 2019 Stock Option and Incentive Plan (the "2019 Plan") provides for the grant of incentive stock options, nonqualified stock options, stock appreciation </w:t>
      </w:r>
      <w:r>
        <w:rPr>
          <w:rFonts w:ascii="Arial" w:eastAsia="Arial" w:hAnsi="Arial" w:cs="Arial"/>
          <w:sz w:val="20"/>
          <w:szCs w:val="20"/>
        </w:rPr>
        <w:t>rights, restricted stock units, restricted stock awards, unrestricted stock awards and cash-based awards to the Company's officers, employees, directors and consultants. The number of shares available for future issuance under the 2019 Plan was 1,119,999 s</w:t>
      </w:r>
      <w:r>
        <w:rPr>
          <w:rFonts w:ascii="Arial" w:eastAsia="Arial" w:hAnsi="Arial" w:cs="Arial"/>
          <w:sz w:val="20"/>
          <w:szCs w:val="20"/>
        </w:rPr>
        <w:t>hares as of June 30, 2021.</w:t>
      </w:r>
    </w:p>
    <w:p w:rsidR="000728AD" w:rsidRDefault="000728AD">
      <w:pPr>
        <w:spacing w:line="191" w:lineRule="exact"/>
        <w:rPr>
          <w:sz w:val="20"/>
          <w:szCs w:val="20"/>
        </w:rPr>
      </w:pPr>
    </w:p>
    <w:p w:rsidR="000728AD" w:rsidRDefault="000561BE">
      <w:pPr>
        <w:rPr>
          <w:sz w:val="20"/>
          <w:szCs w:val="20"/>
        </w:rPr>
      </w:pPr>
      <w:r>
        <w:rPr>
          <w:rFonts w:ascii="Arial" w:eastAsia="Arial" w:hAnsi="Arial" w:cs="Arial"/>
          <w:b/>
          <w:bCs/>
          <w:i/>
          <w:iCs/>
          <w:sz w:val="20"/>
          <w:szCs w:val="20"/>
        </w:rPr>
        <w:t>2019 Employee Stock Purchase Plan</w:t>
      </w:r>
    </w:p>
    <w:p w:rsidR="000728AD" w:rsidRDefault="000728AD">
      <w:pPr>
        <w:spacing w:line="216" w:lineRule="exact"/>
        <w:rPr>
          <w:sz w:val="20"/>
          <w:szCs w:val="20"/>
        </w:rPr>
      </w:pPr>
    </w:p>
    <w:p w:rsidR="000728AD" w:rsidRDefault="000561BE">
      <w:pPr>
        <w:spacing w:line="316" w:lineRule="auto"/>
        <w:ind w:right="380"/>
        <w:rPr>
          <w:sz w:val="20"/>
          <w:szCs w:val="20"/>
        </w:rPr>
      </w:pPr>
      <w:r>
        <w:rPr>
          <w:rFonts w:ascii="Arial" w:eastAsia="Arial" w:hAnsi="Arial" w:cs="Arial"/>
          <w:sz w:val="18"/>
          <w:szCs w:val="18"/>
        </w:rPr>
        <w:t>The 2019 Employee Stock Purchase Plan (the "2019 ESPP") provides participating employees with the opportunity to purchase shares of common stock. The number of shares available for future issua</w:t>
      </w:r>
      <w:r>
        <w:rPr>
          <w:rFonts w:ascii="Arial" w:eastAsia="Arial" w:hAnsi="Arial" w:cs="Arial"/>
          <w:sz w:val="18"/>
          <w:szCs w:val="18"/>
        </w:rPr>
        <w:t>nce under the 2019 ESPP was 635,742 shares as of June 30, 2021.</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26" w:lineRule="exact"/>
        <w:rPr>
          <w:sz w:val="20"/>
          <w:szCs w:val="20"/>
        </w:rPr>
      </w:pPr>
    </w:p>
    <w:p w:rsidR="000728AD" w:rsidRDefault="000561BE">
      <w:pPr>
        <w:jc w:val="center"/>
        <w:rPr>
          <w:sz w:val="20"/>
          <w:szCs w:val="20"/>
        </w:rPr>
      </w:pPr>
      <w:r>
        <w:rPr>
          <w:rFonts w:ascii="Arial" w:eastAsia="Arial" w:hAnsi="Arial" w:cs="Arial"/>
          <w:sz w:val="18"/>
          <w:szCs w:val="18"/>
        </w:rPr>
        <w:t>17</w:t>
      </w:r>
    </w:p>
    <w:p w:rsidR="000728AD" w:rsidRDefault="000561BE">
      <w:pPr>
        <w:spacing w:line="20" w:lineRule="exact"/>
        <w:rPr>
          <w:sz w:val="20"/>
          <w:szCs w:val="20"/>
        </w:rPr>
      </w:pPr>
      <w:r>
        <w:rPr>
          <w:noProof/>
          <w:sz w:val="20"/>
          <w:szCs w:val="20"/>
        </w:rPr>
        <w:drawing>
          <wp:anchor distT="0" distB="0" distL="114300" distR="114300" simplePos="0" relativeHeight="251622400"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18" w:name="page18"/>
    <w:bookmarkEnd w:id="18"/>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rPr>
          <w:sz w:val="20"/>
          <w:szCs w:val="20"/>
        </w:rPr>
      </w:pPr>
      <w:r>
        <w:rPr>
          <w:rFonts w:ascii="Arial" w:eastAsia="Arial" w:hAnsi="Arial" w:cs="Arial"/>
          <w:b/>
          <w:bCs/>
          <w:i/>
          <w:iCs/>
          <w:sz w:val="20"/>
          <w:szCs w:val="20"/>
        </w:rPr>
        <w:t>Stock-Based Compensation Expense</w:t>
      </w:r>
    </w:p>
    <w:p w:rsidR="000728AD" w:rsidRDefault="000728AD">
      <w:pPr>
        <w:spacing w:line="216" w:lineRule="exact"/>
        <w:rPr>
          <w:sz w:val="20"/>
          <w:szCs w:val="20"/>
        </w:rPr>
      </w:pPr>
    </w:p>
    <w:p w:rsidR="000728AD" w:rsidRDefault="000561BE">
      <w:pPr>
        <w:rPr>
          <w:sz w:val="20"/>
          <w:szCs w:val="20"/>
        </w:rPr>
      </w:pPr>
      <w:r>
        <w:rPr>
          <w:rFonts w:ascii="Arial" w:eastAsia="Arial" w:hAnsi="Arial" w:cs="Arial"/>
          <w:sz w:val="18"/>
          <w:szCs w:val="18"/>
        </w:rPr>
        <w:t xml:space="preserve">In connection with all share-based payment awards, total stock-based </w:t>
      </w:r>
      <w:r>
        <w:rPr>
          <w:rFonts w:ascii="Arial" w:eastAsia="Arial" w:hAnsi="Arial" w:cs="Arial"/>
          <w:sz w:val="18"/>
          <w:szCs w:val="18"/>
        </w:rPr>
        <w:t>compensation expense recognized was as follows (in thousands):</w:t>
      </w:r>
    </w:p>
    <w:p w:rsidR="000728AD" w:rsidRDefault="000728AD">
      <w:pPr>
        <w:spacing w:line="25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0"/>
        <w:gridCol w:w="960"/>
        <w:gridCol w:w="540"/>
        <w:gridCol w:w="100"/>
        <w:gridCol w:w="960"/>
        <w:gridCol w:w="540"/>
        <w:gridCol w:w="200"/>
        <w:gridCol w:w="360"/>
        <w:gridCol w:w="1160"/>
        <w:gridCol w:w="100"/>
        <w:gridCol w:w="420"/>
        <w:gridCol w:w="1100"/>
      </w:tblGrid>
      <w:tr w:rsidR="000728AD">
        <w:trPr>
          <w:trHeight w:val="207"/>
        </w:trPr>
        <w:tc>
          <w:tcPr>
            <w:tcW w:w="4800" w:type="dxa"/>
            <w:vAlign w:val="bottom"/>
          </w:tcPr>
          <w:p w:rsidR="000728AD" w:rsidRDefault="000728AD">
            <w:pPr>
              <w:rPr>
                <w:sz w:val="17"/>
                <w:szCs w:val="17"/>
              </w:rPr>
            </w:pPr>
          </w:p>
        </w:tc>
        <w:tc>
          <w:tcPr>
            <w:tcW w:w="2560" w:type="dxa"/>
            <w:gridSpan w:val="4"/>
            <w:vAlign w:val="bottom"/>
          </w:tcPr>
          <w:p w:rsidR="000728AD" w:rsidRDefault="000561BE">
            <w:pPr>
              <w:ind w:right="84"/>
              <w:jc w:val="right"/>
              <w:rPr>
                <w:sz w:val="20"/>
                <w:szCs w:val="20"/>
              </w:rPr>
            </w:pPr>
            <w:r>
              <w:rPr>
                <w:rFonts w:ascii="Arial" w:eastAsia="Arial" w:hAnsi="Arial" w:cs="Arial"/>
                <w:b/>
                <w:bCs/>
                <w:sz w:val="18"/>
                <w:szCs w:val="18"/>
              </w:rPr>
              <w:t>Three Months Ended</w:t>
            </w:r>
          </w:p>
        </w:tc>
        <w:tc>
          <w:tcPr>
            <w:tcW w:w="540" w:type="dxa"/>
            <w:vAlign w:val="bottom"/>
          </w:tcPr>
          <w:p w:rsidR="000728AD" w:rsidRDefault="000728AD">
            <w:pPr>
              <w:rPr>
                <w:sz w:val="17"/>
                <w:szCs w:val="17"/>
              </w:rPr>
            </w:pPr>
          </w:p>
        </w:tc>
        <w:tc>
          <w:tcPr>
            <w:tcW w:w="200" w:type="dxa"/>
            <w:vAlign w:val="bottom"/>
          </w:tcPr>
          <w:p w:rsidR="000728AD" w:rsidRDefault="000728AD">
            <w:pPr>
              <w:rPr>
                <w:sz w:val="17"/>
                <w:szCs w:val="17"/>
              </w:rPr>
            </w:pPr>
          </w:p>
        </w:tc>
        <w:tc>
          <w:tcPr>
            <w:tcW w:w="360" w:type="dxa"/>
            <w:vAlign w:val="bottom"/>
          </w:tcPr>
          <w:p w:rsidR="000728AD" w:rsidRDefault="000728AD">
            <w:pPr>
              <w:rPr>
                <w:sz w:val="17"/>
                <w:szCs w:val="17"/>
              </w:rPr>
            </w:pPr>
          </w:p>
        </w:tc>
        <w:tc>
          <w:tcPr>
            <w:tcW w:w="2780" w:type="dxa"/>
            <w:gridSpan w:val="4"/>
            <w:vAlign w:val="bottom"/>
          </w:tcPr>
          <w:p w:rsidR="000728AD" w:rsidRDefault="000561BE">
            <w:pPr>
              <w:ind w:right="763"/>
              <w:jc w:val="right"/>
              <w:rPr>
                <w:sz w:val="20"/>
                <w:szCs w:val="20"/>
              </w:rPr>
            </w:pPr>
            <w:r>
              <w:rPr>
                <w:rFonts w:ascii="Arial" w:eastAsia="Arial" w:hAnsi="Arial" w:cs="Arial"/>
                <w:b/>
                <w:bCs/>
                <w:sz w:val="18"/>
                <w:szCs w:val="18"/>
              </w:rPr>
              <w:t>Six Months Ended</w:t>
            </w:r>
          </w:p>
        </w:tc>
      </w:tr>
      <w:tr w:rsidR="000728AD">
        <w:trPr>
          <w:trHeight w:val="229"/>
        </w:trPr>
        <w:tc>
          <w:tcPr>
            <w:tcW w:w="4800" w:type="dxa"/>
            <w:vAlign w:val="bottom"/>
          </w:tcPr>
          <w:p w:rsidR="000728AD" w:rsidRDefault="000728AD">
            <w:pPr>
              <w:rPr>
                <w:sz w:val="19"/>
                <w:szCs w:val="19"/>
              </w:rPr>
            </w:pPr>
          </w:p>
        </w:tc>
        <w:tc>
          <w:tcPr>
            <w:tcW w:w="960" w:type="dxa"/>
            <w:tcBorders>
              <w:bottom w:val="single" w:sz="8" w:space="0" w:color="auto"/>
            </w:tcBorders>
            <w:vAlign w:val="bottom"/>
          </w:tcPr>
          <w:p w:rsidR="000728AD" w:rsidRDefault="000728AD">
            <w:pPr>
              <w:rPr>
                <w:sz w:val="19"/>
                <w:szCs w:val="19"/>
              </w:rPr>
            </w:pPr>
          </w:p>
        </w:tc>
        <w:tc>
          <w:tcPr>
            <w:tcW w:w="1600" w:type="dxa"/>
            <w:gridSpan w:val="3"/>
            <w:tcBorders>
              <w:bottom w:val="single" w:sz="8" w:space="0" w:color="auto"/>
            </w:tcBorders>
            <w:vAlign w:val="bottom"/>
          </w:tcPr>
          <w:p w:rsidR="000728AD" w:rsidRDefault="000561BE">
            <w:pPr>
              <w:ind w:right="584"/>
              <w:jc w:val="right"/>
              <w:rPr>
                <w:sz w:val="20"/>
                <w:szCs w:val="20"/>
              </w:rPr>
            </w:pPr>
            <w:r>
              <w:rPr>
                <w:rFonts w:ascii="Arial" w:eastAsia="Arial" w:hAnsi="Arial" w:cs="Arial"/>
                <w:b/>
                <w:bCs/>
                <w:sz w:val="18"/>
                <w:szCs w:val="18"/>
              </w:rPr>
              <w:t>June 30,</w:t>
            </w:r>
          </w:p>
        </w:tc>
        <w:tc>
          <w:tcPr>
            <w:tcW w:w="540" w:type="dxa"/>
            <w:tcBorders>
              <w:bottom w:val="single" w:sz="8" w:space="0" w:color="auto"/>
            </w:tcBorders>
            <w:vAlign w:val="bottom"/>
          </w:tcPr>
          <w:p w:rsidR="000728AD" w:rsidRDefault="000728AD">
            <w:pPr>
              <w:rPr>
                <w:sz w:val="19"/>
                <w:szCs w:val="19"/>
              </w:rPr>
            </w:pPr>
          </w:p>
        </w:tc>
        <w:tc>
          <w:tcPr>
            <w:tcW w:w="200" w:type="dxa"/>
            <w:vAlign w:val="bottom"/>
          </w:tcPr>
          <w:p w:rsidR="000728AD" w:rsidRDefault="000728AD">
            <w:pPr>
              <w:rPr>
                <w:sz w:val="19"/>
                <w:szCs w:val="19"/>
              </w:rPr>
            </w:pPr>
          </w:p>
        </w:tc>
        <w:tc>
          <w:tcPr>
            <w:tcW w:w="360" w:type="dxa"/>
            <w:tcBorders>
              <w:bottom w:val="single" w:sz="8" w:space="0" w:color="auto"/>
            </w:tcBorders>
            <w:vAlign w:val="bottom"/>
          </w:tcPr>
          <w:p w:rsidR="000728AD" w:rsidRDefault="000728AD">
            <w:pPr>
              <w:rPr>
                <w:sz w:val="19"/>
                <w:szCs w:val="19"/>
              </w:rPr>
            </w:pPr>
          </w:p>
        </w:tc>
        <w:tc>
          <w:tcPr>
            <w:tcW w:w="1680" w:type="dxa"/>
            <w:gridSpan w:val="3"/>
            <w:tcBorders>
              <w:bottom w:val="single" w:sz="8" w:space="0" w:color="auto"/>
            </w:tcBorders>
            <w:vAlign w:val="bottom"/>
          </w:tcPr>
          <w:p w:rsidR="000728AD" w:rsidRDefault="000561BE">
            <w:pPr>
              <w:ind w:right="41"/>
              <w:jc w:val="right"/>
              <w:rPr>
                <w:sz w:val="20"/>
                <w:szCs w:val="20"/>
              </w:rPr>
            </w:pPr>
            <w:r>
              <w:rPr>
                <w:rFonts w:ascii="Arial" w:eastAsia="Arial" w:hAnsi="Arial" w:cs="Arial"/>
                <w:b/>
                <w:bCs/>
                <w:sz w:val="18"/>
                <w:szCs w:val="18"/>
              </w:rPr>
              <w:t>June 30,</w:t>
            </w:r>
          </w:p>
        </w:tc>
        <w:tc>
          <w:tcPr>
            <w:tcW w:w="1100" w:type="dxa"/>
            <w:tcBorders>
              <w:bottom w:val="single" w:sz="8" w:space="0" w:color="auto"/>
            </w:tcBorders>
            <w:vAlign w:val="bottom"/>
          </w:tcPr>
          <w:p w:rsidR="000728AD" w:rsidRDefault="000728AD">
            <w:pPr>
              <w:rPr>
                <w:sz w:val="19"/>
                <w:szCs w:val="19"/>
              </w:rPr>
            </w:pPr>
          </w:p>
        </w:tc>
      </w:tr>
      <w:tr w:rsidR="000728AD">
        <w:trPr>
          <w:trHeight w:val="223"/>
        </w:trPr>
        <w:tc>
          <w:tcPr>
            <w:tcW w:w="4800" w:type="dxa"/>
            <w:tcBorders>
              <w:bottom w:val="single" w:sz="8" w:space="0" w:color="CCEEFF"/>
            </w:tcBorders>
            <w:vAlign w:val="bottom"/>
          </w:tcPr>
          <w:p w:rsidR="000728AD" w:rsidRDefault="000728AD">
            <w:pPr>
              <w:rPr>
                <w:sz w:val="19"/>
                <w:szCs w:val="19"/>
              </w:rPr>
            </w:pPr>
          </w:p>
        </w:tc>
        <w:tc>
          <w:tcPr>
            <w:tcW w:w="960" w:type="dxa"/>
            <w:tcBorders>
              <w:bottom w:val="single" w:sz="8" w:space="0" w:color="auto"/>
            </w:tcBorders>
            <w:vAlign w:val="bottom"/>
          </w:tcPr>
          <w:p w:rsidR="000728AD" w:rsidRDefault="000561BE">
            <w:pPr>
              <w:jc w:val="right"/>
              <w:rPr>
                <w:sz w:val="20"/>
                <w:szCs w:val="20"/>
              </w:rPr>
            </w:pPr>
            <w:r>
              <w:rPr>
                <w:rFonts w:ascii="Arial" w:eastAsia="Arial" w:hAnsi="Arial" w:cs="Arial"/>
                <w:b/>
                <w:bCs/>
                <w:sz w:val="18"/>
                <w:szCs w:val="18"/>
              </w:rPr>
              <w:t>2021</w:t>
            </w:r>
          </w:p>
        </w:tc>
        <w:tc>
          <w:tcPr>
            <w:tcW w:w="540" w:type="dxa"/>
            <w:tcBorders>
              <w:bottom w:val="single" w:sz="8" w:space="0" w:color="auto"/>
            </w:tcBorders>
            <w:vAlign w:val="bottom"/>
          </w:tcPr>
          <w:p w:rsidR="000728AD" w:rsidRDefault="000728AD">
            <w:pPr>
              <w:rPr>
                <w:sz w:val="19"/>
                <w:szCs w:val="19"/>
              </w:rPr>
            </w:pPr>
          </w:p>
        </w:tc>
        <w:tc>
          <w:tcPr>
            <w:tcW w:w="100" w:type="dxa"/>
            <w:tcBorders>
              <w:bottom w:val="single" w:sz="8" w:space="0" w:color="CCEEFF"/>
            </w:tcBorders>
            <w:vAlign w:val="bottom"/>
          </w:tcPr>
          <w:p w:rsidR="000728AD" w:rsidRDefault="000728AD">
            <w:pPr>
              <w:rPr>
                <w:sz w:val="19"/>
                <w:szCs w:val="19"/>
              </w:rPr>
            </w:pPr>
          </w:p>
        </w:tc>
        <w:tc>
          <w:tcPr>
            <w:tcW w:w="960" w:type="dxa"/>
            <w:tcBorders>
              <w:bottom w:val="single" w:sz="8" w:space="0" w:color="auto"/>
            </w:tcBorders>
            <w:vAlign w:val="bottom"/>
          </w:tcPr>
          <w:p w:rsidR="000728AD" w:rsidRDefault="000561BE">
            <w:pPr>
              <w:jc w:val="right"/>
              <w:rPr>
                <w:sz w:val="20"/>
                <w:szCs w:val="20"/>
              </w:rPr>
            </w:pPr>
            <w:r>
              <w:rPr>
                <w:rFonts w:ascii="Arial" w:eastAsia="Arial" w:hAnsi="Arial" w:cs="Arial"/>
                <w:b/>
                <w:bCs/>
                <w:sz w:val="18"/>
                <w:szCs w:val="18"/>
              </w:rPr>
              <w:t>2020</w:t>
            </w:r>
          </w:p>
        </w:tc>
        <w:tc>
          <w:tcPr>
            <w:tcW w:w="540" w:type="dxa"/>
            <w:tcBorders>
              <w:bottom w:val="single" w:sz="8" w:space="0" w:color="auto"/>
            </w:tcBorders>
            <w:vAlign w:val="bottom"/>
          </w:tcPr>
          <w:p w:rsidR="000728AD" w:rsidRDefault="000728AD">
            <w:pPr>
              <w:rPr>
                <w:sz w:val="19"/>
                <w:szCs w:val="19"/>
              </w:rPr>
            </w:pPr>
          </w:p>
        </w:tc>
        <w:tc>
          <w:tcPr>
            <w:tcW w:w="200" w:type="dxa"/>
            <w:tcBorders>
              <w:bottom w:val="single" w:sz="8" w:space="0" w:color="CCEEFF"/>
            </w:tcBorders>
            <w:vAlign w:val="bottom"/>
          </w:tcPr>
          <w:p w:rsidR="000728AD" w:rsidRDefault="000728AD">
            <w:pPr>
              <w:rPr>
                <w:sz w:val="19"/>
                <w:szCs w:val="19"/>
              </w:rPr>
            </w:pPr>
          </w:p>
        </w:tc>
        <w:tc>
          <w:tcPr>
            <w:tcW w:w="360" w:type="dxa"/>
            <w:tcBorders>
              <w:bottom w:val="single" w:sz="8" w:space="0" w:color="auto"/>
            </w:tcBorders>
            <w:vAlign w:val="bottom"/>
          </w:tcPr>
          <w:p w:rsidR="000728AD" w:rsidRDefault="000728AD">
            <w:pPr>
              <w:rPr>
                <w:sz w:val="19"/>
                <w:szCs w:val="19"/>
              </w:rPr>
            </w:pPr>
          </w:p>
        </w:tc>
        <w:tc>
          <w:tcPr>
            <w:tcW w:w="1160" w:type="dxa"/>
            <w:tcBorders>
              <w:bottom w:val="single" w:sz="8" w:space="0" w:color="auto"/>
            </w:tcBorders>
            <w:vAlign w:val="bottom"/>
          </w:tcPr>
          <w:p w:rsidR="000728AD" w:rsidRDefault="000561BE">
            <w:pPr>
              <w:ind w:right="486"/>
              <w:jc w:val="right"/>
              <w:rPr>
                <w:sz w:val="20"/>
                <w:szCs w:val="20"/>
              </w:rPr>
            </w:pPr>
            <w:r>
              <w:rPr>
                <w:rFonts w:ascii="Arial" w:eastAsia="Arial" w:hAnsi="Arial" w:cs="Arial"/>
                <w:b/>
                <w:bCs/>
                <w:sz w:val="18"/>
                <w:szCs w:val="18"/>
              </w:rPr>
              <w:t>2021</w:t>
            </w:r>
          </w:p>
        </w:tc>
        <w:tc>
          <w:tcPr>
            <w:tcW w:w="100" w:type="dxa"/>
            <w:tcBorders>
              <w:bottom w:val="single" w:sz="8" w:space="0" w:color="CCEEFF"/>
            </w:tcBorders>
            <w:vAlign w:val="bottom"/>
          </w:tcPr>
          <w:p w:rsidR="000728AD" w:rsidRDefault="000728AD">
            <w:pPr>
              <w:rPr>
                <w:sz w:val="19"/>
                <w:szCs w:val="19"/>
              </w:rPr>
            </w:pPr>
          </w:p>
        </w:tc>
        <w:tc>
          <w:tcPr>
            <w:tcW w:w="420" w:type="dxa"/>
            <w:tcBorders>
              <w:bottom w:val="single" w:sz="8" w:space="0" w:color="auto"/>
            </w:tcBorders>
            <w:vAlign w:val="bottom"/>
          </w:tcPr>
          <w:p w:rsidR="000728AD" w:rsidRDefault="000728AD">
            <w:pPr>
              <w:rPr>
                <w:sz w:val="19"/>
                <w:szCs w:val="19"/>
              </w:rPr>
            </w:pPr>
          </w:p>
        </w:tc>
        <w:tc>
          <w:tcPr>
            <w:tcW w:w="1100" w:type="dxa"/>
            <w:tcBorders>
              <w:bottom w:val="single" w:sz="8" w:space="0" w:color="auto"/>
            </w:tcBorders>
            <w:vAlign w:val="bottom"/>
          </w:tcPr>
          <w:p w:rsidR="000728AD" w:rsidRDefault="000561BE">
            <w:pPr>
              <w:ind w:right="483"/>
              <w:jc w:val="right"/>
              <w:rPr>
                <w:sz w:val="20"/>
                <w:szCs w:val="20"/>
              </w:rPr>
            </w:pPr>
            <w:r>
              <w:rPr>
                <w:rFonts w:ascii="Arial" w:eastAsia="Arial" w:hAnsi="Arial" w:cs="Arial"/>
                <w:b/>
                <w:bCs/>
                <w:sz w:val="18"/>
                <w:szCs w:val="18"/>
              </w:rPr>
              <w:t>2020</w:t>
            </w:r>
          </w:p>
        </w:tc>
      </w:tr>
      <w:tr w:rsidR="000728AD">
        <w:trPr>
          <w:trHeight w:val="263"/>
        </w:trPr>
        <w:tc>
          <w:tcPr>
            <w:tcW w:w="4800" w:type="dxa"/>
            <w:shd w:val="clear" w:color="auto" w:fill="CCEEFF"/>
            <w:vAlign w:val="bottom"/>
          </w:tcPr>
          <w:p w:rsidR="000728AD" w:rsidRDefault="000561BE">
            <w:pPr>
              <w:ind w:left="60"/>
              <w:rPr>
                <w:sz w:val="20"/>
                <w:szCs w:val="20"/>
              </w:rPr>
            </w:pPr>
            <w:r>
              <w:rPr>
                <w:rFonts w:ascii="Arial" w:eastAsia="Arial" w:hAnsi="Arial" w:cs="Arial"/>
                <w:sz w:val="20"/>
                <w:szCs w:val="20"/>
              </w:rPr>
              <w:t>Research and development</w:t>
            </w:r>
          </w:p>
        </w:tc>
        <w:tc>
          <w:tcPr>
            <w:tcW w:w="960" w:type="dxa"/>
            <w:shd w:val="clear" w:color="auto" w:fill="CCEEFF"/>
            <w:vAlign w:val="bottom"/>
          </w:tcPr>
          <w:p w:rsidR="000728AD" w:rsidRDefault="000561BE">
            <w:pPr>
              <w:ind w:right="746"/>
              <w:jc w:val="right"/>
              <w:rPr>
                <w:sz w:val="20"/>
                <w:szCs w:val="20"/>
              </w:rPr>
            </w:pPr>
            <w:r>
              <w:rPr>
                <w:rFonts w:ascii="Arial" w:eastAsia="Arial" w:hAnsi="Arial" w:cs="Arial"/>
                <w:w w:val="89"/>
                <w:sz w:val="20"/>
                <w:szCs w:val="20"/>
              </w:rPr>
              <w:t>$</w:t>
            </w:r>
          </w:p>
        </w:tc>
        <w:tc>
          <w:tcPr>
            <w:tcW w:w="540" w:type="dxa"/>
            <w:shd w:val="clear" w:color="auto" w:fill="CCEEFF"/>
            <w:vAlign w:val="bottom"/>
          </w:tcPr>
          <w:p w:rsidR="000728AD" w:rsidRDefault="000561BE">
            <w:pPr>
              <w:jc w:val="right"/>
              <w:rPr>
                <w:sz w:val="20"/>
                <w:szCs w:val="20"/>
              </w:rPr>
            </w:pPr>
            <w:r>
              <w:rPr>
                <w:rFonts w:ascii="Arial" w:eastAsia="Arial" w:hAnsi="Arial" w:cs="Arial"/>
                <w:sz w:val="20"/>
                <w:szCs w:val="20"/>
              </w:rPr>
              <w:t>440</w:t>
            </w:r>
          </w:p>
        </w:tc>
        <w:tc>
          <w:tcPr>
            <w:tcW w:w="100" w:type="dxa"/>
            <w:shd w:val="clear" w:color="auto" w:fill="CCEEFF"/>
            <w:vAlign w:val="bottom"/>
          </w:tcPr>
          <w:p w:rsidR="000728AD" w:rsidRDefault="000728AD"/>
        </w:tc>
        <w:tc>
          <w:tcPr>
            <w:tcW w:w="960" w:type="dxa"/>
            <w:shd w:val="clear" w:color="auto" w:fill="CCEEFF"/>
            <w:vAlign w:val="bottom"/>
          </w:tcPr>
          <w:p w:rsidR="000728AD" w:rsidRDefault="000561BE">
            <w:pPr>
              <w:ind w:right="744"/>
              <w:jc w:val="right"/>
              <w:rPr>
                <w:sz w:val="20"/>
                <w:szCs w:val="20"/>
              </w:rPr>
            </w:pPr>
            <w:r>
              <w:rPr>
                <w:rFonts w:ascii="Arial" w:eastAsia="Arial" w:hAnsi="Arial" w:cs="Arial"/>
                <w:w w:val="89"/>
                <w:sz w:val="20"/>
                <w:szCs w:val="20"/>
              </w:rPr>
              <w:t>$</w:t>
            </w:r>
          </w:p>
        </w:tc>
        <w:tc>
          <w:tcPr>
            <w:tcW w:w="540" w:type="dxa"/>
            <w:shd w:val="clear" w:color="auto" w:fill="CCEEFF"/>
            <w:vAlign w:val="bottom"/>
          </w:tcPr>
          <w:p w:rsidR="000728AD" w:rsidRDefault="000561BE">
            <w:pPr>
              <w:jc w:val="right"/>
              <w:rPr>
                <w:sz w:val="20"/>
                <w:szCs w:val="20"/>
              </w:rPr>
            </w:pPr>
            <w:r>
              <w:rPr>
                <w:rFonts w:ascii="Arial" w:eastAsia="Arial" w:hAnsi="Arial" w:cs="Arial"/>
                <w:sz w:val="20"/>
                <w:szCs w:val="20"/>
              </w:rPr>
              <w:t>881</w:t>
            </w:r>
          </w:p>
        </w:tc>
        <w:tc>
          <w:tcPr>
            <w:tcW w:w="200" w:type="dxa"/>
            <w:shd w:val="clear" w:color="auto" w:fill="CCEEFF"/>
            <w:vAlign w:val="bottom"/>
          </w:tcPr>
          <w:p w:rsidR="000728AD" w:rsidRDefault="000728AD"/>
        </w:tc>
        <w:tc>
          <w:tcPr>
            <w:tcW w:w="360" w:type="dxa"/>
            <w:shd w:val="clear" w:color="auto" w:fill="CCEEFF"/>
            <w:vAlign w:val="bottom"/>
          </w:tcPr>
          <w:p w:rsidR="000728AD" w:rsidRDefault="000561BE">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rsidR="000728AD" w:rsidRDefault="000561BE">
            <w:pPr>
              <w:jc w:val="right"/>
              <w:rPr>
                <w:sz w:val="20"/>
                <w:szCs w:val="20"/>
              </w:rPr>
            </w:pPr>
            <w:r>
              <w:rPr>
                <w:rFonts w:ascii="Arial" w:eastAsia="Arial" w:hAnsi="Arial" w:cs="Arial"/>
                <w:sz w:val="20"/>
                <w:szCs w:val="20"/>
              </w:rPr>
              <w:t>850</w:t>
            </w:r>
          </w:p>
        </w:tc>
        <w:tc>
          <w:tcPr>
            <w:tcW w:w="100" w:type="dxa"/>
            <w:shd w:val="clear" w:color="auto" w:fill="CCEEFF"/>
            <w:vAlign w:val="bottom"/>
          </w:tcPr>
          <w:p w:rsidR="000728AD" w:rsidRDefault="000728AD"/>
        </w:tc>
        <w:tc>
          <w:tcPr>
            <w:tcW w:w="420" w:type="dxa"/>
            <w:shd w:val="clear" w:color="auto" w:fill="CCEEFF"/>
            <w:vAlign w:val="bottom"/>
          </w:tcPr>
          <w:p w:rsidR="000728AD" w:rsidRDefault="000561BE">
            <w:pPr>
              <w:ind w:right="201"/>
              <w:jc w:val="right"/>
              <w:rPr>
                <w:sz w:val="20"/>
                <w:szCs w:val="20"/>
              </w:rPr>
            </w:pPr>
            <w:r>
              <w:rPr>
                <w:rFonts w:ascii="Arial" w:eastAsia="Arial" w:hAnsi="Arial" w:cs="Arial"/>
                <w:w w:val="89"/>
                <w:sz w:val="20"/>
                <w:szCs w:val="20"/>
              </w:rPr>
              <w:t>$</w:t>
            </w:r>
          </w:p>
        </w:tc>
        <w:tc>
          <w:tcPr>
            <w:tcW w:w="1100" w:type="dxa"/>
            <w:shd w:val="clear" w:color="auto" w:fill="CCEEFF"/>
            <w:vAlign w:val="bottom"/>
          </w:tcPr>
          <w:p w:rsidR="000728AD" w:rsidRDefault="000561BE">
            <w:pPr>
              <w:jc w:val="right"/>
              <w:rPr>
                <w:sz w:val="20"/>
                <w:szCs w:val="20"/>
              </w:rPr>
            </w:pPr>
            <w:r>
              <w:rPr>
                <w:rFonts w:ascii="Arial" w:eastAsia="Arial" w:hAnsi="Arial" w:cs="Arial"/>
                <w:sz w:val="20"/>
                <w:szCs w:val="20"/>
              </w:rPr>
              <w:t>1,597</w:t>
            </w:r>
          </w:p>
        </w:tc>
      </w:tr>
      <w:tr w:rsidR="000728AD">
        <w:trPr>
          <w:trHeight w:val="283"/>
        </w:trPr>
        <w:tc>
          <w:tcPr>
            <w:tcW w:w="4800" w:type="dxa"/>
            <w:tcBorders>
              <w:bottom w:val="single" w:sz="8" w:space="0" w:color="CCEEFF"/>
            </w:tcBorders>
            <w:vAlign w:val="bottom"/>
          </w:tcPr>
          <w:p w:rsidR="000728AD" w:rsidRDefault="000561BE">
            <w:pPr>
              <w:ind w:left="60"/>
              <w:rPr>
                <w:sz w:val="20"/>
                <w:szCs w:val="20"/>
              </w:rPr>
            </w:pPr>
            <w:r>
              <w:rPr>
                <w:rFonts w:ascii="Arial" w:eastAsia="Arial" w:hAnsi="Arial" w:cs="Arial"/>
                <w:sz w:val="20"/>
                <w:szCs w:val="20"/>
              </w:rPr>
              <w:t>General and administrative</w:t>
            </w:r>
          </w:p>
        </w:tc>
        <w:tc>
          <w:tcPr>
            <w:tcW w:w="960" w:type="dxa"/>
            <w:tcBorders>
              <w:bottom w:val="single" w:sz="8" w:space="0" w:color="auto"/>
            </w:tcBorders>
            <w:vAlign w:val="bottom"/>
          </w:tcPr>
          <w:p w:rsidR="000728AD" w:rsidRDefault="000728AD">
            <w:pPr>
              <w:rPr>
                <w:sz w:val="24"/>
                <w:szCs w:val="24"/>
              </w:rPr>
            </w:pPr>
          </w:p>
        </w:tc>
        <w:tc>
          <w:tcPr>
            <w:tcW w:w="540" w:type="dxa"/>
            <w:tcBorders>
              <w:bottom w:val="single" w:sz="8" w:space="0" w:color="auto"/>
            </w:tcBorders>
            <w:vAlign w:val="bottom"/>
          </w:tcPr>
          <w:p w:rsidR="000728AD" w:rsidRDefault="000561BE">
            <w:pPr>
              <w:jc w:val="right"/>
              <w:rPr>
                <w:sz w:val="20"/>
                <w:szCs w:val="20"/>
              </w:rPr>
            </w:pPr>
            <w:r>
              <w:rPr>
                <w:rFonts w:ascii="Arial" w:eastAsia="Arial" w:hAnsi="Arial" w:cs="Arial"/>
                <w:w w:val="87"/>
                <w:sz w:val="20"/>
                <w:szCs w:val="20"/>
              </w:rPr>
              <w:t>1,237</w:t>
            </w:r>
          </w:p>
        </w:tc>
        <w:tc>
          <w:tcPr>
            <w:tcW w:w="100" w:type="dxa"/>
            <w:tcBorders>
              <w:bottom w:val="single" w:sz="8" w:space="0" w:color="CCEEFF"/>
            </w:tcBorders>
            <w:vAlign w:val="bottom"/>
          </w:tcPr>
          <w:p w:rsidR="000728AD" w:rsidRDefault="000728AD">
            <w:pPr>
              <w:rPr>
                <w:sz w:val="24"/>
                <w:szCs w:val="24"/>
              </w:rPr>
            </w:pPr>
          </w:p>
        </w:tc>
        <w:tc>
          <w:tcPr>
            <w:tcW w:w="960" w:type="dxa"/>
            <w:tcBorders>
              <w:bottom w:val="single" w:sz="8" w:space="0" w:color="auto"/>
            </w:tcBorders>
            <w:vAlign w:val="bottom"/>
          </w:tcPr>
          <w:p w:rsidR="000728AD" w:rsidRDefault="000728AD">
            <w:pPr>
              <w:rPr>
                <w:sz w:val="24"/>
                <w:szCs w:val="24"/>
              </w:rPr>
            </w:pPr>
          </w:p>
        </w:tc>
        <w:tc>
          <w:tcPr>
            <w:tcW w:w="540" w:type="dxa"/>
            <w:tcBorders>
              <w:bottom w:val="single" w:sz="8" w:space="0" w:color="auto"/>
            </w:tcBorders>
            <w:vAlign w:val="bottom"/>
          </w:tcPr>
          <w:p w:rsidR="000728AD" w:rsidRDefault="000561BE">
            <w:pPr>
              <w:jc w:val="right"/>
              <w:rPr>
                <w:sz w:val="20"/>
                <w:szCs w:val="20"/>
              </w:rPr>
            </w:pPr>
            <w:r>
              <w:rPr>
                <w:rFonts w:ascii="Arial" w:eastAsia="Arial" w:hAnsi="Arial" w:cs="Arial"/>
                <w:w w:val="87"/>
                <w:sz w:val="20"/>
                <w:szCs w:val="20"/>
              </w:rPr>
              <w:t>1,075</w:t>
            </w:r>
          </w:p>
        </w:tc>
        <w:tc>
          <w:tcPr>
            <w:tcW w:w="200" w:type="dxa"/>
            <w:tcBorders>
              <w:bottom w:val="single" w:sz="8" w:space="0" w:color="CCEEFF"/>
            </w:tcBorders>
            <w:vAlign w:val="bottom"/>
          </w:tcPr>
          <w:p w:rsidR="000728AD" w:rsidRDefault="000728AD">
            <w:pPr>
              <w:rPr>
                <w:sz w:val="24"/>
                <w:szCs w:val="24"/>
              </w:rPr>
            </w:pPr>
          </w:p>
        </w:tc>
        <w:tc>
          <w:tcPr>
            <w:tcW w:w="360" w:type="dxa"/>
            <w:tcBorders>
              <w:bottom w:val="single" w:sz="8" w:space="0" w:color="auto"/>
            </w:tcBorders>
            <w:vAlign w:val="bottom"/>
          </w:tcPr>
          <w:p w:rsidR="000728AD" w:rsidRDefault="000728AD">
            <w:pPr>
              <w:rPr>
                <w:sz w:val="24"/>
                <w:szCs w:val="24"/>
              </w:rPr>
            </w:pPr>
          </w:p>
        </w:tc>
        <w:tc>
          <w:tcPr>
            <w:tcW w:w="116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2,255</w:t>
            </w:r>
          </w:p>
        </w:tc>
        <w:tc>
          <w:tcPr>
            <w:tcW w:w="100" w:type="dxa"/>
            <w:tcBorders>
              <w:bottom w:val="single" w:sz="8" w:space="0" w:color="CCEEFF"/>
            </w:tcBorders>
            <w:vAlign w:val="bottom"/>
          </w:tcPr>
          <w:p w:rsidR="000728AD" w:rsidRDefault="000728AD">
            <w:pPr>
              <w:rPr>
                <w:sz w:val="24"/>
                <w:szCs w:val="24"/>
              </w:rPr>
            </w:pPr>
          </w:p>
        </w:tc>
        <w:tc>
          <w:tcPr>
            <w:tcW w:w="420" w:type="dxa"/>
            <w:tcBorders>
              <w:bottom w:val="single" w:sz="8" w:space="0" w:color="auto"/>
            </w:tcBorders>
            <w:vAlign w:val="bottom"/>
          </w:tcPr>
          <w:p w:rsidR="000728AD" w:rsidRDefault="000728AD">
            <w:pPr>
              <w:rPr>
                <w:sz w:val="24"/>
                <w:szCs w:val="24"/>
              </w:rPr>
            </w:pPr>
          </w:p>
        </w:tc>
        <w:tc>
          <w:tcPr>
            <w:tcW w:w="110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1,958</w:t>
            </w:r>
          </w:p>
        </w:tc>
      </w:tr>
      <w:tr w:rsidR="000728AD">
        <w:trPr>
          <w:trHeight w:val="262"/>
        </w:trPr>
        <w:tc>
          <w:tcPr>
            <w:tcW w:w="4800" w:type="dxa"/>
            <w:tcBorders>
              <w:bottom w:val="single" w:sz="8" w:space="0" w:color="CCEEFF"/>
            </w:tcBorders>
            <w:shd w:val="clear" w:color="auto" w:fill="CCEEFF"/>
            <w:vAlign w:val="bottom"/>
          </w:tcPr>
          <w:p w:rsidR="000728AD" w:rsidRDefault="000561BE">
            <w:pPr>
              <w:ind w:left="20"/>
              <w:rPr>
                <w:sz w:val="20"/>
                <w:szCs w:val="20"/>
              </w:rPr>
            </w:pPr>
            <w:r>
              <w:rPr>
                <w:rFonts w:ascii="Arial" w:eastAsia="Arial" w:hAnsi="Arial" w:cs="Arial"/>
                <w:sz w:val="20"/>
                <w:szCs w:val="20"/>
              </w:rPr>
              <w:t>Total stock-based compensation expense</w:t>
            </w:r>
          </w:p>
        </w:tc>
        <w:tc>
          <w:tcPr>
            <w:tcW w:w="960" w:type="dxa"/>
            <w:tcBorders>
              <w:bottom w:val="single" w:sz="8" w:space="0" w:color="auto"/>
            </w:tcBorders>
            <w:shd w:val="clear" w:color="auto" w:fill="CCEEFF"/>
            <w:vAlign w:val="bottom"/>
          </w:tcPr>
          <w:p w:rsidR="000728AD" w:rsidRDefault="000561BE">
            <w:pPr>
              <w:ind w:right="746"/>
              <w:jc w:val="right"/>
              <w:rPr>
                <w:sz w:val="20"/>
                <w:szCs w:val="20"/>
              </w:rPr>
            </w:pPr>
            <w:r>
              <w:rPr>
                <w:rFonts w:ascii="Arial" w:eastAsia="Arial" w:hAnsi="Arial" w:cs="Arial"/>
                <w:w w:val="89"/>
                <w:sz w:val="20"/>
                <w:szCs w:val="20"/>
              </w:rPr>
              <w:t>$</w:t>
            </w:r>
          </w:p>
        </w:tc>
        <w:tc>
          <w:tcPr>
            <w:tcW w:w="54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w w:val="87"/>
                <w:sz w:val="20"/>
                <w:szCs w:val="20"/>
              </w:rPr>
              <w:t>1,677</w:t>
            </w:r>
          </w:p>
        </w:tc>
        <w:tc>
          <w:tcPr>
            <w:tcW w:w="100" w:type="dxa"/>
            <w:tcBorders>
              <w:bottom w:val="single" w:sz="8" w:space="0" w:color="CCEEFF"/>
            </w:tcBorders>
            <w:shd w:val="clear" w:color="auto" w:fill="CCEEFF"/>
            <w:vAlign w:val="bottom"/>
          </w:tcPr>
          <w:p w:rsidR="000728AD" w:rsidRDefault="000728AD"/>
        </w:tc>
        <w:tc>
          <w:tcPr>
            <w:tcW w:w="960" w:type="dxa"/>
            <w:tcBorders>
              <w:bottom w:val="single" w:sz="8" w:space="0" w:color="auto"/>
            </w:tcBorders>
            <w:shd w:val="clear" w:color="auto" w:fill="CCEEFF"/>
            <w:vAlign w:val="bottom"/>
          </w:tcPr>
          <w:p w:rsidR="000728AD" w:rsidRDefault="000561BE">
            <w:pPr>
              <w:ind w:right="744"/>
              <w:jc w:val="right"/>
              <w:rPr>
                <w:sz w:val="20"/>
                <w:szCs w:val="20"/>
              </w:rPr>
            </w:pPr>
            <w:r>
              <w:rPr>
                <w:rFonts w:ascii="Arial" w:eastAsia="Arial" w:hAnsi="Arial" w:cs="Arial"/>
                <w:w w:val="89"/>
                <w:sz w:val="20"/>
                <w:szCs w:val="20"/>
              </w:rPr>
              <w:t>$</w:t>
            </w:r>
          </w:p>
        </w:tc>
        <w:tc>
          <w:tcPr>
            <w:tcW w:w="54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w w:val="87"/>
                <w:sz w:val="20"/>
                <w:szCs w:val="20"/>
              </w:rPr>
              <w:t>1,956</w:t>
            </w:r>
          </w:p>
        </w:tc>
        <w:tc>
          <w:tcPr>
            <w:tcW w:w="200" w:type="dxa"/>
            <w:tcBorders>
              <w:bottom w:val="single" w:sz="8" w:space="0" w:color="CCEEFF"/>
            </w:tcBorders>
            <w:shd w:val="clear" w:color="auto" w:fill="CCEEFF"/>
            <w:vAlign w:val="bottom"/>
          </w:tcPr>
          <w:p w:rsidR="000728AD" w:rsidRDefault="000728AD"/>
        </w:tc>
        <w:tc>
          <w:tcPr>
            <w:tcW w:w="360" w:type="dxa"/>
            <w:tcBorders>
              <w:bottom w:val="single" w:sz="8" w:space="0" w:color="auto"/>
            </w:tcBorders>
            <w:shd w:val="clear" w:color="auto" w:fill="CCEEFF"/>
            <w:vAlign w:val="bottom"/>
          </w:tcPr>
          <w:p w:rsidR="000728AD" w:rsidRDefault="000561BE">
            <w:pPr>
              <w:ind w:right="141"/>
              <w:jc w:val="right"/>
              <w:rPr>
                <w:sz w:val="20"/>
                <w:szCs w:val="20"/>
              </w:rPr>
            </w:pPr>
            <w:r>
              <w:rPr>
                <w:rFonts w:ascii="Arial" w:eastAsia="Arial" w:hAnsi="Arial" w:cs="Arial"/>
                <w:w w:val="89"/>
                <w:sz w:val="20"/>
                <w:szCs w:val="20"/>
              </w:rPr>
              <w:t>$</w:t>
            </w:r>
          </w:p>
        </w:tc>
        <w:tc>
          <w:tcPr>
            <w:tcW w:w="116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3,105</w:t>
            </w:r>
          </w:p>
        </w:tc>
        <w:tc>
          <w:tcPr>
            <w:tcW w:w="100" w:type="dxa"/>
            <w:tcBorders>
              <w:bottom w:val="single" w:sz="8" w:space="0" w:color="CCEEFF"/>
            </w:tcBorders>
            <w:shd w:val="clear" w:color="auto" w:fill="CCEEFF"/>
            <w:vAlign w:val="bottom"/>
          </w:tcPr>
          <w:p w:rsidR="000728AD" w:rsidRDefault="000728AD"/>
        </w:tc>
        <w:tc>
          <w:tcPr>
            <w:tcW w:w="420" w:type="dxa"/>
            <w:tcBorders>
              <w:bottom w:val="single" w:sz="8" w:space="0" w:color="auto"/>
            </w:tcBorders>
            <w:shd w:val="clear" w:color="auto" w:fill="CCEEFF"/>
            <w:vAlign w:val="bottom"/>
          </w:tcPr>
          <w:p w:rsidR="000728AD" w:rsidRDefault="000561BE">
            <w:pPr>
              <w:ind w:right="201"/>
              <w:jc w:val="right"/>
              <w:rPr>
                <w:sz w:val="20"/>
                <w:szCs w:val="20"/>
              </w:rPr>
            </w:pPr>
            <w:r>
              <w:rPr>
                <w:rFonts w:ascii="Arial" w:eastAsia="Arial" w:hAnsi="Arial" w:cs="Arial"/>
                <w:w w:val="89"/>
                <w:sz w:val="20"/>
                <w:szCs w:val="20"/>
              </w:rPr>
              <w:t>$</w:t>
            </w:r>
          </w:p>
        </w:tc>
        <w:tc>
          <w:tcPr>
            <w:tcW w:w="110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3,555</w:t>
            </w:r>
          </w:p>
        </w:tc>
      </w:tr>
      <w:tr w:rsidR="000728AD">
        <w:trPr>
          <w:trHeight w:val="20"/>
        </w:trPr>
        <w:tc>
          <w:tcPr>
            <w:tcW w:w="4800" w:type="dxa"/>
            <w:tcBorders>
              <w:top w:val="single" w:sz="8" w:space="0" w:color="CCEEFF"/>
            </w:tcBorders>
            <w:vAlign w:val="bottom"/>
          </w:tcPr>
          <w:p w:rsidR="000728AD" w:rsidRDefault="000728AD">
            <w:pPr>
              <w:spacing w:line="20" w:lineRule="exact"/>
              <w:rPr>
                <w:sz w:val="1"/>
                <w:szCs w:val="1"/>
              </w:rPr>
            </w:pPr>
          </w:p>
        </w:tc>
        <w:tc>
          <w:tcPr>
            <w:tcW w:w="96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54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00" w:type="dxa"/>
            <w:tcBorders>
              <w:top w:val="single" w:sz="8" w:space="0" w:color="CCEEFF"/>
            </w:tcBorders>
            <w:vAlign w:val="bottom"/>
          </w:tcPr>
          <w:p w:rsidR="000728AD" w:rsidRDefault="000728AD">
            <w:pPr>
              <w:spacing w:line="20" w:lineRule="exact"/>
              <w:rPr>
                <w:sz w:val="1"/>
                <w:szCs w:val="1"/>
              </w:rPr>
            </w:pPr>
          </w:p>
        </w:tc>
        <w:tc>
          <w:tcPr>
            <w:tcW w:w="96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54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200" w:type="dxa"/>
            <w:tcBorders>
              <w:top w:val="single" w:sz="8" w:space="0" w:color="CCEEFF"/>
            </w:tcBorders>
            <w:vAlign w:val="bottom"/>
          </w:tcPr>
          <w:p w:rsidR="000728AD" w:rsidRDefault="000728AD">
            <w:pPr>
              <w:spacing w:line="20" w:lineRule="exact"/>
              <w:rPr>
                <w:sz w:val="1"/>
                <w:szCs w:val="1"/>
              </w:rPr>
            </w:pPr>
          </w:p>
        </w:tc>
        <w:tc>
          <w:tcPr>
            <w:tcW w:w="36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16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00" w:type="dxa"/>
            <w:tcBorders>
              <w:top w:val="single" w:sz="8" w:space="0" w:color="CCEEFF"/>
            </w:tcBorders>
            <w:vAlign w:val="bottom"/>
          </w:tcPr>
          <w:p w:rsidR="000728AD" w:rsidRDefault="000728AD">
            <w:pPr>
              <w:spacing w:line="20" w:lineRule="exact"/>
              <w:rPr>
                <w:sz w:val="1"/>
                <w:szCs w:val="1"/>
              </w:rPr>
            </w:pPr>
          </w:p>
        </w:tc>
        <w:tc>
          <w:tcPr>
            <w:tcW w:w="42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100" w:type="dxa"/>
            <w:tcBorders>
              <w:top w:val="single" w:sz="8" w:space="0" w:color="CCEEFF"/>
              <w:bottom w:val="single" w:sz="8" w:space="0" w:color="auto"/>
            </w:tcBorders>
            <w:vAlign w:val="bottom"/>
          </w:tcPr>
          <w:p w:rsidR="000728AD" w:rsidRDefault="000728AD">
            <w:pPr>
              <w:spacing w:line="20" w:lineRule="exact"/>
              <w:rPr>
                <w:sz w:val="1"/>
                <w:szCs w:val="1"/>
              </w:rPr>
            </w:pPr>
          </w:p>
        </w:tc>
      </w:tr>
    </w:tbl>
    <w:p w:rsidR="000728AD" w:rsidRDefault="000728AD">
      <w:pPr>
        <w:spacing w:line="294" w:lineRule="exact"/>
        <w:rPr>
          <w:sz w:val="20"/>
          <w:szCs w:val="20"/>
        </w:rPr>
      </w:pPr>
    </w:p>
    <w:p w:rsidR="000728AD" w:rsidRDefault="000561BE">
      <w:pPr>
        <w:rPr>
          <w:sz w:val="20"/>
          <w:szCs w:val="20"/>
        </w:rPr>
      </w:pPr>
      <w:r>
        <w:rPr>
          <w:rFonts w:ascii="Arial" w:eastAsia="Arial" w:hAnsi="Arial" w:cs="Arial"/>
          <w:b/>
          <w:bCs/>
          <w:i/>
          <w:iCs/>
          <w:sz w:val="20"/>
          <w:szCs w:val="20"/>
        </w:rPr>
        <w:t>Fair Value of Stock Options</w:t>
      </w:r>
    </w:p>
    <w:p w:rsidR="000728AD" w:rsidRDefault="000728AD">
      <w:pPr>
        <w:spacing w:line="216" w:lineRule="exact"/>
        <w:rPr>
          <w:sz w:val="20"/>
          <w:szCs w:val="20"/>
        </w:rPr>
      </w:pPr>
    </w:p>
    <w:p w:rsidR="000728AD" w:rsidRDefault="000561BE">
      <w:pPr>
        <w:spacing w:line="260" w:lineRule="auto"/>
        <w:ind w:right="180"/>
        <w:rPr>
          <w:sz w:val="20"/>
          <w:szCs w:val="20"/>
        </w:rPr>
      </w:pPr>
      <w:r>
        <w:rPr>
          <w:rFonts w:ascii="Arial" w:eastAsia="Arial" w:hAnsi="Arial" w:cs="Arial"/>
          <w:sz w:val="20"/>
          <w:szCs w:val="20"/>
        </w:rPr>
        <w:t xml:space="preserve">The fair value of each option issued to employees was estimated on the date of grant using the </w:t>
      </w:r>
      <w:r>
        <w:rPr>
          <w:rFonts w:ascii="Arial" w:eastAsia="Arial" w:hAnsi="Arial" w:cs="Arial"/>
          <w:sz w:val="20"/>
          <w:szCs w:val="20"/>
        </w:rPr>
        <w:t>Black-Scholes option pricing model with the following assumptions:</w:t>
      </w:r>
    </w:p>
    <w:p w:rsidR="000728AD" w:rsidRDefault="000728AD">
      <w:pPr>
        <w:spacing w:line="189" w:lineRule="exact"/>
        <w:rPr>
          <w:sz w:val="20"/>
          <w:szCs w:val="20"/>
        </w:rPr>
      </w:pPr>
    </w:p>
    <w:tbl>
      <w:tblPr>
        <w:tblW w:w="0" w:type="auto"/>
        <w:tblInd w:w="4440" w:type="dxa"/>
        <w:tblLayout w:type="fixed"/>
        <w:tblCellMar>
          <w:left w:w="0" w:type="dxa"/>
          <w:right w:w="0" w:type="dxa"/>
        </w:tblCellMar>
        <w:tblLook w:val="04A0" w:firstRow="1" w:lastRow="0" w:firstColumn="1" w:lastColumn="0" w:noHBand="0" w:noVBand="1"/>
      </w:tblPr>
      <w:tblGrid>
        <w:gridCol w:w="1160"/>
        <w:gridCol w:w="2140"/>
        <w:gridCol w:w="200"/>
        <w:gridCol w:w="1160"/>
        <w:gridCol w:w="2140"/>
      </w:tblGrid>
      <w:tr w:rsidR="000728AD">
        <w:trPr>
          <w:trHeight w:val="207"/>
        </w:trPr>
        <w:tc>
          <w:tcPr>
            <w:tcW w:w="3500" w:type="dxa"/>
            <w:gridSpan w:val="3"/>
            <w:vAlign w:val="bottom"/>
          </w:tcPr>
          <w:p w:rsidR="000728AD" w:rsidRDefault="000561BE">
            <w:pPr>
              <w:ind w:right="180"/>
              <w:jc w:val="center"/>
              <w:rPr>
                <w:sz w:val="20"/>
                <w:szCs w:val="20"/>
              </w:rPr>
            </w:pPr>
            <w:r>
              <w:rPr>
                <w:rFonts w:ascii="Arial" w:eastAsia="Arial" w:hAnsi="Arial" w:cs="Arial"/>
                <w:b/>
                <w:bCs/>
                <w:w w:val="92"/>
                <w:sz w:val="18"/>
                <w:szCs w:val="18"/>
              </w:rPr>
              <w:t>Three Months Ended</w:t>
            </w:r>
          </w:p>
        </w:tc>
        <w:tc>
          <w:tcPr>
            <w:tcW w:w="3300" w:type="dxa"/>
            <w:gridSpan w:val="2"/>
            <w:vAlign w:val="bottom"/>
          </w:tcPr>
          <w:p w:rsidR="000728AD" w:rsidRDefault="000561BE">
            <w:pPr>
              <w:jc w:val="center"/>
              <w:rPr>
                <w:sz w:val="20"/>
                <w:szCs w:val="20"/>
              </w:rPr>
            </w:pPr>
            <w:r>
              <w:rPr>
                <w:rFonts w:ascii="Arial" w:eastAsia="Arial" w:hAnsi="Arial" w:cs="Arial"/>
                <w:b/>
                <w:bCs/>
                <w:w w:val="90"/>
                <w:sz w:val="18"/>
                <w:szCs w:val="18"/>
              </w:rPr>
              <w:t>Six Months Ended</w:t>
            </w:r>
          </w:p>
        </w:tc>
      </w:tr>
      <w:tr w:rsidR="000728AD">
        <w:trPr>
          <w:trHeight w:val="229"/>
        </w:trPr>
        <w:tc>
          <w:tcPr>
            <w:tcW w:w="1160" w:type="dxa"/>
            <w:vAlign w:val="bottom"/>
          </w:tcPr>
          <w:p w:rsidR="000728AD" w:rsidRDefault="000728AD">
            <w:pPr>
              <w:rPr>
                <w:sz w:val="19"/>
                <w:szCs w:val="19"/>
              </w:rPr>
            </w:pPr>
          </w:p>
        </w:tc>
        <w:tc>
          <w:tcPr>
            <w:tcW w:w="2340" w:type="dxa"/>
            <w:gridSpan w:val="2"/>
            <w:vAlign w:val="bottom"/>
          </w:tcPr>
          <w:p w:rsidR="000728AD" w:rsidRDefault="000561BE">
            <w:pPr>
              <w:ind w:right="1340"/>
              <w:jc w:val="center"/>
              <w:rPr>
                <w:sz w:val="20"/>
                <w:szCs w:val="20"/>
              </w:rPr>
            </w:pPr>
            <w:r>
              <w:rPr>
                <w:rFonts w:ascii="Arial" w:eastAsia="Arial" w:hAnsi="Arial" w:cs="Arial"/>
                <w:b/>
                <w:bCs/>
                <w:w w:val="88"/>
                <w:sz w:val="18"/>
                <w:szCs w:val="18"/>
              </w:rPr>
              <w:t>June 30,</w:t>
            </w:r>
          </w:p>
        </w:tc>
        <w:tc>
          <w:tcPr>
            <w:tcW w:w="1160" w:type="dxa"/>
            <w:vAlign w:val="bottom"/>
          </w:tcPr>
          <w:p w:rsidR="000728AD" w:rsidRDefault="000728AD">
            <w:pPr>
              <w:rPr>
                <w:sz w:val="19"/>
                <w:szCs w:val="19"/>
              </w:rPr>
            </w:pPr>
          </w:p>
        </w:tc>
        <w:tc>
          <w:tcPr>
            <w:tcW w:w="2140" w:type="dxa"/>
            <w:vAlign w:val="bottom"/>
          </w:tcPr>
          <w:p w:rsidR="000728AD" w:rsidRDefault="000561BE">
            <w:pPr>
              <w:ind w:right="1050"/>
              <w:jc w:val="center"/>
              <w:rPr>
                <w:sz w:val="20"/>
                <w:szCs w:val="20"/>
              </w:rPr>
            </w:pPr>
            <w:r>
              <w:rPr>
                <w:rFonts w:ascii="Arial" w:eastAsia="Arial" w:hAnsi="Arial" w:cs="Arial"/>
                <w:b/>
                <w:bCs/>
                <w:w w:val="88"/>
                <w:sz w:val="18"/>
                <w:szCs w:val="18"/>
              </w:rPr>
              <w:t>June 30,</w:t>
            </w:r>
          </w:p>
        </w:tc>
      </w:tr>
      <w:tr w:rsidR="000728AD">
        <w:trPr>
          <w:trHeight w:val="223"/>
        </w:trPr>
        <w:tc>
          <w:tcPr>
            <w:tcW w:w="1160" w:type="dxa"/>
            <w:tcBorders>
              <w:top w:val="single" w:sz="8" w:space="0" w:color="auto"/>
            </w:tcBorders>
            <w:vAlign w:val="bottom"/>
          </w:tcPr>
          <w:p w:rsidR="000728AD" w:rsidRDefault="000561BE">
            <w:pPr>
              <w:ind w:right="90"/>
              <w:jc w:val="right"/>
              <w:rPr>
                <w:sz w:val="20"/>
                <w:szCs w:val="20"/>
              </w:rPr>
            </w:pPr>
            <w:r>
              <w:rPr>
                <w:rFonts w:ascii="Arial" w:eastAsia="Arial" w:hAnsi="Arial" w:cs="Arial"/>
                <w:b/>
                <w:bCs/>
                <w:sz w:val="18"/>
                <w:szCs w:val="18"/>
              </w:rPr>
              <w:t>2021</w:t>
            </w:r>
          </w:p>
        </w:tc>
        <w:tc>
          <w:tcPr>
            <w:tcW w:w="2140" w:type="dxa"/>
            <w:tcBorders>
              <w:top w:val="single" w:sz="8" w:space="0" w:color="auto"/>
            </w:tcBorders>
            <w:vAlign w:val="bottom"/>
          </w:tcPr>
          <w:p w:rsidR="000728AD" w:rsidRDefault="000561BE">
            <w:pPr>
              <w:ind w:right="530"/>
              <w:jc w:val="right"/>
              <w:rPr>
                <w:sz w:val="20"/>
                <w:szCs w:val="20"/>
              </w:rPr>
            </w:pPr>
            <w:r>
              <w:rPr>
                <w:rFonts w:ascii="Arial" w:eastAsia="Arial" w:hAnsi="Arial" w:cs="Arial"/>
                <w:b/>
                <w:bCs/>
                <w:sz w:val="18"/>
                <w:szCs w:val="18"/>
              </w:rPr>
              <w:t>2020</w:t>
            </w:r>
          </w:p>
        </w:tc>
        <w:tc>
          <w:tcPr>
            <w:tcW w:w="200" w:type="dxa"/>
            <w:vAlign w:val="bottom"/>
          </w:tcPr>
          <w:p w:rsidR="000728AD" w:rsidRDefault="000728AD">
            <w:pPr>
              <w:rPr>
                <w:sz w:val="19"/>
                <w:szCs w:val="19"/>
              </w:rPr>
            </w:pPr>
          </w:p>
        </w:tc>
        <w:tc>
          <w:tcPr>
            <w:tcW w:w="1160" w:type="dxa"/>
            <w:tcBorders>
              <w:top w:val="single" w:sz="8" w:space="0" w:color="auto"/>
            </w:tcBorders>
            <w:vAlign w:val="bottom"/>
          </w:tcPr>
          <w:p w:rsidR="000728AD" w:rsidRDefault="000561BE">
            <w:pPr>
              <w:ind w:right="90"/>
              <w:jc w:val="right"/>
              <w:rPr>
                <w:sz w:val="20"/>
                <w:szCs w:val="20"/>
              </w:rPr>
            </w:pPr>
            <w:r>
              <w:rPr>
                <w:rFonts w:ascii="Arial" w:eastAsia="Arial" w:hAnsi="Arial" w:cs="Arial"/>
                <w:b/>
                <w:bCs/>
                <w:sz w:val="18"/>
                <w:szCs w:val="18"/>
              </w:rPr>
              <w:t>2021</w:t>
            </w:r>
          </w:p>
        </w:tc>
        <w:tc>
          <w:tcPr>
            <w:tcW w:w="2140" w:type="dxa"/>
            <w:tcBorders>
              <w:top w:val="single" w:sz="8" w:space="0" w:color="auto"/>
            </w:tcBorders>
            <w:vAlign w:val="bottom"/>
          </w:tcPr>
          <w:p w:rsidR="000728AD" w:rsidRDefault="000561BE">
            <w:pPr>
              <w:ind w:right="530"/>
              <w:jc w:val="right"/>
              <w:rPr>
                <w:sz w:val="20"/>
                <w:szCs w:val="20"/>
              </w:rPr>
            </w:pPr>
            <w:r>
              <w:rPr>
                <w:rFonts w:ascii="Arial" w:eastAsia="Arial" w:hAnsi="Arial" w:cs="Arial"/>
                <w:b/>
                <w:bCs/>
                <w:sz w:val="18"/>
                <w:szCs w:val="18"/>
              </w:rPr>
              <w:t>2020</w:t>
            </w:r>
          </w:p>
        </w:tc>
      </w:tr>
    </w:tbl>
    <w:p w:rsidR="000728AD" w:rsidRDefault="000561BE">
      <w:pPr>
        <w:spacing w:line="20" w:lineRule="exact"/>
        <w:rPr>
          <w:sz w:val="20"/>
          <w:szCs w:val="20"/>
        </w:rPr>
      </w:pPr>
      <w:r>
        <w:rPr>
          <w:noProof/>
          <w:sz w:val="20"/>
          <w:szCs w:val="20"/>
        </w:rPr>
        <w:drawing>
          <wp:anchor distT="0" distB="0" distL="114300" distR="114300" simplePos="0" relativeHeight="251623424" behindDoc="1" locked="0" layoutInCell="0" allowOverlap="1">
            <wp:simplePos x="0" y="0"/>
            <wp:positionH relativeFrom="column">
              <wp:posOffset>5080</wp:posOffset>
            </wp:positionH>
            <wp:positionV relativeFrom="paragraph">
              <wp:posOffset>0</wp:posOffset>
            </wp:positionV>
            <wp:extent cx="7132320" cy="1625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7132320" cy="162560"/>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p w:rsidR="000728AD" w:rsidRDefault="000561BE">
      <w:pPr>
        <w:ind w:left="20"/>
        <w:rPr>
          <w:sz w:val="20"/>
          <w:szCs w:val="20"/>
        </w:rPr>
      </w:pPr>
      <w:r>
        <w:rPr>
          <w:rFonts w:ascii="Arial" w:eastAsia="Arial" w:hAnsi="Arial" w:cs="Arial"/>
          <w:sz w:val="20"/>
          <w:szCs w:val="20"/>
        </w:rPr>
        <w:t>Risk-free interest rate</w:t>
      </w:r>
    </w:p>
    <w:p w:rsidR="000728AD" w:rsidRDefault="000728AD">
      <w:pPr>
        <w:spacing w:line="37" w:lineRule="exact"/>
        <w:rPr>
          <w:sz w:val="20"/>
          <w:szCs w:val="20"/>
        </w:rPr>
      </w:pPr>
    </w:p>
    <w:p w:rsidR="000728AD" w:rsidRDefault="000561BE">
      <w:pPr>
        <w:ind w:left="20"/>
        <w:rPr>
          <w:sz w:val="20"/>
          <w:szCs w:val="20"/>
        </w:rPr>
      </w:pPr>
      <w:r>
        <w:rPr>
          <w:rFonts w:ascii="Arial" w:eastAsia="Arial" w:hAnsi="Arial" w:cs="Arial"/>
          <w:sz w:val="18"/>
          <w:szCs w:val="18"/>
        </w:rPr>
        <w:t>Expected option life (in years)</w:t>
      </w:r>
    </w:p>
    <w:p w:rsidR="000728AD" w:rsidRDefault="000728AD">
      <w:pPr>
        <w:spacing w:line="63" w:lineRule="exact"/>
        <w:rPr>
          <w:sz w:val="20"/>
          <w:szCs w:val="20"/>
        </w:rPr>
      </w:pPr>
    </w:p>
    <w:p w:rsidR="000728AD" w:rsidRDefault="000561BE">
      <w:pPr>
        <w:ind w:left="20"/>
        <w:rPr>
          <w:sz w:val="20"/>
          <w:szCs w:val="20"/>
        </w:rPr>
      </w:pPr>
      <w:r>
        <w:rPr>
          <w:rFonts w:ascii="Arial" w:eastAsia="Arial" w:hAnsi="Arial" w:cs="Arial"/>
          <w:sz w:val="20"/>
          <w:szCs w:val="20"/>
        </w:rPr>
        <w:t>Expected dividend yield</w:t>
      </w:r>
    </w:p>
    <w:p w:rsidR="000728AD" w:rsidRDefault="000728AD">
      <w:pPr>
        <w:spacing w:line="27" w:lineRule="exact"/>
        <w:rPr>
          <w:sz w:val="20"/>
          <w:szCs w:val="20"/>
        </w:rPr>
      </w:pPr>
    </w:p>
    <w:p w:rsidR="000728AD" w:rsidRDefault="000561BE">
      <w:pPr>
        <w:ind w:left="20"/>
        <w:rPr>
          <w:sz w:val="20"/>
          <w:szCs w:val="20"/>
        </w:rPr>
      </w:pPr>
      <w:r>
        <w:rPr>
          <w:rFonts w:ascii="Arial" w:eastAsia="Arial" w:hAnsi="Arial" w:cs="Arial"/>
          <w:sz w:val="20"/>
          <w:szCs w:val="20"/>
        </w:rPr>
        <w:t>Expected volatility</w:t>
      </w:r>
    </w:p>
    <w:p w:rsidR="000728AD" w:rsidRDefault="000728AD">
      <w:pPr>
        <w:spacing w:line="324" w:lineRule="exact"/>
        <w:rPr>
          <w:sz w:val="20"/>
          <w:szCs w:val="20"/>
        </w:rPr>
      </w:pPr>
    </w:p>
    <w:p w:rsidR="000728AD" w:rsidRDefault="000561BE">
      <w:pPr>
        <w:rPr>
          <w:sz w:val="20"/>
          <w:szCs w:val="20"/>
        </w:rPr>
      </w:pPr>
      <w:r>
        <w:rPr>
          <w:rFonts w:ascii="Arial" w:eastAsia="Arial" w:hAnsi="Arial" w:cs="Arial"/>
          <w:b/>
          <w:bCs/>
          <w:i/>
          <w:iCs/>
          <w:sz w:val="20"/>
          <w:szCs w:val="20"/>
        </w:rPr>
        <w:t>Stock Option Activity</w:t>
      </w:r>
    </w:p>
    <w:p w:rsidR="000728AD" w:rsidRDefault="000561BE">
      <w:pPr>
        <w:spacing w:line="20" w:lineRule="exact"/>
        <w:rPr>
          <w:sz w:val="20"/>
          <w:szCs w:val="20"/>
        </w:rPr>
      </w:pPr>
      <w:r>
        <w:rPr>
          <w:sz w:val="20"/>
          <w:szCs w:val="20"/>
        </w:rPr>
        <w:br w:type="column"/>
      </w:r>
    </w:p>
    <w:p w:rsidR="000728AD" w:rsidRDefault="000728AD">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600"/>
        <w:gridCol w:w="120"/>
        <w:gridCol w:w="1580"/>
        <w:gridCol w:w="200"/>
        <w:gridCol w:w="1600"/>
        <w:gridCol w:w="100"/>
        <w:gridCol w:w="1600"/>
      </w:tblGrid>
      <w:tr w:rsidR="000728AD">
        <w:trPr>
          <w:trHeight w:val="250"/>
        </w:trPr>
        <w:tc>
          <w:tcPr>
            <w:tcW w:w="1600" w:type="dxa"/>
            <w:tcBorders>
              <w:top w:val="single" w:sz="8" w:space="0" w:color="auto"/>
            </w:tcBorders>
            <w:vAlign w:val="bottom"/>
          </w:tcPr>
          <w:p w:rsidR="000728AD" w:rsidRDefault="000561BE">
            <w:pPr>
              <w:jc w:val="right"/>
              <w:rPr>
                <w:sz w:val="20"/>
                <w:szCs w:val="20"/>
              </w:rPr>
            </w:pPr>
            <w:r>
              <w:rPr>
                <w:rFonts w:ascii="Arial" w:eastAsia="Arial" w:hAnsi="Arial" w:cs="Arial"/>
                <w:sz w:val="20"/>
                <w:szCs w:val="20"/>
              </w:rPr>
              <w:t>1.03 %</w:t>
            </w:r>
          </w:p>
        </w:tc>
        <w:tc>
          <w:tcPr>
            <w:tcW w:w="120" w:type="dxa"/>
            <w:vAlign w:val="bottom"/>
          </w:tcPr>
          <w:p w:rsidR="000728AD" w:rsidRDefault="000728AD">
            <w:pPr>
              <w:rPr>
                <w:sz w:val="21"/>
                <w:szCs w:val="21"/>
              </w:rPr>
            </w:pPr>
          </w:p>
        </w:tc>
        <w:tc>
          <w:tcPr>
            <w:tcW w:w="1580" w:type="dxa"/>
            <w:tcBorders>
              <w:top w:val="single" w:sz="8" w:space="0" w:color="auto"/>
            </w:tcBorders>
            <w:vAlign w:val="bottom"/>
          </w:tcPr>
          <w:p w:rsidR="000728AD" w:rsidRDefault="000561BE">
            <w:pPr>
              <w:jc w:val="right"/>
              <w:rPr>
                <w:sz w:val="20"/>
                <w:szCs w:val="20"/>
              </w:rPr>
            </w:pPr>
            <w:r>
              <w:rPr>
                <w:rFonts w:ascii="Arial" w:eastAsia="Arial" w:hAnsi="Arial" w:cs="Arial"/>
                <w:sz w:val="20"/>
                <w:szCs w:val="20"/>
              </w:rPr>
              <w:t>0.38 %</w:t>
            </w:r>
          </w:p>
        </w:tc>
        <w:tc>
          <w:tcPr>
            <w:tcW w:w="200" w:type="dxa"/>
            <w:vAlign w:val="bottom"/>
          </w:tcPr>
          <w:p w:rsidR="000728AD" w:rsidRDefault="000728AD">
            <w:pPr>
              <w:rPr>
                <w:sz w:val="21"/>
                <w:szCs w:val="21"/>
              </w:rPr>
            </w:pPr>
          </w:p>
        </w:tc>
        <w:tc>
          <w:tcPr>
            <w:tcW w:w="1600" w:type="dxa"/>
            <w:tcBorders>
              <w:top w:val="single" w:sz="8" w:space="0" w:color="auto"/>
            </w:tcBorders>
            <w:vAlign w:val="bottom"/>
          </w:tcPr>
          <w:p w:rsidR="000728AD" w:rsidRDefault="000561BE">
            <w:pPr>
              <w:jc w:val="right"/>
              <w:rPr>
                <w:sz w:val="20"/>
                <w:szCs w:val="20"/>
              </w:rPr>
            </w:pPr>
            <w:r>
              <w:rPr>
                <w:rFonts w:ascii="Arial" w:eastAsia="Arial" w:hAnsi="Arial" w:cs="Arial"/>
                <w:sz w:val="20"/>
                <w:szCs w:val="20"/>
              </w:rPr>
              <w:t>0.82 %</w:t>
            </w:r>
          </w:p>
        </w:tc>
        <w:tc>
          <w:tcPr>
            <w:tcW w:w="100" w:type="dxa"/>
            <w:vAlign w:val="bottom"/>
          </w:tcPr>
          <w:p w:rsidR="000728AD" w:rsidRDefault="000728AD">
            <w:pPr>
              <w:rPr>
                <w:sz w:val="21"/>
                <w:szCs w:val="21"/>
              </w:rPr>
            </w:pPr>
          </w:p>
        </w:tc>
        <w:tc>
          <w:tcPr>
            <w:tcW w:w="1600" w:type="dxa"/>
            <w:tcBorders>
              <w:top w:val="single" w:sz="8" w:space="0" w:color="auto"/>
            </w:tcBorders>
            <w:vAlign w:val="bottom"/>
          </w:tcPr>
          <w:p w:rsidR="000728AD" w:rsidRDefault="000561BE">
            <w:pPr>
              <w:jc w:val="right"/>
              <w:rPr>
                <w:sz w:val="20"/>
                <w:szCs w:val="20"/>
              </w:rPr>
            </w:pPr>
            <w:r>
              <w:rPr>
                <w:rFonts w:ascii="Arial" w:eastAsia="Arial" w:hAnsi="Arial" w:cs="Arial"/>
                <w:sz w:val="20"/>
                <w:szCs w:val="20"/>
              </w:rPr>
              <w:t>1.28 %</w:t>
            </w:r>
          </w:p>
        </w:tc>
      </w:tr>
      <w:tr w:rsidR="000728AD">
        <w:trPr>
          <w:trHeight w:val="266"/>
        </w:trPr>
        <w:tc>
          <w:tcPr>
            <w:tcW w:w="1600" w:type="dxa"/>
            <w:vAlign w:val="bottom"/>
          </w:tcPr>
          <w:p w:rsidR="000728AD" w:rsidRDefault="000561BE">
            <w:pPr>
              <w:ind w:right="141"/>
              <w:jc w:val="right"/>
              <w:rPr>
                <w:sz w:val="20"/>
                <w:szCs w:val="20"/>
              </w:rPr>
            </w:pPr>
            <w:r>
              <w:rPr>
                <w:rFonts w:ascii="Arial" w:eastAsia="Arial" w:hAnsi="Arial" w:cs="Arial"/>
                <w:sz w:val="20"/>
                <w:szCs w:val="20"/>
              </w:rPr>
              <w:t>5.92</w:t>
            </w:r>
          </w:p>
        </w:tc>
        <w:tc>
          <w:tcPr>
            <w:tcW w:w="120" w:type="dxa"/>
            <w:vAlign w:val="bottom"/>
          </w:tcPr>
          <w:p w:rsidR="000728AD" w:rsidRDefault="000728AD">
            <w:pPr>
              <w:rPr>
                <w:sz w:val="23"/>
                <w:szCs w:val="23"/>
              </w:rPr>
            </w:pPr>
          </w:p>
        </w:tc>
        <w:tc>
          <w:tcPr>
            <w:tcW w:w="1580" w:type="dxa"/>
            <w:vAlign w:val="bottom"/>
          </w:tcPr>
          <w:p w:rsidR="000728AD" w:rsidRDefault="000561BE">
            <w:pPr>
              <w:ind w:right="141"/>
              <w:jc w:val="right"/>
              <w:rPr>
                <w:sz w:val="20"/>
                <w:szCs w:val="20"/>
              </w:rPr>
            </w:pPr>
            <w:r>
              <w:rPr>
                <w:rFonts w:ascii="Arial" w:eastAsia="Arial" w:hAnsi="Arial" w:cs="Arial"/>
                <w:sz w:val="20"/>
                <w:szCs w:val="20"/>
              </w:rPr>
              <w:t>5.38</w:t>
            </w:r>
          </w:p>
        </w:tc>
        <w:tc>
          <w:tcPr>
            <w:tcW w:w="200" w:type="dxa"/>
            <w:vAlign w:val="bottom"/>
          </w:tcPr>
          <w:p w:rsidR="000728AD" w:rsidRDefault="000728AD">
            <w:pPr>
              <w:rPr>
                <w:sz w:val="23"/>
                <w:szCs w:val="23"/>
              </w:rPr>
            </w:pPr>
          </w:p>
        </w:tc>
        <w:tc>
          <w:tcPr>
            <w:tcW w:w="1600" w:type="dxa"/>
            <w:vAlign w:val="bottom"/>
          </w:tcPr>
          <w:p w:rsidR="000728AD" w:rsidRDefault="000561BE">
            <w:pPr>
              <w:ind w:right="141"/>
              <w:jc w:val="right"/>
              <w:rPr>
                <w:sz w:val="20"/>
                <w:szCs w:val="20"/>
              </w:rPr>
            </w:pPr>
            <w:r>
              <w:rPr>
                <w:rFonts w:ascii="Arial" w:eastAsia="Arial" w:hAnsi="Arial" w:cs="Arial"/>
                <w:sz w:val="20"/>
                <w:szCs w:val="20"/>
              </w:rPr>
              <w:t>6.00</w:t>
            </w:r>
          </w:p>
        </w:tc>
        <w:tc>
          <w:tcPr>
            <w:tcW w:w="100" w:type="dxa"/>
            <w:vAlign w:val="bottom"/>
          </w:tcPr>
          <w:p w:rsidR="000728AD" w:rsidRDefault="000728AD">
            <w:pPr>
              <w:rPr>
                <w:sz w:val="23"/>
                <w:szCs w:val="23"/>
              </w:rPr>
            </w:pPr>
          </w:p>
        </w:tc>
        <w:tc>
          <w:tcPr>
            <w:tcW w:w="1600" w:type="dxa"/>
            <w:vAlign w:val="bottom"/>
          </w:tcPr>
          <w:p w:rsidR="000728AD" w:rsidRDefault="000561BE">
            <w:pPr>
              <w:ind w:right="141"/>
              <w:jc w:val="right"/>
              <w:rPr>
                <w:sz w:val="20"/>
                <w:szCs w:val="20"/>
              </w:rPr>
            </w:pPr>
            <w:r>
              <w:rPr>
                <w:rFonts w:ascii="Arial" w:eastAsia="Arial" w:hAnsi="Arial" w:cs="Arial"/>
                <w:sz w:val="20"/>
                <w:szCs w:val="20"/>
              </w:rPr>
              <w:t>5.90</w:t>
            </w:r>
          </w:p>
        </w:tc>
      </w:tr>
      <w:tr w:rsidR="000728AD">
        <w:trPr>
          <w:trHeight w:val="250"/>
        </w:trPr>
        <w:tc>
          <w:tcPr>
            <w:tcW w:w="1720" w:type="dxa"/>
            <w:gridSpan w:val="2"/>
            <w:vAlign w:val="bottom"/>
          </w:tcPr>
          <w:p w:rsidR="000728AD" w:rsidRDefault="000561BE">
            <w:pPr>
              <w:ind w:right="140"/>
              <w:jc w:val="right"/>
              <w:rPr>
                <w:sz w:val="20"/>
                <w:szCs w:val="20"/>
              </w:rPr>
            </w:pPr>
            <w:r>
              <w:rPr>
                <w:rFonts w:ascii="Arial" w:eastAsia="Arial" w:hAnsi="Arial" w:cs="Arial"/>
                <w:sz w:val="20"/>
                <w:szCs w:val="20"/>
              </w:rPr>
              <w:t>— %</w:t>
            </w:r>
          </w:p>
        </w:tc>
        <w:tc>
          <w:tcPr>
            <w:tcW w:w="1780" w:type="dxa"/>
            <w:gridSpan w:val="2"/>
            <w:vAlign w:val="bottom"/>
          </w:tcPr>
          <w:p w:rsidR="000728AD" w:rsidRDefault="000561BE">
            <w:pPr>
              <w:ind w:right="220"/>
              <w:jc w:val="right"/>
              <w:rPr>
                <w:sz w:val="20"/>
                <w:szCs w:val="20"/>
              </w:rPr>
            </w:pPr>
            <w:r>
              <w:rPr>
                <w:rFonts w:ascii="Arial" w:eastAsia="Arial" w:hAnsi="Arial" w:cs="Arial"/>
                <w:sz w:val="20"/>
                <w:szCs w:val="20"/>
              </w:rPr>
              <w:t>— %</w:t>
            </w:r>
          </w:p>
        </w:tc>
        <w:tc>
          <w:tcPr>
            <w:tcW w:w="1700" w:type="dxa"/>
            <w:gridSpan w:val="2"/>
            <w:vAlign w:val="bottom"/>
          </w:tcPr>
          <w:p w:rsidR="000728AD" w:rsidRDefault="000561BE">
            <w:pPr>
              <w:ind w:right="120"/>
              <w:jc w:val="right"/>
              <w:rPr>
                <w:sz w:val="20"/>
                <w:szCs w:val="20"/>
              </w:rPr>
            </w:pPr>
            <w:r>
              <w:rPr>
                <w:rFonts w:ascii="Arial" w:eastAsia="Arial" w:hAnsi="Arial" w:cs="Arial"/>
                <w:sz w:val="20"/>
                <w:szCs w:val="20"/>
              </w:rPr>
              <w:t>— %</w:t>
            </w:r>
          </w:p>
        </w:tc>
        <w:tc>
          <w:tcPr>
            <w:tcW w:w="1600" w:type="dxa"/>
            <w:vAlign w:val="bottom"/>
          </w:tcPr>
          <w:p w:rsidR="000728AD" w:rsidRDefault="000561BE">
            <w:pPr>
              <w:jc w:val="right"/>
              <w:rPr>
                <w:sz w:val="20"/>
                <w:szCs w:val="20"/>
              </w:rPr>
            </w:pPr>
            <w:r>
              <w:rPr>
                <w:rFonts w:ascii="Arial" w:eastAsia="Arial" w:hAnsi="Arial" w:cs="Arial"/>
                <w:sz w:val="20"/>
                <w:szCs w:val="20"/>
              </w:rPr>
              <w:t>— %</w:t>
            </w:r>
          </w:p>
        </w:tc>
      </w:tr>
      <w:tr w:rsidR="000728AD">
        <w:trPr>
          <w:trHeight w:val="283"/>
        </w:trPr>
        <w:tc>
          <w:tcPr>
            <w:tcW w:w="1600" w:type="dxa"/>
            <w:vAlign w:val="bottom"/>
          </w:tcPr>
          <w:p w:rsidR="000728AD" w:rsidRDefault="000561BE">
            <w:pPr>
              <w:jc w:val="right"/>
              <w:rPr>
                <w:sz w:val="20"/>
                <w:szCs w:val="20"/>
              </w:rPr>
            </w:pPr>
            <w:r>
              <w:rPr>
                <w:rFonts w:ascii="Arial" w:eastAsia="Arial" w:hAnsi="Arial" w:cs="Arial"/>
                <w:sz w:val="20"/>
                <w:szCs w:val="20"/>
              </w:rPr>
              <w:t>96.5 %</w:t>
            </w:r>
          </w:p>
        </w:tc>
        <w:tc>
          <w:tcPr>
            <w:tcW w:w="120" w:type="dxa"/>
            <w:vAlign w:val="bottom"/>
          </w:tcPr>
          <w:p w:rsidR="000728AD" w:rsidRDefault="000728AD">
            <w:pPr>
              <w:rPr>
                <w:sz w:val="24"/>
                <w:szCs w:val="24"/>
              </w:rPr>
            </w:pPr>
          </w:p>
        </w:tc>
        <w:tc>
          <w:tcPr>
            <w:tcW w:w="1580" w:type="dxa"/>
            <w:vAlign w:val="bottom"/>
          </w:tcPr>
          <w:p w:rsidR="000728AD" w:rsidRDefault="000561BE">
            <w:pPr>
              <w:jc w:val="right"/>
              <w:rPr>
                <w:sz w:val="20"/>
                <w:szCs w:val="20"/>
              </w:rPr>
            </w:pPr>
            <w:r>
              <w:rPr>
                <w:rFonts w:ascii="Arial" w:eastAsia="Arial" w:hAnsi="Arial" w:cs="Arial"/>
                <w:sz w:val="20"/>
                <w:szCs w:val="20"/>
              </w:rPr>
              <w:t>75.1 %</w:t>
            </w:r>
          </w:p>
        </w:tc>
        <w:tc>
          <w:tcPr>
            <w:tcW w:w="200" w:type="dxa"/>
            <w:vAlign w:val="bottom"/>
          </w:tcPr>
          <w:p w:rsidR="000728AD" w:rsidRDefault="000728AD">
            <w:pPr>
              <w:rPr>
                <w:sz w:val="24"/>
                <w:szCs w:val="24"/>
              </w:rPr>
            </w:pPr>
          </w:p>
        </w:tc>
        <w:tc>
          <w:tcPr>
            <w:tcW w:w="1600" w:type="dxa"/>
            <w:vAlign w:val="bottom"/>
          </w:tcPr>
          <w:p w:rsidR="000728AD" w:rsidRDefault="000561BE">
            <w:pPr>
              <w:jc w:val="right"/>
              <w:rPr>
                <w:sz w:val="20"/>
                <w:szCs w:val="20"/>
              </w:rPr>
            </w:pPr>
            <w:r>
              <w:rPr>
                <w:rFonts w:ascii="Arial" w:eastAsia="Arial" w:hAnsi="Arial" w:cs="Arial"/>
                <w:sz w:val="20"/>
                <w:szCs w:val="20"/>
              </w:rPr>
              <w:t>97.0 %</w:t>
            </w:r>
          </w:p>
        </w:tc>
        <w:tc>
          <w:tcPr>
            <w:tcW w:w="100" w:type="dxa"/>
            <w:vAlign w:val="bottom"/>
          </w:tcPr>
          <w:p w:rsidR="000728AD" w:rsidRDefault="000728AD">
            <w:pPr>
              <w:rPr>
                <w:sz w:val="24"/>
                <w:szCs w:val="24"/>
              </w:rPr>
            </w:pPr>
          </w:p>
        </w:tc>
        <w:tc>
          <w:tcPr>
            <w:tcW w:w="1600" w:type="dxa"/>
            <w:vAlign w:val="bottom"/>
          </w:tcPr>
          <w:p w:rsidR="000728AD" w:rsidRDefault="000561BE">
            <w:pPr>
              <w:jc w:val="right"/>
              <w:rPr>
                <w:sz w:val="20"/>
                <w:szCs w:val="20"/>
              </w:rPr>
            </w:pPr>
            <w:r>
              <w:rPr>
                <w:rFonts w:ascii="Arial" w:eastAsia="Arial" w:hAnsi="Arial" w:cs="Arial"/>
                <w:sz w:val="20"/>
                <w:szCs w:val="20"/>
              </w:rPr>
              <w:t>73.2 %</w:t>
            </w:r>
          </w:p>
        </w:tc>
      </w:tr>
    </w:tbl>
    <w:p w:rsidR="000728AD" w:rsidRDefault="000561BE">
      <w:pPr>
        <w:spacing w:line="20" w:lineRule="exact"/>
        <w:rPr>
          <w:sz w:val="20"/>
          <w:szCs w:val="20"/>
        </w:rPr>
      </w:pPr>
      <w:r>
        <w:rPr>
          <w:noProof/>
          <w:sz w:val="20"/>
          <w:szCs w:val="20"/>
        </w:rPr>
        <w:drawing>
          <wp:anchor distT="0" distB="0" distL="114300" distR="114300" simplePos="0" relativeHeight="251624448" behindDoc="1" locked="0" layoutInCell="0" allowOverlap="1">
            <wp:simplePos x="0" y="0"/>
            <wp:positionH relativeFrom="column">
              <wp:posOffset>-2813685</wp:posOffset>
            </wp:positionH>
            <wp:positionV relativeFrom="paragraph">
              <wp:posOffset>-336550</wp:posOffset>
            </wp:positionV>
            <wp:extent cx="7132320" cy="1543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srcRect/>
                    <a:stretch>
                      <a:fillRect/>
                    </a:stretch>
                  </pic:blipFill>
                  <pic:spPr bwMode="auto">
                    <a:xfrm>
                      <a:off x="0" y="0"/>
                      <a:ext cx="7132320" cy="154305"/>
                    </a:xfrm>
                    <a:prstGeom prst="rect">
                      <a:avLst/>
                    </a:prstGeom>
                    <a:noFill/>
                  </pic:spPr>
                </pic:pic>
              </a:graphicData>
            </a:graphic>
          </wp:anchor>
        </w:drawing>
      </w:r>
    </w:p>
    <w:p w:rsidR="000728AD" w:rsidRDefault="000728AD">
      <w:pPr>
        <w:spacing w:line="706" w:lineRule="exact"/>
        <w:rPr>
          <w:sz w:val="20"/>
          <w:szCs w:val="20"/>
        </w:rPr>
      </w:pPr>
    </w:p>
    <w:p w:rsidR="000728AD" w:rsidRDefault="000728AD">
      <w:pPr>
        <w:sectPr w:rsidR="000728AD">
          <w:type w:val="continuous"/>
          <w:pgSz w:w="11900" w:h="16838"/>
          <w:pgMar w:top="125" w:right="339" w:bottom="1440" w:left="320" w:header="0" w:footer="0" w:gutter="0"/>
          <w:cols w:num="2" w:space="720" w:equalWidth="0">
            <w:col w:w="3720" w:space="720"/>
            <w:col w:w="6800"/>
          </w:cols>
        </w:sectPr>
      </w:pPr>
    </w:p>
    <w:p w:rsidR="000728AD" w:rsidRDefault="000728AD">
      <w:pPr>
        <w:spacing w:line="16" w:lineRule="exact"/>
        <w:rPr>
          <w:sz w:val="20"/>
          <w:szCs w:val="20"/>
        </w:rPr>
      </w:pPr>
    </w:p>
    <w:p w:rsidR="000728AD" w:rsidRDefault="000561BE">
      <w:pPr>
        <w:rPr>
          <w:sz w:val="20"/>
          <w:szCs w:val="20"/>
        </w:rPr>
      </w:pPr>
      <w:r>
        <w:rPr>
          <w:rFonts w:ascii="Arial" w:eastAsia="Arial" w:hAnsi="Arial" w:cs="Arial"/>
          <w:sz w:val="20"/>
          <w:szCs w:val="20"/>
        </w:rPr>
        <w:t xml:space="preserve">The following table summarizes the Company’s stock option </w:t>
      </w:r>
      <w:r>
        <w:rPr>
          <w:rFonts w:ascii="Arial" w:eastAsia="Arial" w:hAnsi="Arial" w:cs="Arial"/>
          <w:sz w:val="20"/>
          <w:szCs w:val="20"/>
        </w:rPr>
        <w:t>activity for the six months ended June 30, 2021:</w:t>
      </w:r>
    </w:p>
    <w:p w:rsidR="000728AD" w:rsidRDefault="000728AD">
      <w:pPr>
        <w:spacing w:line="1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900"/>
        <w:gridCol w:w="1500"/>
        <w:gridCol w:w="100"/>
        <w:gridCol w:w="1080"/>
        <w:gridCol w:w="440"/>
        <w:gridCol w:w="100"/>
        <w:gridCol w:w="1500"/>
        <w:gridCol w:w="100"/>
        <w:gridCol w:w="240"/>
        <w:gridCol w:w="1280"/>
        <w:gridCol w:w="20"/>
      </w:tblGrid>
      <w:tr w:rsidR="000728AD">
        <w:trPr>
          <w:trHeight w:val="207"/>
        </w:trPr>
        <w:tc>
          <w:tcPr>
            <w:tcW w:w="4900" w:type="dxa"/>
            <w:vAlign w:val="bottom"/>
          </w:tcPr>
          <w:p w:rsidR="000728AD" w:rsidRDefault="000728AD">
            <w:pPr>
              <w:rPr>
                <w:sz w:val="18"/>
                <w:szCs w:val="18"/>
              </w:rPr>
            </w:pPr>
          </w:p>
        </w:tc>
        <w:tc>
          <w:tcPr>
            <w:tcW w:w="1500" w:type="dxa"/>
            <w:vAlign w:val="bottom"/>
          </w:tcPr>
          <w:p w:rsidR="000728AD" w:rsidRDefault="000728AD">
            <w:pPr>
              <w:rPr>
                <w:sz w:val="18"/>
                <w:szCs w:val="18"/>
              </w:rPr>
            </w:pPr>
          </w:p>
        </w:tc>
        <w:tc>
          <w:tcPr>
            <w:tcW w:w="100" w:type="dxa"/>
            <w:vAlign w:val="bottom"/>
          </w:tcPr>
          <w:p w:rsidR="000728AD" w:rsidRDefault="000728AD">
            <w:pPr>
              <w:rPr>
                <w:sz w:val="18"/>
                <w:szCs w:val="18"/>
              </w:rPr>
            </w:pPr>
          </w:p>
        </w:tc>
        <w:tc>
          <w:tcPr>
            <w:tcW w:w="1620" w:type="dxa"/>
            <w:gridSpan w:val="3"/>
            <w:vMerge w:val="restart"/>
            <w:vAlign w:val="bottom"/>
          </w:tcPr>
          <w:p w:rsidR="000728AD" w:rsidRDefault="000561BE">
            <w:pPr>
              <w:ind w:right="100"/>
              <w:jc w:val="center"/>
              <w:rPr>
                <w:sz w:val="20"/>
                <w:szCs w:val="20"/>
              </w:rPr>
            </w:pPr>
            <w:r>
              <w:rPr>
                <w:rFonts w:ascii="Arial" w:eastAsia="Arial" w:hAnsi="Arial" w:cs="Arial"/>
                <w:b/>
                <w:bCs/>
                <w:w w:val="88"/>
                <w:sz w:val="18"/>
                <w:szCs w:val="18"/>
              </w:rPr>
              <w:t>Weighted</w:t>
            </w:r>
          </w:p>
        </w:tc>
        <w:tc>
          <w:tcPr>
            <w:tcW w:w="1600" w:type="dxa"/>
            <w:gridSpan w:val="2"/>
            <w:vAlign w:val="bottom"/>
          </w:tcPr>
          <w:p w:rsidR="000728AD" w:rsidRDefault="000561BE">
            <w:pPr>
              <w:ind w:right="100"/>
              <w:jc w:val="center"/>
              <w:rPr>
                <w:sz w:val="20"/>
                <w:szCs w:val="20"/>
              </w:rPr>
            </w:pPr>
            <w:r>
              <w:rPr>
                <w:rFonts w:ascii="Arial" w:eastAsia="Arial" w:hAnsi="Arial" w:cs="Arial"/>
                <w:b/>
                <w:bCs/>
                <w:w w:val="91"/>
                <w:sz w:val="18"/>
                <w:szCs w:val="18"/>
              </w:rPr>
              <w:t>Weighted</w:t>
            </w:r>
          </w:p>
        </w:tc>
        <w:tc>
          <w:tcPr>
            <w:tcW w:w="240" w:type="dxa"/>
            <w:vAlign w:val="bottom"/>
          </w:tcPr>
          <w:p w:rsidR="000728AD" w:rsidRDefault="000728AD">
            <w:pPr>
              <w:rPr>
                <w:sz w:val="18"/>
                <w:szCs w:val="18"/>
              </w:rPr>
            </w:pPr>
          </w:p>
        </w:tc>
        <w:tc>
          <w:tcPr>
            <w:tcW w:w="1280" w:type="dxa"/>
            <w:vMerge w:val="restart"/>
            <w:vAlign w:val="bottom"/>
          </w:tcPr>
          <w:p w:rsidR="000728AD" w:rsidRDefault="000561BE">
            <w:pPr>
              <w:ind w:right="126"/>
              <w:jc w:val="center"/>
              <w:rPr>
                <w:sz w:val="20"/>
                <w:szCs w:val="20"/>
              </w:rPr>
            </w:pPr>
            <w:r>
              <w:rPr>
                <w:rFonts w:ascii="Arial" w:eastAsia="Arial" w:hAnsi="Arial" w:cs="Arial"/>
                <w:b/>
                <w:bCs/>
                <w:w w:val="94"/>
                <w:sz w:val="18"/>
                <w:szCs w:val="18"/>
              </w:rPr>
              <w:t>Intrinsic</w:t>
            </w:r>
          </w:p>
        </w:tc>
        <w:tc>
          <w:tcPr>
            <w:tcW w:w="0" w:type="dxa"/>
            <w:vAlign w:val="bottom"/>
          </w:tcPr>
          <w:p w:rsidR="000728AD" w:rsidRDefault="000728AD">
            <w:pPr>
              <w:rPr>
                <w:sz w:val="1"/>
                <w:szCs w:val="1"/>
              </w:rPr>
            </w:pPr>
          </w:p>
        </w:tc>
      </w:tr>
      <w:tr w:rsidR="000728AD">
        <w:trPr>
          <w:trHeight w:val="175"/>
        </w:trPr>
        <w:tc>
          <w:tcPr>
            <w:tcW w:w="4900" w:type="dxa"/>
            <w:vAlign w:val="bottom"/>
          </w:tcPr>
          <w:p w:rsidR="000728AD" w:rsidRDefault="000728AD">
            <w:pPr>
              <w:rPr>
                <w:sz w:val="15"/>
                <w:szCs w:val="15"/>
              </w:rPr>
            </w:pPr>
          </w:p>
        </w:tc>
        <w:tc>
          <w:tcPr>
            <w:tcW w:w="1500" w:type="dxa"/>
            <w:vAlign w:val="bottom"/>
          </w:tcPr>
          <w:p w:rsidR="000728AD" w:rsidRDefault="000728AD">
            <w:pPr>
              <w:rPr>
                <w:sz w:val="15"/>
                <w:szCs w:val="15"/>
              </w:rPr>
            </w:pPr>
          </w:p>
        </w:tc>
        <w:tc>
          <w:tcPr>
            <w:tcW w:w="100" w:type="dxa"/>
            <w:vAlign w:val="bottom"/>
          </w:tcPr>
          <w:p w:rsidR="000728AD" w:rsidRDefault="000728AD">
            <w:pPr>
              <w:rPr>
                <w:sz w:val="15"/>
                <w:szCs w:val="15"/>
              </w:rPr>
            </w:pPr>
          </w:p>
        </w:tc>
        <w:tc>
          <w:tcPr>
            <w:tcW w:w="1620" w:type="dxa"/>
            <w:gridSpan w:val="3"/>
            <w:vMerge/>
            <w:vAlign w:val="bottom"/>
          </w:tcPr>
          <w:p w:rsidR="000728AD" w:rsidRDefault="000728AD">
            <w:pPr>
              <w:rPr>
                <w:sz w:val="15"/>
                <w:szCs w:val="15"/>
              </w:rPr>
            </w:pPr>
          </w:p>
        </w:tc>
        <w:tc>
          <w:tcPr>
            <w:tcW w:w="1600" w:type="dxa"/>
            <w:gridSpan w:val="2"/>
            <w:vAlign w:val="bottom"/>
          </w:tcPr>
          <w:p w:rsidR="000728AD" w:rsidRDefault="000561BE">
            <w:pPr>
              <w:spacing w:line="176" w:lineRule="exact"/>
              <w:ind w:right="100"/>
              <w:jc w:val="center"/>
              <w:rPr>
                <w:sz w:val="20"/>
                <w:szCs w:val="20"/>
              </w:rPr>
            </w:pPr>
            <w:r>
              <w:rPr>
                <w:rFonts w:ascii="Arial" w:eastAsia="Arial" w:hAnsi="Arial" w:cs="Arial"/>
                <w:b/>
                <w:bCs/>
                <w:w w:val="87"/>
                <w:sz w:val="18"/>
                <w:szCs w:val="18"/>
              </w:rPr>
              <w:t>Average</w:t>
            </w:r>
          </w:p>
        </w:tc>
        <w:tc>
          <w:tcPr>
            <w:tcW w:w="240" w:type="dxa"/>
            <w:vAlign w:val="bottom"/>
          </w:tcPr>
          <w:p w:rsidR="000728AD" w:rsidRDefault="000728AD">
            <w:pPr>
              <w:rPr>
                <w:sz w:val="15"/>
                <w:szCs w:val="15"/>
              </w:rPr>
            </w:pPr>
          </w:p>
        </w:tc>
        <w:tc>
          <w:tcPr>
            <w:tcW w:w="1280" w:type="dxa"/>
            <w:vMerge/>
            <w:vAlign w:val="bottom"/>
          </w:tcPr>
          <w:p w:rsidR="000728AD" w:rsidRDefault="000728AD">
            <w:pPr>
              <w:rPr>
                <w:sz w:val="15"/>
                <w:szCs w:val="15"/>
              </w:rPr>
            </w:pPr>
          </w:p>
        </w:tc>
        <w:tc>
          <w:tcPr>
            <w:tcW w:w="0" w:type="dxa"/>
            <w:vAlign w:val="bottom"/>
          </w:tcPr>
          <w:p w:rsidR="000728AD" w:rsidRDefault="000728AD">
            <w:pPr>
              <w:rPr>
                <w:sz w:val="1"/>
                <w:szCs w:val="1"/>
              </w:rPr>
            </w:pPr>
          </w:p>
        </w:tc>
      </w:tr>
      <w:tr w:rsidR="000728AD">
        <w:trPr>
          <w:trHeight w:val="176"/>
        </w:trPr>
        <w:tc>
          <w:tcPr>
            <w:tcW w:w="4900" w:type="dxa"/>
            <w:vAlign w:val="bottom"/>
          </w:tcPr>
          <w:p w:rsidR="000728AD" w:rsidRDefault="000728AD">
            <w:pPr>
              <w:rPr>
                <w:sz w:val="15"/>
                <w:szCs w:val="15"/>
              </w:rPr>
            </w:pPr>
          </w:p>
        </w:tc>
        <w:tc>
          <w:tcPr>
            <w:tcW w:w="1500" w:type="dxa"/>
            <w:vAlign w:val="bottom"/>
          </w:tcPr>
          <w:p w:rsidR="000728AD" w:rsidRDefault="000728AD">
            <w:pPr>
              <w:rPr>
                <w:sz w:val="15"/>
                <w:szCs w:val="15"/>
              </w:rPr>
            </w:pPr>
          </w:p>
        </w:tc>
        <w:tc>
          <w:tcPr>
            <w:tcW w:w="100" w:type="dxa"/>
            <w:vAlign w:val="bottom"/>
          </w:tcPr>
          <w:p w:rsidR="000728AD" w:rsidRDefault="000728AD">
            <w:pPr>
              <w:rPr>
                <w:sz w:val="15"/>
                <w:szCs w:val="15"/>
              </w:rPr>
            </w:pPr>
          </w:p>
        </w:tc>
        <w:tc>
          <w:tcPr>
            <w:tcW w:w="1080" w:type="dxa"/>
            <w:vAlign w:val="bottom"/>
          </w:tcPr>
          <w:p w:rsidR="000728AD" w:rsidRDefault="000561BE">
            <w:pPr>
              <w:spacing w:line="176" w:lineRule="exact"/>
              <w:ind w:left="346"/>
              <w:jc w:val="center"/>
              <w:rPr>
                <w:sz w:val="20"/>
                <w:szCs w:val="20"/>
              </w:rPr>
            </w:pPr>
            <w:r>
              <w:rPr>
                <w:rFonts w:ascii="Arial" w:eastAsia="Arial" w:hAnsi="Arial" w:cs="Arial"/>
                <w:b/>
                <w:bCs/>
                <w:w w:val="90"/>
                <w:sz w:val="18"/>
                <w:szCs w:val="18"/>
              </w:rPr>
              <w:t>Average</w:t>
            </w:r>
          </w:p>
        </w:tc>
        <w:tc>
          <w:tcPr>
            <w:tcW w:w="440" w:type="dxa"/>
            <w:vAlign w:val="bottom"/>
          </w:tcPr>
          <w:p w:rsidR="000728AD" w:rsidRDefault="000728AD">
            <w:pPr>
              <w:rPr>
                <w:sz w:val="15"/>
                <w:szCs w:val="15"/>
              </w:rPr>
            </w:pPr>
          </w:p>
        </w:tc>
        <w:tc>
          <w:tcPr>
            <w:tcW w:w="100" w:type="dxa"/>
            <w:vAlign w:val="bottom"/>
          </w:tcPr>
          <w:p w:rsidR="000728AD" w:rsidRDefault="000728AD">
            <w:pPr>
              <w:rPr>
                <w:sz w:val="15"/>
                <w:szCs w:val="15"/>
              </w:rPr>
            </w:pPr>
          </w:p>
        </w:tc>
        <w:tc>
          <w:tcPr>
            <w:tcW w:w="1600" w:type="dxa"/>
            <w:gridSpan w:val="2"/>
            <w:vAlign w:val="bottom"/>
          </w:tcPr>
          <w:p w:rsidR="000728AD" w:rsidRDefault="000561BE">
            <w:pPr>
              <w:spacing w:line="176" w:lineRule="exact"/>
              <w:ind w:right="80"/>
              <w:jc w:val="center"/>
              <w:rPr>
                <w:sz w:val="20"/>
                <w:szCs w:val="20"/>
              </w:rPr>
            </w:pPr>
            <w:r>
              <w:rPr>
                <w:rFonts w:ascii="Arial" w:eastAsia="Arial" w:hAnsi="Arial" w:cs="Arial"/>
                <w:b/>
                <w:bCs/>
                <w:w w:val="91"/>
                <w:sz w:val="18"/>
                <w:szCs w:val="18"/>
              </w:rPr>
              <w:t>Remaining</w:t>
            </w:r>
          </w:p>
        </w:tc>
        <w:tc>
          <w:tcPr>
            <w:tcW w:w="240" w:type="dxa"/>
            <w:vAlign w:val="bottom"/>
          </w:tcPr>
          <w:p w:rsidR="000728AD" w:rsidRDefault="000728AD">
            <w:pPr>
              <w:rPr>
                <w:sz w:val="15"/>
                <w:szCs w:val="15"/>
              </w:rPr>
            </w:pPr>
          </w:p>
        </w:tc>
        <w:tc>
          <w:tcPr>
            <w:tcW w:w="1280" w:type="dxa"/>
            <w:vAlign w:val="bottom"/>
          </w:tcPr>
          <w:p w:rsidR="000728AD" w:rsidRDefault="000561BE">
            <w:pPr>
              <w:spacing w:line="176" w:lineRule="exact"/>
              <w:ind w:right="146"/>
              <w:jc w:val="center"/>
              <w:rPr>
                <w:sz w:val="20"/>
                <w:szCs w:val="20"/>
              </w:rPr>
            </w:pPr>
            <w:r>
              <w:rPr>
                <w:rFonts w:ascii="Arial" w:eastAsia="Arial" w:hAnsi="Arial" w:cs="Arial"/>
                <w:b/>
                <w:bCs/>
                <w:w w:val="91"/>
                <w:sz w:val="18"/>
                <w:szCs w:val="18"/>
              </w:rPr>
              <w:t>Value</w:t>
            </w:r>
          </w:p>
        </w:tc>
        <w:tc>
          <w:tcPr>
            <w:tcW w:w="0" w:type="dxa"/>
            <w:vAlign w:val="bottom"/>
          </w:tcPr>
          <w:p w:rsidR="000728AD" w:rsidRDefault="000728AD">
            <w:pPr>
              <w:rPr>
                <w:sz w:val="1"/>
                <w:szCs w:val="1"/>
              </w:rPr>
            </w:pPr>
          </w:p>
        </w:tc>
      </w:tr>
      <w:tr w:rsidR="000728AD">
        <w:trPr>
          <w:trHeight w:val="175"/>
        </w:trPr>
        <w:tc>
          <w:tcPr>
            <w:tcW w:w="4900" w:type="dxa"/>
            <w:vAlign w:val="bottom"/>
          </w:tcPr>
          <w:p w:rsidR="000728AD" w:rsidRDefault="000728AD">
            <w:pPr>
              <w:rPr>
                <w:sz w:val="15"/>
                <w:szCs w:val="15"/>
              </w:rPr>
            </w:pPr>
          </w:p>
        </w:tc>
        <w:tc>
          <w:tcPr>
            <w:tcW w:w="1600" w:type="dxa"/>
            <w:gridSpan w:val="2"/>
            <w:vMerge w:val="restart"/>
            <w:vAlign w:val="bottom"/>
          </w:tcPr>
          <w:p w:rsidR="000728AD" w:rsidRDefault="000561BE">
            <w:pPr>
              <w:ind w:left="40"/>
              <w:rPr>
                <w:sz w:val="20"/>
                <w:szCs w:val="20"/>
              </w:rPr>
            </w:pPr>
            <w:r>
              <w:rPr>
                <w:rFonts w:ascii="Arial" w:eastAsia="Arial" w:hAnsi="Arial" w:cs="Arial"/>
                <w:b/>
                <w:bCs/>
                <w:w w:val="99"/>
                <w:sz w:val="18"/>
                <w:szCs w:val="18"/>
              </w:rPr>
              <w:t>Number of Shares</w:t>
            </w:r>
          </w:p>
        </w:tc>
        <w:tc>
          <w:tcPr>
            <w:tcW w:w="1080" w:type="dxa"/>
            <w:vAlign w:val="bottom"/>
          </w:tcPr>
          <w:p w:rsidR="000728AD" w:rsidRDefault="000561BE">
            <w:pPr>
              <w:spacing w:line="176" w:lineRule="exact"/>
              <w:ind w:left="346"/>
              <w:jc w:val="center"/>
              <w:rPr>
                <w:sz w:val="20"/>
                <w:szCs w:val="20"/>
              </w:rPr>
            </w:pPr>
            <w:r>
              <w:rPr>
                <w:rFonts w:ascii="Arial" w:eastAsia="Arial" w:hAnsi="Arial" w:cs="Arial"/>
                <w:b/>
                <w:bCs/>
                <w:w w:val="86"/>
                <w:sz w:val="18"/>
                <w:szCs w:val="18"/>
              </w:rPr>
              <w:t>Exercise</w:t>
            </w:r>
          </w:p>
        </w:tc>
        <w:tc>
          <w:tcPr>
            <w:tcW w:w="440" w:type="dxa"/>
            <w:vAlign w:val="bottom"/>
          </w:tcPr>
          <w:p w:rsidR="000728AD" w:rsidRDefault="000728AD">
            <w:pPr>
              <w:rPr>
                <w:sz w:val="15"/>
                <w:szCs w:val="15"/>
              </w:rPr>
            </w:pPr>
          </w:p>
        </w:tc>
        <w:tc>
          <w:tcPr>
            <w:tcW w:w="100" w:type="dxa"/>
            <w:vAlign w:val="bottom"/>
          </w:tcPr>
          <w:p w:rsidR="000728AD" w:rsidRDefault="000728AD">
            <w:pPr>
              <w:rPr>
                <w:sz w:val="15"/>
                <w:szCs w:val="15"/>
              </w:rPr>
            </w:pPr>
          </w:p>
        </w:tc>
        <w:tc>
          <w:tcPr>
            <w:tcW w:w="1600" w:type="dxa"/>
            <w:gridSpan w:val="2"/>
            <w:vAlign w:val="bottom"/>
          </w:tcPr>
          <w:p w:rsidR="000728AD" w:rsidRDefault="000561BE">
            <w:pPr>
              <w:spacing w:line="176" w:lineRule="exact"/>
              <w:ind w:right="100"/>
              <w:jc w:val="center"/>
              <w:rPr>
                <w:sz w:val="20"/>
                <w:szCs w:val="20"/>
              </w:rPr>
            </w:pPr>
            <w:r>
              <w:rPr>
                <w:rFonts w:ascii="Arial" w:eastAsia="Arial" w:hAnsi="Arial" w:cs="Arial"/>
                <w:b/>
                <w:bCs/>
                <w:w w:val="93"/>
                <w:sz w:val="18"/>
                <w:szCs w:val="18"/>
              </w:rPr>
              <w:t>Life</w:t>
            </w:r>
          </w:p>
        </w:tc>
        <w:tc>
          <w:tcPr>
            <w:tcW w:w="240" w:type="dxa"/>
            <w:vAlign w:val="bottom"/>
          </w:tcPr>
          <w:p w:rsidR="000728AD" w:rsidRDefault="000728AD">
            <w:pPr>
              <w:rPr>
                <w:sz w:val="15"/>
                <w:szCs w:val="15"/>
              </w:rPr>
            </w:pPr>
          </w:p>
        </w:tc>
        <w:tc>
          <w:tcPr>
            <w:tcW w:w="1280" w:type="dxa"/>
            <w:vAlign w:val="bottom"/>
          </w:tcPr>
          <w:p w:rsidR="000728AD" w:rsidRDefault="000561BE">
            <w:pPr>
              <w:spacing w:line="176" w:lineRule="exact"/>
              <w:ind w:right="146"/>
              <w:jc w:val="center"/>
              <w:rPr>
                <w:sz w:val="20"/>
                <w:szCs w:val="20"/>
              </w:rPr>
            </w:pPr>
            <w:r>
              <w:rPr>
                <w:rFonts w:ascii="Arial" w:eastAsia="Arial" w:hAnsi="Arial" w:cs="Arial"/>
                <w:b/>
                <w:bCs/>
                <w:w w:val="90"/>
                <w:sz w:val="18"/>
                <w:szCs w:val="18"/>
              </w:rPr>
              <w:t>(in</w:t>
            </w:r>
          </w:p>
        </w:tc>
        <w:tc>
          <w:tcPr>
            <w:tcW w:w="0" w:type="dxa"/>
            <w:vAlign w:val="bottom"/>
          </w:tcPr>
          <w:p w:rsidR="000728AD" w:rsidRDefault="000728AD">
            <w:pPr>
              <w:rPr>
                <w:sz w:val="1"/>
                <w:szCs w:val="1"/>
              </w:rPr>
            </w:pPr>
          </w:p>
        </w:tc>
      </w:tr>
      <w:tr w:rsidR="000728AD">
        <w:trPr>
          <w:trHeight w:val="229"/>
        </w:trPr>
        <w:tc>
          <w:tcPr>
            <w:tcW w:w="4900" w:type="dxa"/>
            <w:vAlign w:val="bottom"/>
          </w:tcPr>
          <w:p w:rsidR="000728AD" w:rsidRDefault="000728AD">
            <w:pPr>
              <w:rPr>
                <w:sz w:val="19"/>
                <w:szCs w:val="19"/>
              </w:rPr>
            </w:pPr>
          </w:p>
        </w:tc>
        <w:tc>
          <w:tcPr>
            <w:tcW w:w="1600" w:type="dxa"/>
            <w:gridSpan w:val="2"/>
            <w:vMerge/>
            <w:vAlign w:val="bottom"/>
          </w:tcPr>
          <w:p w:rsidR="000728AD" w:rsidRDefault="000728AD">
            <w:pPr>
              <w:rPr>
                <w:sz w:val="19"/>
                <w:szCs w:val="19"/>
              </w:rPr>
            </w:pPr>
          </w:p>
        </w:tc>
        <w:tc>
          <w:tcPr>
            <w:tcW w:w="1080" w:type="dxa"/>
            <w:vAlign w:val="bottom"/>
          </w:tcPr>
          <w:p w:rsidR="000728AD" w:rsidRDefault="000561BE">
            <w:pPr>
              <w:ind w:left="346"/>
              <w:jc w:val="center"/>
              <w:rPr>
                <w:sz w:val="20"/>
                <w:szCs w:val="20"/>
              </w:rPr>
            </w:pPr>
            <w:r>
              <w:rPr>
                <w:rFonts w:ascii="Arial" w:eastAsia="Arial" w:hAnsi="Arial" w:cs="Arial"/>
                <w:b/>
                <w:bCs/>
                <w:w w:val="90"/>
                <w:sz w:val="18"/>
                <w:szCs w:val="18"/>
              </w:rPr>
              <w:t>Price</w:t>
            </w:r>
          </w:p>
        </w:tc>
        <w:tc>
          <w:tcPr>
            <w:tcW w:w="44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1600" w:type="dxa"/>
            <w:gridSpan w:val="2"/>
            <w:vAlign w:val="bottom"/>
          </w:tcPr>
          <w:p w:rsidR="000728AD" w:rsidRDefault="000561BE">
            <w:pPr>
              <w:ind w:right="100"/>
              <w:jc w:val="center"/>
              <w:rPr>
                <w:sz w:val="20"/>
                <w:szCs w:val="20"/>
              </w:rPr>
            </w:pPr>
            <w:r>
              <w:rPr>
                <w:rFonts w:ascii="Arial" w:eastAsia="Arial" w:hAnsi="Arial" w:cs="Arial"/>
                <w:b/>
                <w:bCs/>
                <w:w w:val="90"/>
                <w:sz w:val="18"/>
                <w:szCs w:val="18"/>
              </w:rPr>
              <w:t>(in Years)</w:t>
            </w:r>
          </w:p>
        </w:tc>
        <w:tc>
          <w:tcPr>
            <w:tcW w:w="240" w:type="dxa"/>
            <w:vAlign w:val="bottom"/>
          </w:tcPr>
          <w:p w:rsidR="000728AD" w:rsidRDefault="000728AD">
            <w:pPr>
              <w:rPr>
                <w:sz w:val="19"/>
                <w:szCs w:val="19"/>
              </w:rPr>
            </w:pPr>
          </w:p>
        </w:tc>
        <w:tc>
          <w:tcPr>
            <w:tcW w:w="1280" w:type="dxa"/>
            <w:vAlign w:val="bottom"/>
          </w:tcPr>
          <w:p w:rsidR="000728AD" w:rsidRDefault="000561BE">
            <w:pPr>
              <w:ind w:right="146"/>
              <w:jc w:val="center"/>
              <w:rPr>
                <w:sz w:val="20"/>
                <w:szCs w:val="20"/>
              </w:rPr>
            </w:pPr>
            <w:r>
              <w:rPr>
                <w:rFonts w:ascii="Arial" w:eastAsia="Arial" w:hAnsi="Arial" w:cs="Arial"/>
                <w:b/>
                <w:bCs/>
                <w:w w:val="86"/>
                <w:sz w:val="18"/>
                <w:szCs w:val="18"/>
              </w:rPr>
              <w:t>thousands)</w:t>
            </w:r>
          </w:p>
        </w:tc>
        <w:tc>
          <w:tcPr>
            <w:tcW w:w="0" w:type="dxa"/>
            <w:vAlign w:val="bottom"/>
          </w:tcPr>
          <w:p w:rsidR="000728AD" w:rsidRDefault="000728AD">
            <w:pPr>
              <w:rPr>
                <w:sz w:val="1"/>
                <w:szCs w:val="1"/>
              </w:rPr>
            </w:pPr>
          </w:p>
        </w:tc>
      </w:tr>
      <w:tr w:rsidR="000728AD">
        <w:trPr>
          <w:trHeight w:val="264"/>
        </w:trPr>
        <w:tc>
          <w:tcPr>
            <w:tcW w:w="4900" w:type="dxa"/>
            <w:tcBorders>
              <w:top w:val="single" w:sz="8" w:space="0" w:color="CCEEFF"/>
            </w:tcBorders>
            <w:shd w:val="clear" w:color="auto" w:fill="CCEEFF"/>
            <w:vAlign w:val="bottom"/>
          </w:tcPr>
          <w:p w:rsidR="000728AD" w:rsidRDefault="000561BE">
            <w:pPr>
              <w:ind w:left="20"/>
              <w:rPr>
                <w:sz w:val="20"/>
                <w:szCs w:val="20"/>
              </w:rPr>
            </w:pPr>
            <w:r>
              <w:rPr>
                <w:rFonts w:ascii="Arial" w:eastAsia="Arial" w:hAnsi="Arial" w:cs="Arial"/>
                <w:sz w:val="20"/>
                <w:szCs w:val="20"/>
              </w:rPr>
              <w:t>Outstanding as of January 1, 2021</w:t>
            </w:r>
          </w:p>
        </w:tc>
        <w:tc>
          <w:tcPr>
            <w:tcW w:w="150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4,919,960</w:t>
            </w:r>
          </w:p>
        </w:tc>
        <w:tc>
          <w:tcPr>
            <w:tcW w:w="100" w:type="dxa"/>
            <w:tcBorders>
              <w:top w:val="single" w:sz="8" w:space="0" w:color="CCEEFF"/>
            </w:tcBorders>
            <w:shd w:val="clear" w:color="auto" w:fill="CCEEFF"/>
            <w:vAlign w:val="bottom"/>
          </w:tcPr>
          <w:p w:rsidR="000728AD" w:rsidRDefault="000728AD"/>
        </w:tc>
        <w:tc>
          <w:tcPr>
            <w:tcW w:w="1080" w:type="dxa"/>
            <w:tcBorders>
              <w:top w:val="single" w:sz="8" w:space="0" w:color="auto"/>
            </w:tcBorders>
            <w:shd w:val="clear" w:color="auto" w:fill="CCEEFF"/>
            <w:vAlign w:val="bottom"/>
          </w:tcPr>
          <w:p w:rsidR="000728AD" w:rsidRDefault="000561BE">
            <w:pPr>
              <w:ind w:right="866"/>
              <w:jc w:val="right"/>
              <w:rPr>
                <w:sz w:val="20"/>
                <w:szCs w:val="20"/>
              </w:rPr>
            </w:pPr>
            <w:r>
              <w:rPr>
                <w:rFonts w:ascii="Arial" w:eastAsia="Arial" w:hAnsi="Arial" w:cs="Arial"/>
                <w:w w:val="89"/>
                <w:sz w:val="20"/>
                <w:szCs w:val="20"/>
              </w:rPr>
              <w:t>$</w:t>
            </w:r>
          </w:p>
        </w:tc>
        <w:tc>
          <w:tcPr>
            <w:tcW w:w="44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w w:val="87"/>
                <w:sz w:val="20"/>
                <w:szCs w:val="20"/>
              </w:rPr>
              <w:t>6.37</w:t>
            </w:r>
          </w:p>
        </w:tc>
        <w:tc>
          <w:tcPr>
            <w:tcW w:w="100" w:type="dxa"/>
            <w:tcBorders>
              <w:top w:val="single" w:sz="8" w:space="0" w:color="CCEEFF"/>
            </w:tcBorders>
            <w:shd w:val="clear" w:color="auto" w:fill="CCEEFF"/>
            <w:vAlign w:val="bottom"/>
          </w:tcPr>
          <w:p w:rsidR="000728AD" w:rsidRDefault="000728AD"/>
        </w:tc>
        <w:tc>
          <w:tcPr>
            <w:tcW w:w="1500" w:type="dxa"/>
            <w:tcBorders>
              <w:top w:val="single" w:sz="8" w:space="0" w:color="auto"/>
            </w:tcBorders>
            <w:shd w:val="clear" w:color="auto" w:fill="CCEEFF"/>
            <w:vAlign w:val="bottom"/>
          </w:tcPr>
          <w:p w:rsidR="000728AD" w:rsidRDefault="000728AD"/>
        </w:tc>
        <w:tc>
          <w:tcPr>
            <w:tcW w:w="100" w:type="dxa"/>
            <w:tcBorders>
              <w:top w:val="single" w:sz="8" w:space="0" w:color="CCEEFF"/>
            </w:tcBorders>
            <w:shd w:val="clear" w:color="auto" w:fill="CCEEFF"/>
            <w:vAlign w:val="bottom"/>
          </w:tcPr>
          <w:p w:rsidR="000728AD" w:rsidRDefault="000728AD"/>
        </w:tc>
        <w:tc>
          <w:tcPr>
            <w:tcW w:w="240" w:type="dxa"/>
            <w:tcBorders>
              <w:top w:val="single" w:sz="8" w:space="0" w:color="auto"/>
            </w:tcBorders>
            <w:shd w:val="clear" w:color="auto" w:fill="CCEEFF"/>
            <w:vAlign w:val="bottom"/>
          </w:tcPr>
          <w:p w:rsidR="000728AD" w:rsidRDefault="000728AD"/>
        </w:tc>
        <w:tc>
          <w:tcPr>
            <w:tcW w:w="1280" w:type="dxa"/>
            <w:tcBorders>
              <w:top w:val="single" w:sz="8" w:space="0" w:color="auto"/>
            </w:tcBorders>
            <w:shd w:val="clear" w:color="auto" w:fill="CCEEFF"/>
            <w:vAlign w:val="bottom"/>
          </w:tcPr>
          <w:p w:rsidR="000728AD" w:rsidRDefault="000728AD"/>
        </w:tc>
        <w:tc>
          <w:tcPr>
            <w:tcW w:w="0" w:type="dxa"/>
            <w:vAlign w:val="bottom"/>
          </w:tcPr>
          <w:p w:rsidR="000728AD" w:rsidRDefault="000728AD">
            <w:pPr>
              <w:rPr>
                <w:sz w:val="1"/>
                <w:szCs w:val="1"/>
              </w:rPr>
            </w:pPr>
          </w:p>
        </w:tc>
      </w:tr>
      <w:tr w:rsidR="000728AD">
        <w:trPr>
          <w:trHeight w:val="243"/>
        </w:trPr>
        <w:tc>
          <w:tcPr>
            <w:tcW w:w="4900" w:type="dxa"/>
            <w:vAlign w:val="bottom"/>
          </w:tcPr>
          <w:p w:rsidR="000728AD" w:rsidRDefault="000561BE">
            <w:pPr>
              <w:ind w:left="220"/>
              <w:rPr>
                <w:sz w:val="20"/>
                <w:szCs w:val="20"/>
              </w:rPr>
            </w:pPr>
            <w:r>
              <w:rPr>
                <w:rFonts w:ascii="Arial" w:eastAsia="Arial" w:hAnsi="Arial" w:cs="Arial"/>
                <w:sz w:val="20"/>
                <w:szCs w:val="20"/>
              </w:rPr>
              <w:t>Granted</w:t>
            </w:r>
          </w:p>
        </w:tc>
        <w:tc>
          <w:tcPr>
            <w:tcW w:w="1500" w:type="dxa"/>
            <w:vAlign w:val="bottom"/>
          </w:tcPr>
          <w:p w:rsidR="000728AD" w:rsidRDefault="000561BE">
            <w:pPr>
              <w:jc w:val="right"/>
              <w:rPr>
                <w:sz w:val="20"/>
                <w:szCs w:val="20"/>
              </w:rPr>
            </w:pPr>
            <w:r>
              <w:rPr>
                <w:rFonts w:ascii="Arial" w:eastAsia="Arial" w:hAnsi="Arial" w:cs="Arial"/>
                <w:sz w:val="20"/>
                <w:szCs w:val="20"/>
              </w:rPr>
              <w:t>2,146,976</w:t>
            </w:r>
          </w:p>
        </w:tc>
        <w:tc>
          <w:tcPr>
            <w:tcW w:w="100" w:type="dxa"/>
            <w:vAlign w:val="bottom"/>
          </w:tcPr>
          <w:p w:rsidR="000728AD" w:rsidRDefault="000728AD">
            <w:pPr>
              <w:rPr>
                <w:sz w:val="21"/>
                <w:szCs w:val="21"/>
              </w:rPr>
            </w:pPr>
          </w:p>
        </w:tc>
        <w:tc>
          <w:tcPr>
            <w:tcW w:w="1080" w:type="dxa"/>
            <w:vAlign w:val="bottom"/>
          </w:tcPr>
          <w:p w:rsidR="000728AD" w:rsidRDefault="000728AD">
            <w:pPr>
              <w:rPr>
                <w:sz w:val="21"/>
                <w:szCs w:val="21"/>
              </w:rPr>
            </w:pPr>
          </w:p>
        </w:tc>
        <w:tc>
          <w:tcPr>
            <w:tcW w:w="440" w:type="dxa"/>
            <w:vAlign w:val="bottom"/>
          </w:tcPr>
          <w:p w:rsidR="000728AD" w:rsidRDefault="000561BE">
            <w:pPr>
              <w:jc w:val="right"/>
              <w:rPr>
                <w:sz w:val="20"/>
                <w:szCs w:val="20"/>
              </w:rPr>
            </w:pPr>
            <w:r>
              <w:rPr>
                <w:rFonts w:ascii="Arial" w:eastAsia="Arial" w:hAnsi="Arial" w:cs="Arial"/>
                <w:w w:val="87"/>
                <w:sz w:val="20"/>
                <w:szCs w:val="20"/>
              </w:rPr>
              <w:t>5.75</w:t>
            </w:r>
          </w:p>
        </w:tc>
        <w:tc>
          <w:tcPr>
            <w:tcW w:w="100" w:type="dxa"/>
            <w:vAlign w:val="bottom"/>
          </w:tcPr>
          <w:p w:rsidR="000728AD" w:rsidRDefault="000728AD">
            <w:pPr>
              <w:rPr>
                <w:sz w:val="21"/>
                <w:szCs w:val="21"/>
              </w:rPr>
            </w:pPr>
          </w:p>
        </w:tc>
        <w:tc>
          <w:tcPr>
            <w:tcW w:w="1500" w:type="dxa"/>
            <w:vAlign w:val="bottom"/>
          </w:tcPr>
          <w:p w:rsidR="000728AD" w:rsidRDefault="000728AD">
            <w:pPr>
              <w:rPr>
                <w:sz w:val="21"/>
                <w:szCs w:val="21"/>
              </w:rPr>
            </w:pPr>
          </w:p>
        </w:tc>
        <w:tc>
          <w:tcPr>
            <w:tcW w:w="100" w:type="dxa"/>
            <w:vAlign w:val="bottom"/>
          </w:tcPr>
          <w:p w:rsidR="000728AD" w:rsidRDefault="000728AD">
            <w:pPr>
              <w:rPr>
                <w:sz w:val="21"/>
                <w:szCs w:val="21"/>
              </w:rPr>
            </w:pPr>
          </w:p>
        </w:tc>
        <w:tc>
          <w:tcPr>
            <w:tcW w:w="240" w:type="dxa"/>
            <w:vAlign w:val="bottom"/>
          </w:tcPr>
          <w:p w:rsidR="000728AD" w:rsidRDefault="000728AD">
            <w:pPr>
              <w:rPr>
                <w:sz w:val="21"/>
                <w:szCs w:val="21"/>
              </w:rPr>
            </w:pPr>
          </w:p>
        </w:tc>
        <w:tc>
          <w:tcPr>
            <w:tcW w:w="1280" w:type="dxa"/>
            <w:vAlign w:val="bottom"/>
          </w:tcPr>
          <w:p w:rsidR="000728AD" w:rsidRDefault="000728AD">
            <w:pPr>
              <w:rPr>
                <w:sz w:val="21"/>
                <w:szCs w:val="21"/>
              </w:rPr>
            </w:pPr>
          </w:p>
        </w:tc>
        <w:tc>
          <w:tcPr>
            <w:tcW w:w="0" w:type="dxa"/>
            <w:vAlign w:val="bottom"/>
          </w:tcPr>
          <w:p w:rsidR="000728AD" w:rsidRDefault="000728AD">
            <w:pPr>
              <w:rPr>
                <w:sz w:val="1"/>
                <w:szCs w:val="1"/>
              </w:rPr>
            </w:pPr>
          </w:p>
        </w:tc>
      </w:tr>
      <w:tr w:rsidR="000728AD">
        <w:trPr>
          <w:trHeight w:val="243"/>
        </w:trPr>
        <w:tc>
          <w:tcPr>
            <w:tcW w:w="4900" w:type="dxa"/>
            <w:shd w:val="clear" w:color="auto" w:fill="CCEEFF"/>
            <w:vAlign w:val="bottom"/>
          </w:tcPr>
          <w:p w:rsidR="000728AD" w:rsidRDefault="000561BE">
            <w:pPr>
              <w:ind w:left="220"/>
              <w:rPr>
                <w:sz w:val="20"/>
                <w:szCs w:val="20"/>
              </w:rPr>
            </w:pPr>
            <w:r>
              <w:rPr>
                <w:rFonts w:ascii="Arial" w:eastAsia="Arial" w:hAnsi="Arial" w:cs="Arial"/>
                <w:sz w:val="20"/>
                <w:szCs w:val="20"/>
              </w:rPr>
              <w:t>Exercised</w:t>
            </w:r>
          </w:p>
        </w:tc>
        <w:tc>
          <w:tcPr>
            <w:tcW w:w="1500" w:type="dxa"/>
            <w:shd w:val="clear" w:color="auto" w:fill="CCEEFF"/>
            <w:vAlign w:val="bottom"/>
          </w:tcPr>
          <w:p w:rsidR="000728AD" w:rsidRDefault="000561BE">
            <w:pPr>
              <w:jc w:val="right"/>
              <w:rPr>
                <w:sz w:val="20"/>
                <w:szCs w:val="20"/>
              </w:rPr>
            </w:pPr>
            <w:r>
              <w:rPr>
                <w:rFonts w:ascii="Arial" w:eastAsia="Arial" w:hAnsi="Arial" w:cs="Arial"/>
                <w:sz w:val="20"/>
                <w:szCs w:val="20"/>
              </w:rPr>
              <w:t>(30,400)</w:t>
            </w:r>
          </w:p>
        </w:tc>
        <w:tc>
          <w:tcPr>
            <w:tcW w:w="100" w:type="dxa"/>
            <w:shd w:val="clear" w:color="auto" w:fill="CCEEFF"/>
            <w:vAlign w:val="bottom"/>
          </w:tcPr>
          <w:p w:rsidR="000728AD" w:rsidRDefault="000728AD">
            <w:pPr>
              <w:rPr>
                <w:sz w:val="21"/>
                <w:szCs w:val="21"/>
              </w:rPr>
            </w:pPr>
          </w:p>
        </w:tc>
        <w:tc>
          <w:tcPr>
            <w:tcW w:w="1080" w:type="dxa"/>
            <w:shd w:val="clear" w:color="auto" w:fill="CCEEFF"/>
            <w:vAlign w:val="bottom"/>
          </w:tcPr>
          <w:p w:rsidR="000728AD" w:rsidRDefault="000728AD">
            <w:pPr>
              <w:rPr>
                <w:sz w:val="21"/>
                <w:szCs w:val="21"/>
              </w:rPr>
            </w:pPr>
          </w:p>
        </w:tc>
        <w:tc>
          <w:tcPr>
            <w:tcW w:w="440" w:type="dxa"/>
            <w:shd w:val="clear" w:color="auto" w:fill="CCEEFF"/>
            <w:vAlign w:val="bottom"/>
          </w:tcPr>
          <w:p w:rsidR="000728AD" w:rsidRDefault="000561BE">
            <w:pPr>
              <w:jc w:val="right"/>
              <w:rPr>
                <w:sz w:val="20"/>
                <w:szCs w:val="20"/>
              </w:rPr>
            </w:pPr>
            <w:r>
              <w:rPr>
                <w:rFonts w:ascii="Arial" w:eastAsia="Arial" w:hAnsi="Arial" w:cs="Arial"/>
                <w:w w:val="87"/>
                <w:sz w:val="20"/>
                <w:szCs w:val="20"/>
              </w:rPr>
              <w:t>1.09</w:t>
            </w:r>
          </w:p>
        </w:tc>
        <w:tc>
          <w:tcPr>
            <w:tcW w:w="100" w:type="dxa"/>
            <w:shd w:val="clear" w:color="auto" w:fill="CCEEFF"/>
            <w:vAlign w:val="bottom"/>
          </w:tcPr>
          <w:p w:rsidR="000728AD" w:rsidRDefault="000728AD">
            <w:pPr>
              <w:rPr>
                <w:sz w:val="21"/>
                <w:szCs w:val="21"/>
              </w:rPr>
            </w:pPr>
          </w:p>
        </w:tc>
        <w:tc>
          <w:tcPr>
            <w:tcW w:w="1500" w:type="dxa"/>
            <w:shd w:val="clear" w:color="auto" w:fill="CCEEFF"/>
            <w:vAlign w:val="bottom"/>
          </w:tcPr>
          <w:p w:rsidR="000728AD" w:rsidRDefault="000728AD">
            <w:pPr>
              <w:rPr>
                <w:sz w:val="21"/>
                <w:szCs w:val="21"/>
              </w:rPr>
            </w:pPr>
          </w:p>
        </w:tc>
        <w:tc>
          <w:tcPr>
            <w:tcW w:w="100" w:type="dxa"/>
            <w:shd w:val="clear" w:color="auto" w:fill="CCEEFF"/>
            <w:vAlign w:val="bottom"/>
          </w:tcPr>
          <w:p w:rsidR="000728AD" w:rsidRDefault="000728AD">
            <w:pPr>
              <w:rPr>
                <w:sz w:val="21"/>
                <w:szCs w:val="21"/>
              </w:rPr>
            </w:pPr>
          </w:p>
        </w:tc>
        <w:tc>
          <w:tcPr>
            <w:tcW w:w="240" w:type="dxa"/>
            <w:shd w:val="clear" w:color="auto" w:fill="CCEEFF"/>
            <w:vAlign w:val="bottom"/>
          </w:tcPr>
          <w:p w:rsidR="000728AD" w:rsidRDefault="000728AD">
            <w:pPr>
              <w:rPr>
                <w:sz w:val="21"/>
                <w:szCs w:val="21"/>
              </w:rPr>
            </w:pPr>
          </w:p>
        </w:tc>
        <w:tc>
          <w:tcPr>
            <w:tcW w:w="1280" w:type="dxa"/>
            <w:shd w:val="clear" w:color="auto" w:fill="CCEEFF"/>
            <w:vAlign w:val="bottom"/>
          </w:tcPr>
          <w:p w:rsidR="000728AD" w:rsidRDefault="000728AD">
            <w:pPr>
              <w:rPr>
                <w:sz w:val="21"/>
                <w:szCs w:val="21"/>
              </w:rPr>
            </w:pPr>
          </w:p>
        </w:tc>
        <w:tc>
          <w:tcPr>
            <w:tcW w:w="0" w:type="dxa"/>
            <w:vAlign w:val="bottom"/>
          </w:tcPr>
          <w:p w:rsidR="000728AD" w:rsidRDefault="000728AD">
            <w:pPr>
              <w:rPr>
                <w:sz w:val="1"/>
                <w:szCs w:val="1"/>
              </w:rPr>
            </w:pPr>
          </w:p>
        </w:tc>
      </w:tr>
      <w:tr w:rsidR="000728AD">
        <w:trPr>
          <w:trHeight w:val="243"/>
        </w:trPr>
        <w:tc>
          <w:tcPr>
            <w:tcW w:w="4900" w:type="dxa"/>
            <w:tcBorders>
              <w:bottom w:val="single" w:sz="8" w:space="0" w:color="CCEEFF"/>
            </w:tcBorders>
            <w:vAlign w:val="bottom"/>
          </w:tcPr>
          <w:p w:rsidR="000728AD" w:rsidRDefault="000561BE">
            <w:pPr>
              <w:ind w:left="220"/>
              <w:rPr>
                <w:sz w:val="20"/>
                <w:szCs w:val="20"/>
              </w:rPr>
            </w:pPr>
            <w:r>
              <w:rPr>
                <w:rFonts w:ascii="Arial" w:eastAsia="Arial" w:hAnsi="Arial" w:cs="Arial"/>
                <w:sz w:val="20"/>
                <w:szCs w:val="20"/>
              </w:rPr>
              <w:t>Canceled</w:t>
            </w:r>
          </w:p>
        </w:tc>
        <w:tc>
          <w:tcPr>
            <w:tcW w:w="150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(901,226)</w:t>
            </w:r>
          </w:p>
        </w:tc>
        <w:tc>
          <w:tcPr>
            <w:tcW w:w="100" w:type="dxa"/>
            <w:tcBorders>
              <w:bottom w:val="single" w:sz="8" w:space="0" w:color="CCEEFF"/>
            </w:tcBorders>
            <w:vAlign w:val="bottom"/>
          </w:tcPr>
          <w:p w:rsidR="000728AD" w:rsidRDefault="000728AD">
            <w:pPr>
              <w:rPr>
                <w:sz w:val="21"/>
                <w:szCs w:val="21"/>
              </w:rPr>
            </w:pPr>
          </w:p>
        </w:tc>
        <w:tc>
          <w:tcPr>
            <w:tcW w:w="1080" w:type="dxa"/>
            <w:tcBorders>
              <w:bottom w:val="single" w:sz="8" w:space="0" w:color="auto"/>
            </w:tcBorders>
            <w:vAlign w:val="bottom"/>
          </w:tcPr>
          <w:p w:rsidR="000728AD" w:rsidRDefault="000728AD">
            <w:pPr>
              <w:rPr>
                <w:sz w:val="21"/>
                <w:szCs w:val="21"/>
              </w:rPr>
            </w:pPr>
          </w:p>
        </w:tc>
        <w:tc>
          <w:tcPr>
            <w:tcW w:w="440" w:type="dxa"/>
            <w:tcBorders>
              <w:bottom w:val="single" w:sz="8" w:space="0" w:color="auto"/>
            </w:tcBorders>
            <w:vAlign w:val="bottom"/>
          </w:tcPr>
          <w:p w:rsidR="000728AD" w:rsidRDefault="000561BE">
            <w:pPr>
              <w:jc w:val="right"/>
              <w:rPr>
                <w:sz w:val="20"/>
                <w:szCs w:val="20"/>
              </w:rPr>
            </w:pPr>
            <w:r>
              <w:rPr>
                <w:rFonts w:ascii="Arial" w:eastAsia="Arial" w:hAnsi="Arial" w:cs="Arial"/>
                <w:w w:val="87"/>
                <w:sz w:val="20"/>
                <w:szCs w:val="20"/>
              </w:rPr>
              <w:t>7.81</w:t>
            </w:r>
          </w:p>
        </w:tc>
        <w:tc>
          <w:tcPr>
            <w:tcW w:w="100" w:type="dxa"/>
            <w:tcBorders>
              <w:bottom w:val="single" w:sz="8" w:space="0" w:color="CCEEFF"/>
            </w:tcBorders>
            <w:vAlign w:val="bottom"/>
          </w:tcPr>
          <w:p w:rsidR="000728AD" w:rsidRDefault="000728AD">
            <w:pPr>
              <w:rPr>
                <w:sz w:val="21"/>
                <w:szCs w:val="21"/>
              </w:rPr>
            </w:pPr>
          </w:p>
        </w:tc>
        <w:tc>
          <w:tcPr>
            <w:tcW w:w="1500" w:type="dxa"/>
            <w:tcBorders>
              <w:bottom w:val="single" w:sz="8" w:space="0" w:color="auto"/>
            </w:tcBorders>
            <w:vAlign w:val="bottom"/>
          </w:tcPr>
          <w:p w:rsidR="000728AD" w:rsidRDefault="000728AD">
            <w:pPr>
              <w:rPr>
                <w:sz w:val="21"/>
                <w:szCs w:val="21"/>
              </w:rPr>
            </w:pPr>
          </w:p>
        </w:tc>
        <w:tc>
          <w:tcPr>
            <w:tcW w:w="100" w:type="dxa"/>
            <w:tcBorders>
              <w:bottom w:val="single" w:sz="8" w:space="0" w:color="CCEEFF"/>
            </w:tcBorders>
            <w:vAlign w:val="bottom"/>
          </w:tcPr>
          <w:p w:rsidR="000728AD" w:rsidRDefault="000728AD">
            <w:pPr>
              <w:rPr>
                <w:sz w:val="21"/>
                <w:szCs w:val="21"/>
              </w:rPr>
            </w:pPr>
          </w:p>
        </w:tc>
        <w:tc>
          <w:tcPr>
            <w:tcW w:w="240" w:type="dxa"/>
            <w:tcBorders>
              <w:bottom w:val="single" w:sz="8" w:space="0" w:color="auto"/>
            </w:tcBorders>
            <w:vAlign w:val="bottom"/>
          </w:tcPr>
          <w:p w:rsidR="000728AD" w:rsidRDefault="000728AD">
            <w:pPr>
              <w:rPr>
                <w:sz w:val="21"/>
                <w:szCs w:val="21"/>
              </w:rPr>
            </w:pPr>
          </w:p>
        </w:tc>
        <w:tc>
          <w:tcPr>
            <w:tcW w:w="1280" w:type="dxa"/>
            <w:tcBorders>
              <w:bottom w:val="single" w:sz="8" w:space="0" w:color="auto"/>
            </w:tcBorders>
            <w:vAlign w:val="bottom"/>
          </w:tcPr>
          <w:p w:rsidR="000728AD" w:rsidRDefault="000728AD">
            <w:pPr>
              <w:rPr>
                <w:sz w:val="21"/>
                <w:szCs w:val="21"/>
              </w:rPr>
            </w:pPr>
          </w:p>
        </w:tc>
        <w:tc>
          <w:tcPr>
            <w:tcW w:w="0" w:type="dxa"/>
            <w:vAlign w:val="bottom"/>
          </w:tcPr>
          <w:p w:rsidR="000728AD" w:rsidRDefault="000728AD">
            <w:pPr>
              <w:rPr>
                <w:sz w:val="1"/>
                <w:szCs w:val="1"/>
              </w:rPr>
            </w:pPr>
          </w:p>
        </w:tc>
      </w:tr>
      <w:tr w:rsidR="000728AD">
        <w:trPr>
          <w:trHeight w:val="262"/>
        </w:trPr>
        <w:tc>
          <w:tcPr>
            <w:tcW w:w="4900" w:type="dxa"/>
            <w:tcBorders>
              <w:bottom w:val="single" w:sz="8" w:space="0" w:color="CCEEFF"/>
            </w:tcBorders>
            <w:shd w:val="clear" w:color="auto" w:fill="CCEEFF"/>
            <w:vAlign w:val="bottom"/>
          </w:tcPr>
          <w:p w:rsidR="000728AD" w:rsidRDefault="000561BE">
            <w:pPr>
              <w:ind w:left="20"/>
              <w:rPr>
                <w:sz w:val="20"/>
                <w:szCs w:val="20"/>
              </w:rPr>
            </w:pPr>
            <w:r>
              <w:rPr>
                <w:rFonts w:ascii="Arial" w:eastAsia="Arial" w:hAnsi="Arial" w:cs="Arial"/>
                <w:sz w:val="20"/>
                <w:szCs w:val="20"/>
              </w:rPr>
              <w:t>Outstanding as of June 30, 2021</w:t>
            </w:r>
          </w:p>
        </w:tc>
        <w:tc>
          <w:tcPr>
            <w:tcW w:w="150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6,135,310</w:t>
            </w:r>
          </w:p>
        </w:tc>
        <w:tc>
          <w:tcPr>
            <w:tcW w:w="100" w:type="dxa"/>
            <w:tcBorders>
              <w:bottom w:val="single" w:sz="8" w:space="0" w:color="CCEEFF"/>
            </w:tcBorders>
            <w:shd w:val="clear" w:color="auto" w:fill="CCEEFF"/>
            <w:vAlign w:val="bottom"/>
          </w:tcPr>
          <w:p w:rsidR="000728AD" w:rsidRDefault="000728AD"/>
        </w:tc>
        <w:tc>
          <w:tcPr>
            <w:tcW w:w="1080" w:type="dxa"/>
            <w:tcBorders>
              <w:bottom w:val="single" w:sz="8" w:space="0" w:color="auto"/>
            </w:tcBorders>
            <w:shd w:val="clear" w:color="auto" w:fill="CCEEFF"/>
            <w:vAlign w:val="bottom"/>
          </w:tcPr>
          <w:p w:rsidR="000728AD" w:rsidRDefault="000561BE">
            <w:pPr>
              <w:ind w:right="866"/>
              <w:jc w:val="right"/>
              <w:rPr>
                <w:sz w:val="20"/>
                <w:szCs w:val="20"/>
              </w:rPr>
            </w:pPr>
            <w:r>
              <w:rPr>
                <w:rFonts w:ascii="Arial" w:eastAsia="Arial" w:hAnsi="Arial" w:cs="Arial"/>
                <w:w w:val="89"/>
                <w:sz w:val="20"/>
                <w:szCs w:val="20"/>
              </w:rPr>
              <w:t>$</w:t>
            </w:r>
          </w:p>
        </w:tc>
        <w:tc>
          <w:tcPr>
            <w:tcW w:w="44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w w:val="87"/>
                <w:sz w:val="20"/>
                <w:szCs w:val="20"/>
              </w:rPr>
              <w:t>5.97</w:t>
            </w:r>
          </w:p>
        </w:tc>
        <w:tc>
          <w:tcPr>
            <w:tcW w:w="100" w:type="dxa"/>
            <w:tcBorders>
              <w:bottom w:val="single" w:sz="8" w:space="0" w:color="CCEEFF"/>
            </w:tcBorders>
            <w:shd w:val="clear" w:color="auto" w:fill="CCEEFF"/>
            <w:vAlign w:val="bottom"/>
          </w:tcPr>
          <w:p w:rsidR="000728AD" w:rsidRDefault="000728AD"/>
        </w:tc>
        <w:tc>
          <w:tcPr>
            <w:tcW w:w="150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7.70</w:t>
            </w:r>
          </w:p>
        </w:tc>
        <w:tc>
          <w:tcPr>
            <w:tcW w:w="100" w:type="dxa"/>
            <w:tcBorders>
              <w:bottom w:val="single" w:sz="8" w:space="0" w:color="CCEEFF"/>
            </w:tcBorders>
            <w:shd w:val="clear" w:color="auto" w:fill="CCEEFF"/>
            <w:vAlign w:val="bottom"/>
          </w:tcPr>
          <w:p w:rsidR="000728AD" w:rsidRDefault="000728AD"/>
        </w:tc>
        <w:tc>
          <w:tcPr>
            <w:tcW w:w="240" w:type="dxa"/>
            <w:tcBorders>
              <w:bottom w:val="single" w:sz="8" w:space="0" w:color="auto"/>
            </w:tcBorders>
            <w:shd w:val="clear" w:color="auto" w:fill="CCEEFF"/>
            <w:vAlign w:val="bottom"/>
          </w:tcPr>
          <w:p w:rsidR="000728AD" w:rsidRDefault="000561BE">
            <w:pPr>
              <w:ind w:right="21"/>
              <w:jc w:val="right"/>
              <w:rPr>
                <w:sz w:val="20"/>
                <w:szCs w:val="20"/>
              </w:rPr>
            </w:pPr>
            <w:r>
              <w:rPr>
                <w:rFonts w:ascii="Arial" w:eastAsia="Arial" w:hAnsi="Arial" w:cs="Arial"/>
                <w:w w:val="89"/>
                <w:sz w:val="20"/>
                <w:szCs w:val="20"/>
              </w:rPr>
              <w:t>$</w:t>
            </w:r>
          </w:p>
        </w:tc>
        <w:tc>
          <w:tcPr>
            <w:tcW w:w="128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1,082</w:t>
            </w:r>
          </w:p>
        </w:tc>
        <w:tc>
          <w:tcPr>
            <w:tcW w:w="0" w:type="dxa"/>
            <w:vAlign w:val="bottom"/>
          </w:tcPr>
          <w:p w:rsidR="000728AD" w:rsidRDefault="000728AD">
            <w:pPr>
              <w:rPr>
                <w:sz w:val="1"/>
                <w:szCs w:val="1"/>
              </w:rPr>
            </w:pPr>
          </w:p>
        </w:tc>
      </w:tr>
      <w:tr w:rsidR="000728AD">
        <w:trPr>
          <w:trHeight w:val="20"/>
        </w:trPr>
        <w:tc>
          <w:tcPr>
            <w:tcW w:w="4900" w:type="dxa"/>
            <w:vMerge w:val="restart"/>
            <w:tcBorders>
              <w:top w:val="single" w:sz="8" w:space="0" w:color="CCEEFF"/>
              <w:bottom w:val="single" w:sz="8" w:space="0" w:color="CCEEFF"/>
            </w:tcBorders>
            <w:vAlign w:val="bottom"/>
          </w:tcPr>
          <w:p w:rsidR="000728AD" w:rsidRDefault="000561BE">
            <w:pPr>
              <w:ind w:left="20"/>
              <w:rPr>
                <w:sz w:val="20"/>
                <w:szCs w:val="20"/>
              </w:rPr>
            </w:pPr>
            <w:r>
              <w:rPr>
                <w:rFonts w:ascii="Arial" w:eastAsia="Arial" w:hAnsi="Arial" w:cs="Arial"/>
                <w:sz w:val="20"/>
                <w:szCs w:val="20"/>
              </w:rPr>
              <w:t>Exercisable as of June 30, 2021</w:t>
            </w:r>
          </w:p>
        </w:tc>
        <w:tc>
          <w:tcPr>
            <w:tcW w:w="150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00" w:type="dxa"/>
            <w:tcBorders>
              <w:top w:val="single" w:sz="8" w:space="0" w:color="CCEEFF"/>
            </w:tcBorders>
            <w:vAlign w:val="bottom"/>
          </w:tcPr>
          <w:p w:rsidR="000728AD" w:rsidRDefault="000728AD">
            <w:pPr>
              <w:spacing w:line="20" w:lineRule="exact"/>
              <w:rPr>
                <w:sz w:val="1"/>
                <w:szCs w:val="1"/>
              </w:rPr>
            </w:pPr>
          </w:p>
        </w:tc>
        <w:tc>
          <w:tcPr>
            <w:tcW w:w="108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44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00" w:type="dxa"/>
            <w:tcBorders>
              <w:top w:val="single" w:sz="8" w:space="0" w:color="CCEEFF"/>
            </w:tcBorders>
            <w:vAlign w:val="bottom"/>
          </w:tcPr>
          <w:p w:rsidR="000728AD" w:rsidRDefault="000728AD">
            <w:pPr>
              <w:spacing w:line="20" w:lineRule="exact"/>
              <w:rPr>
                <w:sz w:val="1"/>
                <w:szCs w:val="1"/>
              </w:rPr>
            </w:pPr>
          </w:p>
        </w:tc>
        <w:tc>
          <w:tcPr>
            <w:tcW w:w="150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00" w:type="dxa"/>
            <w:tcBorders>
              <w:top w:val="single" w:sz="8" w:space="0" w:color="CCEEFF"/>
            </w:tcBorders>
            <w:vAlign w:val="bottom"/>
          </w:tcPr>
          <w:p w:rsidR="000728AD" w:rsidRDefault="000728AD">
            <w:pPr>
              <w:spacing w:line="20" w:lineRule="exact"/>
              <w:rPr>
                <w:sz w:val="1"/>
                <w:szCs w:val="1"/>
              </w:rPr>
            </w:pPr>
          </w:p>
        </w:tc>
        <w:tc>
          <w:tcPr>
            <w:tcW w:w="24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28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0" w:type="dxa"/>
            <w:vAlign w:val="bottom"/>
          </w:tcPr>
          <w:p w:rsidR="000728AD" w:rsidRDefault="000728AD">
            <w:pPr>
              <w:spacing w:line="20" w:lineRule="exact"/>
              <w:rPr>
                <w:sz w:val="1"/>
                <w:szCs w:val="1"/>
              </w:rPr>
            </w:pPr>
          </w:p>
        </w:tc>
      </w:tr>
      <w:tr w:rsidR="000728AD">
        <w:trPr>
          <w:trHeight w:val="217"/>
        </w:trPr>
        <w:tc>
          <w:tcPr>
            <w:tcW w:w="4900" w:type="dxa"/>
            <w:vMerge/>
            <w:vAlign w:val="bottom"/>
          </w:tcPr>
          <w:p w:rsidR="000728AD" w:rsidRDefault="000728AD">
            <w:pPr>
              <w:rPr>
                <w:sz w:val="18"/>
                <w:szCs w:val="18"/>
              </w:rPr>
            </w:pPr>
          </w:p>
        </w:tc>
        <w:tc>
          <w:tcPr>
            <w:tcW w:w="1500" w:type="dxa"/>
            <w:tcBorders>
              <w:bottom w:val="single" w:sz="8" w:space="0" w:color="auto"/>
            </w:tcBorders>
            <w:vAlign w:val="bottom"/>
          </w:tcPr>
          <w:p w:rsidR="000728AD" w:rsidRDefault="000561BE">
            <w:pPr>
              <w:spacing w:line="217" w:lineRule="exact"/>
              <w:jc w:val="right"/>
              <w:rPr>
                <w:sz w:val="20"/>
                <w:szCs w:val="20"/>
              </w:rPr>
            </w:pPr>
            <w:r>
              <w:rPr>
                <w:rFonts w:ascii="Arial" w:eastAsia="Arial" w:hAnsi="Arial" w:cs="Arial"/>
                <w:sz w:val="20"/>
                <w:szCs w:val="20"/>
              </w:rPr>
              <w:t>3,064,137</w:t>
            </w:r>
          </w:p>
        </w:tc>
        <w:tc>
          <w:tcPr>
            <w:tcW w:w="100" w:type="dxa"/>
            <w:vAlign w:val="bottom"/>
          </w:tcPr>
          <w:p w:rsidR="000728AD" w:rsidRDefault="000728AD">
            <w:pPr>
              <w:rPr>
                <w:sz w:val="18"/>
                <w:szCs w:val="18"/>
              </w:rPr>
            </w:pPr>
          </w:p>
        </w:tc>
        <w:tc>
          <w:tcPr>
            <w:tcW w:w="1080" w:type="dxa"/>
            <w:tcBorders>
              <w:bottom w:val="single" w:sz="8" w:space="0" w:color="auto"/>
            </w:tcBorders>
            <w:vAlign w:val="bottom"/>
          </w:tcPr>
          <w:p w:rsidR="000728AD" w:rsidRDefault="000561BE">
            <w:pPr>
              <w:spacing w:line="217" w:lineRule="exact"/>
              <w:ind w:right="866"/>
              <w:jc w:val="right"/>
              <w:rPr>
                <w:sz w:val="20"/>
                <w:szCs w:val="20"/>
              </w:rPr>
            </w:pPr>
            <w:r>
              <w:rPr>
                <w:rFonts w:ascii="Arial" w:eastAsia="Arial" w:hAnsi="Arial" w:cs="Arial"/>
                <w:w w:val="89"/>
                <w:sz w:val="20"/>
                <w:szCs w:val="20"/>
              </w:rPr>
              <w:t>$</w:t>
            </w:r>
          </w:p>
        </w:tc>
        <w:tc>
          <w:tcPr>
            <w:tcW w:w="440" w:type="dxa"/>
            <w:tcBorders>
              <w:bottom w:val="single" w:sz="8" w:space="0" w:color="auto"/>
            </w:tcBorders>
            <w:vAlign w:val="bottom"/>
          </w:tcPr>
          <w:p w:rsidR="000728AD" w:rsidRDefault="000561BE">
            <w:pPr>
              <w:spacing w:line="217" w:lineRule="exact"/>
              <w:jc w:val="right"/>
              <w:rPr>
                <w:sz w:val="20"/>
                <w:szCs w:val="20"/>
              </w:rPr>
            </w:pPr>
            <w:r>
              <w:rPr>
                <w:rFonts w:ascii="Arial" w:eastAsia="Arial" w:hAnsi="Arial" w:cs="Arial"/>
                <w:w w:val="87"/>
                <w:sz w:val="20"/>
                <w:szCs w:val="20"/>
              </w:rPr>
              <w:t>6.21</w:t>
            </w:r>
          </w:p>
        </w:tc>
        <w:tc>
          <w:tcPr>
            <w:tcW w:w="100" w:type="dxa"/>
            <w:vAlign w:val="bottom"/>
          </w:tcPr>
          <w:p w:rsidR="000728AD" w:rsidRDefault="000728AD">
            <w:pPr>
              <w:rPr>
                <w:sz w:val="18"/>
                <w:szCs w:val="18"/>
              </w:rPr>
            </w:pPr>
          </w:p>
        </w:tc>
        <w:tc>
          <w:tcPr>
            <w:tcW w:w="1500" w:type="dxa"/>
            <w:tcBorders>
              <w:bottom w:val="single" w:sz="8" w:space="0" w:color="auto"/>
            </w:tcBorders>
            <w:vAlign w:val="bottom"/>
          </w:tcPr>
          <w:p w:rsidR="000728AD" w:rsidRDefault="000561BE">
            <w:pPr>
              <w:spacing w:line="217" w:lineRule="exact"/>
              <w:jc w:val="right"/>
              <w:rPr>
                <w:sz w:val="20"/>
                <w:szCs w:val="20"/>
              </w:rPr>
            </w:pPr>
            <w:r>
              <w:rPr>
                <w:rFonts w:ascii="Arial" w:eastAsia="Arial" w:hAnsi="Arial" w:cs="Arial"/>
                <w:sz w:val="20"/>
                <w:szCs w:val="20"/>
              </w:rPr>
              <w:t>6.42</w:t>
            </w:r>
          </w:p>
        </w:tc>
        <w:tc>
          <w:tcPr>
            <w:tcW w:w="100" w:type="dxa"/>
            <w:vAlign w:val="bottom"/>
          </w:tcPr>
          <w:p w:rsidR="000728AD" w:rsidRDefault="000728AD">
            <w:pPr>
              <w:rPr>
                <w:sz w:val="18"/>
                <w:szCs w:val="18"/>
              </w:rPr>
            </w:pPr>
          </w:p>
        </w:tc>
        <w:tc>
          <w:tcPr>
            <w:tcW w:w="240" w:type="dxa"/>
            <w:tcBorders>
              <w:bottom w:val="single" w:sz="8" w:space="0" w:color="auto"/>
            </w:tcBorders>
            <w:vAlign w:val="bottom"/>
          </w:tcPr>
          <w:p w:rsidR="000728AD" w:rsidRDefault="000561BE">
            <w:pPr>
              <w:spacing w:line="217" w:lineRule="exact"/>
              <w:ind w:right="21"/>
              <w:jc w:val="right"/>
              <w:rPr>
                <w:sz w:val="20"/>
                <w:szCs w:val="20"/>
              </w:rPr>
            </w:pPr>
            <w:r>
              <w:rPr>
                <w:rFonts w:ascii="Arial" w:eastAsia="Arial" w:hAnsi="Arial" w:cs="Arial"/>
                <w:w w:val="89"/>
                <w:sz w:val="20"/>
                <w:szCs w:val="20"/>
              </w:rPr>
              <w:t>$</w:t>
            </w:r>
          </w:p>
        </w:tc>
        <w:tc>
          <w:tcPr>
            <w:tcW w:w="1280" w:type="dxa"/>
            <w:tcBorders>
              <w:bottom w:val="single" w:sz="8" w:space="0" w:color="auto"/>
            </w:tcBorders>
            <w:vAlign w:val="bottom"/>
          </w:tcPr>
          <w:p w:rsidR="000728AD" w:rsidRDefault="000561BE">
            <w:pPr>
              <w:spacing w:line="217" w:lineRule="exact"/>
              <w:jc w:val="right"/>
              <w:rPr>
                <w:sz w:val="20"/>
                <w:szCs w:val="20"/>
              </w:rPr>
            </w:pPr>
            <w:r>
              <w:rPr>
                <w:rFonts w:ascii="Arial" w:eastAsia="Arial" w:hAnsi="Arial" w:cs="Arial"/>
                <w:sz w:val="20"/>
                <w:szCs w:val="20"/>
              </w:rPr>
              <w:t>859</w:t>
            </w:r>
          </w:p>
        </w:tc>
        <w:tc>
          <w:tcPr>
            <w:tcW w:w="0" w:type="dxa"/>
            <w:vAlign w:val="bottom"/>
          </w:tcPr>
          <w:p w:rsidR="000728AD" w:rsidRDefault="000728AD">
            <w:pPr>
              <w:rPr>
                <w:sz w:val="1"/>
                <w:szCs w:val="1"/>
              </w:rPr>
            </w:pPr>
          </w:p>
        </w:tc>
      </w:tr>
      <w:tr w:rsidR="000728AD">
        <w:trPr>
          <w:trHeight w:val="20"/>
        </w:trPr>
        <w:tc>
          <w:tcPr>
            <w:tcW w:w="4900" w:type="dxa"/>
            <w:tcBorders>
              <w:bottom w:val="single" w:sz="8" w:space="0" w:color="CCEEFF"/>
            </w:tcBorders>
            <w:vAlign w:val="bottom"/>
          </w:tcPr>
          <w:p w:rsidR="000728AD" w:rsidRDefault="000728AD">
            <w:pPr>
              <w:spacing w:line="20" w:lineRule="exact"/>
              <w:rPr>
                <w:sz w:val="1"/>
                <w:szCs w:val="1"/>
              </w:rPr>
            </w:pPr>
          </w:p>
        </w:tc>
        <w:tc>
          <w:tcPr>
            <w:tcW w:w="1500" w:type="dxa"/>
            <w:tcBorders>
              <w:bottom w:val="single" w:sz="8" w:space="0" w:color="auto"/>
            </w:tcBorders>
            <w:vAlign w:val="bottom"/>
          </w:tcPr>
          <w:p w:rsidR="000728AD" w:rsidRDefault="000728AD">
            <w:pPr>
              <w:spacing w:line="20" w:lineRule="exact"/>
              <w:rPr>
                <w:sz w:val="1"/>
                <w:szCs w:val="1"/>
              </w:rPr>
            </w:pPr>
          </w:p>
        </w:tc>
        <w:tc>
          <w:tcPr>
            <w:tcW w:w="100" w:type="dxa"/>
            <w:tcBorders>
              <w:bottom w:val="single" w:sz="8" w:space="0" w:color="CCEEFF"/>
            </w:tcBorders>
            <w:vAlign w:val="bottom"/>
          </w:tcPr>
          <w:p w:rsidR="000728AD" w:rsidRDefault="000728AD">
            <w:pPr>
              <w:spacing w:line="20" w:lineRule="exact"/>
              <w:rPr>
                <w:sz w:val="1"/>
                <w:szCs w:val="1"/>
              </w:rPr>
            </w:pPr>
          </w:p>
        </w:tc>
        <w:tc>
          <w:tcPr>
            <w:tcW w:w="1080" w:type="dxa"/>
            <w:tcBorders>
              <w:bottom w:val="single" w:sz="8" w:space="0" w:color="auto"/>
            </w:tcBorders>
            <w:vAlign w:val="bottom"/>
          </w:tcPr>
          <w:p w:rsidR="000728AD" w:rsidRDefault="000728AD">
            <w:pPr>
              <w:spacing w:line="20" w:lineRule="exact"/>
              <w:rPr>
                <w:sz w:val="1"/>
                <w:szCs w:val="1"/>
              </w:rPr>
            </w:pPr>
          </w:p>
        </w:tc>
        <w:tc>
          <w:tcPr>
            <w:tcW w:w="440" w:type="dxa"/>
            <w:tcBorders>
              <w:bottom w:val="single" w:sz="8" w:space="0" w:color="auto"/>
            </w:tcBorders>
            <w:vAlign w:val="bottom"/>
          </w:tcPr>
          <w:p w:rsidR="000728AD" w:rsidRDefault="000728AD">
            <w:pPr>
              <w:spacing w:line="20" w:lineRule="exact"/>
              <w:rPr>
                <w:sz w:val="1"/>
                <w:szCs w:val="1"/>
              </w:rPr>
            </w:pPr>
          </w:p>
        </w:tc>
        <w:tc>
          <w:tcPr>
            <w:tcW w:w="100" w:type="dxa"/>
            <w:tcBorders>
              <w:bottom w:val="single" w:sz="8" w:space="0" w:color="CCEEFF"/>
            </w:tcBorders>
            <w:vAlign w:val="bottom"/>
          </w:tcPr>
          <w:p w:rsidR="000728AD" w:rsidRDefault="000728AD">
            <w:pPr>
              <w:spacing w:line="20" w:lineRule="exact"/>
              <w:rPr>
                <w:sz w:val="1"/>
                <w:szCs w:val="1"/>
              </w:rPr>
            </w:pPr>
          </w:p>
        </w:tc>
        <w:tc>
          <w:tcPr>
            <w:tcW w:w="1500" w:type="dxa"/>
            <w:tcBorders>
              <w:bottom w:val="single" w:sz="8" w:space="0" w:color="auto"/>
            </w:tcBorders>
            <w:vAlign w:val="bottom"/>
          </w:tcPr>
          <w:p w:rsidR="000728AD" w:rsidRDefault="000728AD">
            <w:pPr>
              <w:spacing w:line="20" w:lineRule="exact"/>
              <w:rPr>
                <w:sz w:val="1"/>
                <w:szCs w:val="1"/>
              </w:rPr>
            </w:pPr>
          </w:p>
        </w:tc>
        <w:tc>
          <w:tcPr>
            <w:tcW w:w="100" w:type="dxa"/>
            <w:tcBorders>
              <w:bottom w:val="single" w:sz="8" w:space="0" w:color="CCEEFF"/>
            </w:tcBorders>
            <w:vAlign w:val="bottom"/>
          </w:tcPr>
          <w:p w:rsidR="000728AD" w:rsidRDefault="000728AD">
            <w:pPr>
              <w:spacing w:line="20" w:lineRule="exact"/>
              <w:rPr>
                <w:sz w:val="1"/>
                <w:szCs w:val="1"/>
              </w:rPr>
            </w:pPr>
          </w:p>
        </w:tc>
        <w:tc>
          <w:tcPr>
            <w:tcW w:w="240" w:type="dxa"/>
            <w:tcBorders>
              <w:bottom w:val="single" w:sz="8" w:space="0" w:color="auto"/>
            </w:tcBorders>
            <w:vAlign w:val="bottom"/>
          </w:tcPr>
          <w:p w:rsidR="000728AD" w:rsidRDefault="000728AD">
            <w:pPr>
              <w:spacing w:line="20" w:lineRule="exact"/>
              <w:rPr>
                <w:sz w:val="1"/>
                <w:szCs w:val="1"/>
              </w:rPr>
            </w:pPr>
          </w:p>
        </w:tc>
        <w:tc>
          <w:tcPr>
            <w:tcW w:w="1280" w:type="dxa"/>
            <w:tcBorders>
              <w:bottom w:val="single" w:sz="8" w:space="0" w:color="auto"/>
            </w:tcBorders>
            <w:vAlign w:val="bottom"/>
          </w:tcPr>
          <w:p w:rsidR="000728AD" w:rsidRDefault="000728AD">
            <w:pPr>
              <w:spacing w:line="20" w:lineRule="exact"/>
              <w:rPr>
                <w:sz w:val="1"/>
                <w:szCs w:val="1"/>
              </w:rPr>
            </w:pPr>
          </w:p>
        </w:tc>
        <w:tc>
          <w:tcPr>
            <w:tcW w:w="0" w:type="dxa"/>
            <w:vAlign w:val="bottom"/>
          </w:tcPr>
          <w:p w:rsidR="000728AD" w:rsidRDefault="000728AD">
            <w:pPr>
              <w:spacing w:line="20" w:lineRule="exact"/>
              <w:rPr>
                <w:sz w:val="1"/>
                <w:szCs w:val="1"/>
              </w:rPr>
            </w:pPr>
          </w:p>
        </w:tc>
      </w:tr>
      <w:tr w:rsidR="000728AD">
        <w:trPr>
          <w:trHeight w:val="262"/>
        </w:trPr>
        <w:tc>
          <w:tcPr>
            <w:tcW w:w="4900" w:type="dxa"/>
            <w:tcBorders>
              <w:bottom w:val="single" w:sz="8" w:space="0" w:color="CCEEFF"/>
            </w:tcBorders>
            <w:shd w:val="clear" w:color="auto" w:fill="CCEEFF"/>
            <w:vAlign w:val="bottom"/>
          </w:tcPr>
          <w:p w:rsidR="000728AD" w:rsidRDefault="000561BE">
            <w:pPr>
              <w:ind w:left="20"/>
              <w:rPr>
                <w:sz w:val="20"/>
                <w:szCs w:val="20"/>
              </w:rPr>
            </w:pPr>
            <w:r>
              <w:rPr>
                <w:rFonts w:ascii="Arial" w:eastAsia="Arial" w:hAnsi="Arial" w:cs="Arial"/>
                <w:sz w:val="20"/>
                <w:szCs w:val="20"/>
              </w:rPr>
              <w:t>Vested or expected to vest as of June 30, 2021</w:t>
            </w:r>
          </w:p>
        </w:tc>
        <w:tc>
          <w:tcPr>
            <w:tcW w:w="150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6,085,310</w:t>
            </w:r>
          </w:p>
        </w:tc>
        <w:tc>
          <w:tcPr>
            <w:tcW w:w="100" w:type="dxa"/>
            <w:tcBorders>
              <w:bottom w:val="single" w:sz="8" w:space="0" w:color="CCEEFF"/>
            </w:tcBorders>
            <w:shd w:val="clear" w:color="auto" w:fill="CCEEFF"/>
            <w:vAlign w:val="bottom"/>
          </w:tcPr>
          <w:p w:rsidR="000728AD" w:rsidRDefault="000728AD"/>
        </w:tc>
        <w:tc>
          <w:tcPr>
            <w:tcW w:w="1080" w:type="dxa"/>
            <w:tcBorders>
              <w:bottom w:val="single" w:sz="8" w:space="0" w:color="auto"/>
            </w:tcBorders>
            <w:shd w:val="clear" w:color="auto" w:fill="CCEEFF"/>
            <w:vAlign w:val="bottom"/>
          </w:tcPr>
          <w:p w:rsidR="000728AD" w:rsidRDefault="000561BE">
            <w:pPr>
              <w:ind w:right="866"/>
              <w:jc w:val="right"/>
              <w:rPr>
                <w:sz w:val="20"/>
                <w:szCs w:val="20"/>
              </w:rPr>
            </w:pPr>
            <w:r>
              <w:rPr>
                <w:rFonts w:ascii="Arial" w:eastAsia="Arial" w:hAnsi="Arial" w:cs="Arial"/>
                <w:w w:val="89"/>
                <w:sz w:val="20"/>
                <w:szCs w:val="20"/>
              </w:rPr>
              <w:t>$</w:t>
            </w:r>
          </w:p>
        </w:tc>
        <w:tc>
          <w:tcPr>
            <w:tcW w:w="44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w w:val="87"/>
                <w:sz w:val="20"/>
                <w:szCs w:val="20"/>
              </w:rPr>
              <w:t>5.93</w:t>
            </w:r>
          </w:p>
        </w:tc>
        <w:tc>
          <w:tcPr>
            <w:tcW w:w="100" w:type="dxa"/>
            <w:tcBorders>
              <w:bottom w:val="single" w:sz="8" w:space="0" w:color="CCEEFF"/>
            </w:tcBorders>
            <w:shd w:val="clear" w:color="auto" w:fill="CCEEFF"/>
            <w:vAlign w:val="bottom"/>
          </w:tcPr>
          <w:p w:rsidR="000728AD" w:rsidRDefault="000728AD"/>
        </w:tc>
        <w:tc>
          <w:tcPr>
            <w:tcW w:w="150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7.63</w:t>
            </w:r>
          </w:p>
        </w:tc>
        <w:tc>
          <w:tcPr>
            <w:tcW w:w="100" w:type="dxa"/>
            <w:tcBorders>
              <w:bottom w:val="single" w:sz="8" w:space="0" w:color="CCEEFF"/>
            </w:tcBorders>
            <w:shd w:val="clear" w:color="auto" w:fill="CCEEFF"/>
            <w:vAlign w:val="bottom"/>
          </w:tcPr>
          <w:p w:rsidR="000728AD" w:rsidRDefault="000728AD"/>
        </w:tc>
        <w:tc>
          <w:tcPr>
            <w:tcW w:w="240" w:type="dxa"/>
            <w:tcBorders>
              <w:bottom w:val="single" w:sz="8" w:space="0" w:color="auto"/>
            </w:tcBorders>
            <w:shd w:val="clear" w:color="auto" w:fill="CCEEFF"/>
            <w:vAlign w:val="bottom"/>
          </w:tcPr>
          <w:p w:rsidR="000728AD" w:rsidRDefault="000561BE">
            <w:pPr>
              <w:ind w:right="21"/>
              <w:jc w:val="right"/>
              <w:rPr>
                <w:sz w:val="20"/>
                <w:szCs w:val="20"/>
              </w:rPr>
            </w:pPr>
            <w:r>
              <w:rPr>
                <w:rFonts w:ascii="Arial" w:eastAsia="Arial" w:hAnsi="Arial" w:cs="Arial"/>
                <w:w w:val="89"/>
                <w:sz w:val="20"/>
                <w:szCs w:val="20"/>
              </w:rPr>
              <w:t>$</w:t>
            </w:r>
          </w:p>
        </w:tc>
        <w:tc>
          <w:tcPr>
            <w:tcW w:w="128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1,067</w:t>
            </w:r>
          </w:p>
        </w:tc>
        <w:tc>
          <w:tcPr>
            <w:tcW w:w="0" w:type="dxa"/>
            <w:vAlign w:val="bottom"/>
          </w:tcPr>
          <w:p w:rsidR="000728AD" w:rsidRDefault="000728AD">
            <w:pPr>
              <w:rPr>
                <w:sz w:val="1"/>
                <w:szCs w:val="1"/>
              </w:rPr>
            </w:pPr>
          </w:p>
        </w:tc>
      </w:tr>
      <w:tr w:rsidR="000728AD">
        <w:trPr>
          <w:trHeight w:val="20"/>
        </w:trPr>
        <w:tc>
          <w:tcPr>
            <w:tcW w:w="4900" w:type="dxa"/>
            <w:tcBorders>
              <w:top w:val="single" w:sz="8" w:space="0" w:color="CCEEFF"/>
            </w:tcBorders>
            <w:vAlign w:val="bottom"/>
          </w:tcPr>
          <w:p w:rsidR="000728AD" w:rsidRDefault="000728AD">
            <w:pPr>
              <w:spacing w:line="20" w:lineRule="exact"/>
              <w:rPr>
                <w:sz w:val="1"/>
                <w:szCs w:val="1"/>
              </w:rPr>
            </w:pPr>
          </w:p>
        </w:tc>
        <w:tc>
          <w:tcPr>
            <w:tcW w:w="150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00" w:type="dxa"/>
            <w:tcBorders>
              <w:top w:val="single" w:sz="8" w:space="0" w:color="CCEEFF"/>
            </w:tcBorders>
            <w:vAlign w:val="bottom"/>
          </w:tcPr>
          <w:p w:rsidR="000728AD" w:rsidRDefault="000728AD">
            <w:pPr>
              <w:spacing w:line="20" w:lineRule="exact"/>
              <w:rPr>
                <w:sz w:val="1"/>
                <w:szCs w:val="1"/>
              </w:rPr>
            </w:pPr>
          </w:p>
        </w:tc>
        <w:tc>
          <w:tcPr>
            <w:tcW w:w="108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44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00" w:type="dxa"/>
            <w:tcBorders>
              <w:top w:val="single" w:sz="8" w:space="0" w:color="CCEEFF"/>
            </w:tcBorders>
            <w:vAlign w:val="bottom"/>
          </w:tcPr>
          <w:p w:rsidR="000728AD" w:rsidRDefault="000728AD">
            <w:pPr>
              <w:spacing w:line="20" w:lineRule="exact"/>
              <w:rPr>
                <w:sz w:val="1"/>
                <w:szCs w:val="1"/>
              </w:rPr>
            </w:pPr>
          </w:p>
        </w:tc>
        <w:tc>
          <w:tcPr>
            <w:tcW w:w="150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00" w:type="dxa"/>
            <w:tcBorders>
              <w:top w:val="single" w:sz="8" w:space="0" w:color="CCEEFF"/>
            </w:tcBorders>
            <w:vAlign w:val="bottom"/>
          </w:tcPr>
          <w:p w:rsidR="000728AD" w:rsidRDefault="000728AD">
            <w:pPr>
              <w:spacing w:line="20" w:lineRule="exact"/>
              <w:rPr>
                <w:sz w:val="1"/>
                <w:szCs w:val="1"/>
              </w:rPr>
            </w:pPr>
          </w:p>
        </w:tc>
        <w:tc>
          <w:tcPr>
            <w:tcW w:w="24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28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0" w:type="dxa"/>
            <w:vAlign w:val="bottom"/>
          </w:tcPr>
          <w:p w:rsidR="000728AD" w:rsidRDefault="000728AD">
            <w:pPr>
              <w:spacing w:line="20" w:lineRule="exact"/>
              <w:rPr>
                <w:sz w:val="1"/>
                <w:szCs w:val="1"/>
              </w:rPr>
            </w:pPr>
          </w:p>
        </w:tc>
      </w:tr>
    </w:tbl>
    <w:p w:rsidR="000728AD" w:rsidRDefault="000728AD">
      <w:pPr>
        <w:spacing w:line="294" w:lineRule="exact"/>
        <w:rPr>
          <w:sz w:val="20"/>
          <w:szCs w:val="20"/>
        </w:rPr>
      </w:pPr>
    </w:p>
    <w:p w:rsidR="000728AD" w:rsidRDefault="000561BE">
      <w:pPr>
        <w:spacing w:line="260" w:lineRule="auto"/>
        <w:ind w:right="60"/>
        <w:jc w:val="both"/>
        <w:rPr>
          <w:sz w:val="20"/>
          <w:szCs w:val="20"/>
        </w:rPr>
      </w:pPr>
      <w:r>
        <w:rPr>
          <w:rFonts w:ascii="Arial" w:eastAsia="Arial" w:hAnsi="Arial" w:cs="Arial"/>
          <w:sz w:val="20"/>
          <w:szCs w:val="20"/>
        </w:rPr>
        <w:t xml:space="preserve">The intrinsic value of options exercised during the six months ended June 30, 2021 was $0.1 million. The intrinsic value of </w:t>
      </w:r>
      <w:r>
        <w:rPr>
          <w:rFonts w:ascii="Arial" w:eastAsia="Arial" w:hAnsi="Arial" w:cs="Arial"/>
          <w:sz w:val="20"/>
          <w:szCs w:val="20"/>
        </w:rPr>
        <w:t>options exercised during the same period in 2020 was nominal.</w:t>
      </w:r>
    </w:p>
    <w:p w:rsidR="000728AD" w:rsidRDefault="000728AD">
      <w:pPr>
        <w:spacing w:line="177" w:lineRule="exact"/>
        <w:rPr>
          <w:sz w:val="20"/>
          <w:szCs w:val="20"/>
        </w:rPr>
      </w:pPr>
    </w:p>
    <w:p w:rsidR="000728AD" w:rsidRDefault="000561BE">
      <w:pPr>
        <w:spacing w:line="260" w:lineRule="auto"/>
        <w:ind w:right="140"/>
        <w:rPr>
          <w:sz w:val="20"/>
          <w:szCs w:val="20"/>
        </w:rPr>
      </w:pPr>
      <w:r>
        <w:rPr>
          <w:rFonts w:ascii="Arial" w:eastAsia="Arial" w:hAnsi="Arial" w:cs="Arial"/>
          <w:sz w:val="20"/>
          <w:szCs w:val="20"/>
        </w:rPr>
        <w:t>The weighted-average grant date fair value of the options granted during the six months ended June 30, 2021 and 2020 was $4.39 and $2.69 per share, respectively.</w:t>
      </w:r>
    </w:p>
    <w:p w:rsidR="000728AD" w:rsidRDefault="000728AD">
      <w:pPr>
        <w:spacing w:line="177" w:lineRule="exact"/>
        <w:rPr>
          <w:sz w:val="20"/>
          <w:szCs w:val="20"/>
        </w:rPr>
      </w:pPr>
    </w:p>
    <w:p w:rsidR="000728AD" w:rsidRDefault="000561BE">
      <w:pPr>
        <w:spacing w:line="260" w:lineRule="auto"/>
        <w:ind w:right="500"/>
        <w:rPr>
          <w:sz w:val="20"/>
          <w:szCs w:val="20"/>
        </w:rPr>
      </w:pPr>
      <w:r>
        <w:rPr>
          <w:rFonts w:ascii="Arial" w:eastAsia="Arial" w:hAnsi="Arial" w:cs="Arial"/>
          <w:sz w:val="20"/>
          <w:szCs w:val="20"/>
        </w:rPr>
        <w:t xml:space="preserve">As of June 30, 2021, </w:t>
      </w:r>
      <w:r>
        <w:rPr>
          <w:rFonts w:ascii="Arial" w:eastAsia="Arial" w:hAnsi="Arial" w:cs="Arial"/>
          <w:sz w:val="20"/>
          <w:szCs w:val="20"/>
        </w:rPr>
        <w:t>there was $11.6 million of unrecognized compensation expense that is expected to be recognized over a weighted-average period of approximately 2.76 years.</w:t>
      </w:r>
    </w:p>
    <w:p w:rsidR="000728AD" w:rsidRDefault="000728AD">
      <w:pPr>
        <w:sectPr w:rsidR="000728AD">
          <w:type w:val="continuous"/>
          <w:pgSz w:w="11900" w:h="16838"/>
          <w:pgMar w:top="125" w:right="339" w:bottom="1440" w:left="320" w:header="0" w:footer="0" w:gutter="0"/>
          <w:cols w:space="720" w:equalWidth="0">
            <w:col w:w="11240"/>
          </w:cols>
        </w:sect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73" w:lineRule="exact"/>
        <w:rPr>
          <w:sz w:val="20"/>
          <w:szCs w:val="20"/>
        </w:rPr>
      </w:pPr>
    </w:p>
    <w:p w:rsidR="000728AD" w:rsidRDefault="000561BE">
      <w:pPr>
        <w:ind w:right="-19"/>
        <w:jc w:val="center"/>
        <w:rPr>
          <w:sz w:val="20"/>
          <w:szCs w:val="20"/>
        </w:rPr>
      </w:pPr>
      <w:r>
        <w:rPr>
          <w:rFonts w:ascii="Arial" w:eastAsia="Arial" w:hAnsi="Arial" w:cs="Arial"/>
          <w:sz w:val="16"/>
          <w:szCs w:val="16"/>
        </w:rPr>
        <w:t>18</w:t>
      </w:r>
    </w:p>
    <w:p w:rsidR="000728AD" w:rsidRDefault="000561BE">
      <w:pPr>
        <w:spacing w:line="20" w:lineRule="exact"/>
        <w:rPr>
          <w:sz w:val="20"/>
          <w:szCs w:val="20"/>
        </w:rPr>
      </w:pPr>
      <w:r>
        <w:rPr>
          <w:noProof/>
          <w:sz w:val="20"/>
          <w:szCs w:val="20"/>
        </w:rPr>
        <w:drawing>
          <wp:anchor distT="0" distB="0" distL="114300" distR="114300" simplePos="0" relativeHeight="251625472" behindDoc="1" locked="0" layoutInCell="0" allowOverlap="1">
            <wp:simplePos x="0" y="0"/>
            <wp:positionH relativeFrom="column">
              <wp:posOffset>-6985</wp:posOffset>
            </wp:positionH>
            <wp:positionV relativeFrom="paragraph">
              <wp:posOffset>85090</wp:posOffset>
            </wp:positionV>
            <wp:extent cx="7157720" cy="425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type w:val="continuous"/>
          <w:pgSz w:w="11900" w:h="16838"/>
          <w:pgMar w:top="125" w:right="339" w:bottom="1440" w:left="320" w:header="0" w:footer="0" w:gutter="0"/>
          <w:cols w:space="720" w:equalWidth="0">
            <w:col w:w="11240"/>
          </w:cols>
        </w:sectPr>
      </w:pPr>
    </w:p>
    <w:bookmarkStart w:id="19" w:name="page19"/>
    <w:bookmarkEnd w:id="19"/>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rPr>
          <w:sz w:val="20"/>
          <w:szCs w:val="20"/>
        </w:rPr>
      </w:pPr>
      <w:r>
        <w:rPr>
          <w:rFonts w:ascii="Arial" w:eastAsia="Arial" w:hAnsi="Arial" w:cs="Arial"/>
          <w:b/>
          <w:bCs/>
          <w:i/>
          <w:iCs/>
          <w:sz w:val="20"/>
          <w:szCs w:val="20"/>
        </w:rPr>
        <w:t>Restricted Stock Units</w:t>
      </w:r>
    </w:p>
    <w:p w:rsidR="000728AD" w:rsidRDefault="000728AD">
      <w:pPr>
        <w:spacing w:line="216" w:lineRule="exact"/>
        <w:rPr>
          <w:sz w:val="20"/>
          <w:szCs w:val="20"/>
        </w:rPr>
      </w:pPr>
    </w:p>
    <w:p w:rsidR="000728AD" w:rsidRDefault="000561BE">
      <w:pPr>
        <w:rPr>
          <w:sz w:val="20"/>
          <w:szCs w:val="20"/>
        </w:rPr>
      </w:pPr>
      <w:r>
        <w:rPr>
          <w:rFonts w:ascii="Arial" w:eastAsia="Arial" w:hAnsi="Arial" w:cs="Arial"/>
          <w:sz w:val="18"/>
          <w:szCs w:val="18"/>
        </w:rPr>
        <w:t>The fair values of restricted stock units are based on the market value of our stock on the date of grant. The following table summarizes the</w:t>
      </w:r>
    </w:p>
    <w:p w:rsidR="000728AD" w:rsidRDefault="000728AD">
      <w:pPr>
        <w:spacing w:line="39" w:lineRule="exact"/>
        <w:rPr>
          <w:sz w:val="20"/>
          <w:szCs w:val="20"/>
        </w:rPr>
      </w:pPr>
    </w:p>
    <w:p w:rsidR="000728AD" w:rsidRDefault="000561BE">
      <w:pPr>
        <w:rPr>
          <w:sz w:val="20"/>
          <w:szCs w:val="20"/>
        </w:rPr>
      </w:pPr>
      <w:r>
        <w:rPr>
          <w:rFonts w:ascii="Arial" w:eastAsia="Arial" w:hAnsi="Arial" w:cs="Arial"/>
          <w:sz w:val="20"/>
          <w:szCs w:val="20"/>
        </w:rPr>
        <w:t>Company's restricted stock unit activity f</w:t>
      </w:r>
      <w:r>
        <w:rPr>
          <w:rFonts w:ascii="Arial" w:eastAsia="Arial" w:hAnsi="Arial" w:cs="Arial"/>
          <w:sz w:val="20"/>
          <w:szCs w:val="20"/>
        </w:rPr>
        <w:t>or the six months ended June 30, 2021:</w:t>
      </w:r>
    </w:p>
    <w:p w:rsidR="000728AD" w:rsidRDefault="000728AD">
      <w:pPr>
        <w:spacing w:line="212" w:lineRule="exact"/>
        <w:rPr>
          <w:sz w:val="20"/>
          <w:szCs w:val="20"/>
        </w:rPr>
      </w:pPr>
    </w:p>
    <w:tbl>
      <w:tblPr>
        <w:tblW w:w="0" w:type="auto"/>
        <w:tblInd w:w="700" w:type="dxa"/>
        <w:tblLayout w:type="fixed"/>
        <w:tblCellMar>
          <w:left w:w="0" w:type="dxa"/>
          <w:right w:w="0" w:type="dxa"/>
        </w:tblCellMar>
        <w:tblLook w:val="04A0" w:firstRow="1" w:lastRow="0" w:firstColumn="1" w:lastColumn="0" w:noHBand="0" w:noVBand="1"/>
      </w:tblPr>
      <w:tblGrid>
        <w:gridCol w:w="5740"/>
        <w:gridCol w:w="1860"/>
        <w:gridCol w:w="100"/>
        <w:gridCol w:w="240"/>
        <w:gridCol w:w="1920"/>
        <w:gridCol w:w="20"/>
      </w:tblGrid>
      <w:tr w:rsidR="000728AD">
        <w:trPr>
          <w:trHeight w:val="207"/>
        </w:trPr>
        <w:tc>
          <w:tcPr>
            <w:tcW w:w="5740" w:type="dxa"/>
            <w:vAlign w:val="bottom"/>
          </w:tcPr>
          <w:p w:rsidR="000728AD" w:rsidRDefault="000728AD">
            <w:pPr>
              <w:rPr>
                <w:sz w:val="17"/>
                <w:szCs w:val="17"/>
              </w:rPr>
            </w:pPr>
          </w:p>
        </w:tc>
        <w:tc>
          <w:tcPr>
            <w:tcW w:w="1860" w:type="dxa"/>
            <w:vAlign w:val="bottom"/>
          </w:tcPr>
          <w:p w:rsidR="000728AD" w:rsidRDefault="000728AD">
            <w:pPr>
              <w:rPr>
                <w:sz w:val="17"/>
                <w:szCs w:val="17"/>
              </w:rPr>
            </w:pPr>
          </w:p>
        </w:tc>
        <w:tc>
          <w:tcPr>
            <w:tcW w:w="100" w:type="dxa"/>
            <w:vAlign w:val="bottom"/>
          </w:tcPr>
          <w:p w:rsidR="000728AD" w:rsidRDefault="000728AD">
            <w:pPr>
              <w:rPr>
                <w:sz w:val="17"/>
                <w:szCs w:val="17"/>
              </w:rPr>
            </w:pPr>
          </w:p>
        </w:tc>
        <w:tc>
          <w:tcPr>
            <w:tcW w:w="240" w:type="dxa"/>
            <w:vAlign w:val="bottom"/>
          </w:tcPr>
          <w:p w:rsidR="000728AD" w:rsidRDefault="000728AD">
            <w:pPr>
              <w:rPr>
                <w:sz w:val="17"/>
                <w:szCs w:val="17"/>
              </w:rPr>
            </w:pPr>
          </w:p>
        </w:tc>
        <w:tc>
          <w:tcPr>
            <w:tcW w:w="1920" w:type="dxa"/>
            <w:vAlign w:val="bottom"/>
          </w:tcPr>
          <w:p w:rsidR="000728AD" w:rsidRDefault="000561BE">
            <w:pPr>
              <w:ind w:right="184"/>
              <w:jc w:val="center"/>
              <w:rPr>
                <w:sz w:val="20"/>
                <w:szCs w:val="20"/>
              </w:rPr>
            </w:pPr>
            <w:r>
              <w:rPr>
                <w:rFonts w:ascii="Arial" w:eastAsia="Arial" w:hAnsi="Arial" w:cs="Arial"/>
                <w:b/>
                <w:bCs/>
                <w:w w:val="89"/>
                <w:sz w:val="18"/>
                <w:szCs w:val="18"/>
              </w:rPr>
              <w:t>Weighted Average</w:t>
            </w:r>
          </w:p>
        </w:tc>
        <w:tc>
          <w:tcPr>
            <w:tcW w:w="0" w:type="dxa"/>
            <w:vAlign w:val="bottom"/>
          </w:tcPr>
          <w:p w:rsidR="000728AD" w:rsidRDefault="000728AD">
            <w:pPr>
              <w:rPr>
                <w:sz w:val="1"/>
                <w:szCs w:val="1"/>
              </w:rPr>
            </w:pPr>
          </w:p>
        </w:tc>
      </w:tr>
      <w:tr w:rsidR="000728AD">
        <w:trPr>
          <w:trHeight w:val="176"/>
        </w:trPr>
        <w:tc>
          <w:tcPr>
            <w:tcW w:w="5740" w:type="dxa"/>
            <w:vAlign w:val="bottom"/>
          </w:tcPr>
          <w:p w:rsidR="000728AD" w:rsidRDefault="000728AD">
            <w:pPr>
              <w:rPr>
                <w:sz w:val="15"/>
                <w:szCs w:val="15"/>
              </w:rPr>
            </w:pPr>
          </w:p>
        </w:tc>
        <w:tc>
          <w:tcPr>
            <w:tcW w:w="1960" w:type="dxa"/>
            <w:gridSpan w:val="2"/>
            <w:vMerge w:val="restart"/>
            <w:vAlign w:val="bottom"/>
          </w:tcPr>
          <w:p w:rsidR="000728AD" w:rsidRDefault="000561BE">
            <w:pPr>
              <w:ind w:left="220"/>
              <w:rPr>
                <w:sz w:val="20"/>
                <w:szCs w:val="20"/>
              </w:rPr>
            </w:pPr>
            <w:r>
              <w:rPr>
                <w:rFonts w:ascii="Arial" w:eastAsia="Arial" w:hAnsi="Arial" w:cs="Arial"/>
                <w:b/>
                <w:bCs/>
                <w:sz w:val="18"/>
                <w:szCs w:val="18"/>
              </w:rPr>
              <w:t>Number of Shares</w:t>
            </w:r>
          </w:p>
        </w:tc>
        <w:tc>
          <w:tcPr>
            <w:tcW w:w="240" w:type="dxa"/>
            <w:vAlign w:val="bottom"/>
          </w:tcPr>
          <w:p w:rsidR="000728AD" w:rsidRDefault="000728AD">
            <w:pPr>
              <w:rPr>
                <w:sz w:val="15"/>
                <w:szCs w:val="15"/>
              </w:rPr>
            </w:pPr>
          </w:p>
        </w:tc>
        <w:tc>
          <w:tcPr>
            <w:tcW w:w="1920" w:type="dxa"/>
            <w:vAlign w:val="bottom"/>
          </w:tcPr>
          <w:p w:rsidR="000728AD" w:rsidRDefault="000561BE">
            <w:pPr>
              <w:spacing w:line="176" w:lineRule="exact"/>
              <w:ind w:right="184"/>
              <w:jc w:val="center"/>
              <w:rPr>
                <w:sz w:val="20"/>
                <w:szCs w:val="20"/>
              </w:rPr>
            </w:pPr>
            <w:r>
              <w:rPr>
                <w:rFonts w:ascii="Arial" w:eastAsia="Arial" w:hAnsi="Arial" w:cs="Arial"/>
                <w:b/>
                <w:bCs/>
                <w:w w:val="95"/>
                <w:sz w:val="18"/>
                <w:szCs w:val="18"/>
              </w:rPr>
              <w:t>Grant Date Fair</w:t>
            </w:r>
          </w:p>
        </w:tc>
        <w:tc>
          <w:tcPr>
            <w:tcW w:w="0" w:type="dxa"/>
            <w:vAlign w:val="bottom"/>
          </w:tcPr>
          <w:p w:rsidR="000728AD" w:rsidRDefault="000728AD">
            <w:pPr>
              <w:rPr>
                <w:sz w:val="1"/>
                <w:szCs w:val="1"/>
              </w:rPr>
            </w:pPr>
          </w:p>
        </w:tc>
      </w:tr>
      <w:tr w:rsidR="000728AD">
        <w:trPr>
          <w:trHeight w:val="229"/>
        </w:trPr>
        <w:tc>
          <w:tcPr>
            <w:tcW w:w="5740" w:type="dxa"/>
            <w:vAlign w:val="bottom"/>
          </w:tcPr>
          <w:p w:rsidR="000728AD" w:rsidRDefault="000728AD">
            <w:pPr>
              <w:rPr>
                <w:sz w:val="19"/>
                <w:szCs w:val="19"/>
              </w:rPr>
            </w:pPr>
          </w:p>
        </w:tc>
        <w:tc>
          <w:tcPr>
            <w:tcW w:w="1960" w:type="dxa"/>
            <w:gridSpan w:val="2"/>
            <w:vMerge/>
            <w:vAlign w:val="bottom"/>
          </w:tcPr>
          <w:p w:rsidR="000728AD" w:rsidRDefault="000728AD">
            <w:pPr>
              <w:rPr>
                <w:sz w:val="19"/>
                <w:szCs w:val="19"/>
              </w:rPr>
            </w:pPr>
          </w:p>
        </w:tc>
        <w:tc>
          <w:tcPr>
            <w:tcW w:w="240" w:type="dxa"/>
            <w:vAlign w:val="bottom"/>
          </w:tcPr>
          <w:p w:rsidR="000728AD" w:rsidRDefault="000728AD">
            <w:pPr>
              <w:rPr>
                <w:sz w:val="19"/>
                <w:szCs w:val="19"/>
              </w:rPr>
            </w:pPr>
          </w:p>
        </w:tc>
        <w:tc>
          <w:tcPr>
            <w:tcW w:w="1920" w:type="dxa"/>
            <w:vAlign w:val="bottom"/>
          </w:tcPr>
          <w:p w:rsidR="000728AD" w:rsidRDefault="000561BE">
            <w:pPr>
              <w:ind w:right="144"/>
              <w:jc w:val="center"/>
              <w:rPr>
                <w:sz w:val="20"/>
                <w:szCs w:val="20"/>
              </w:rPr>
            </w:pPr>
            <w:r>
              <w:rPr>
                <w:rFonts w:ascii="Arial" w:eastAsia="Arial" w:hAnsi="Arial" w:cs="Arial"/>
                <w:b/>
                <w:bCs/>
                <w:w w:val="91"/>
                <w:sz w:val="18"/>
                <w:szCs w:val="18"/>
              </w:rPr>
              <w:t>Value per Share</w:t>
            </w:r>
          </w:p>
        </w:tc>
        <w:tc>
          <w:tcPr>
            <w:tcW w:w="0" w:type="dxa"/>
            <w:vAlign w:val="bottom"/>
          </w:tcPr>
          <w:p w:rsidR="000728AD" w:rsidRDefault="000728AD">
            <w:pPr>
              <w:rPr>
                <w:sz w:val="1"/>
                <w:szCs w:val="1"/>
              </w:rPr>
            </w:pPr>
          </w:p>
        </w:tc>
      </w:tr>
      <w:tr w:rsidR="000728AD">
        <w:trPr>
          <w:trHeight w:val="263"/>
        </w:trPr>
        <w:tc>
          <w:tcPr>
            <w:tcW w:w="5740" w:type="dxa"/>
            <w:tcBorders>
              <w:top w:val="single" w:sz="8" w:space="0" w:color="CCEEFF"/>
            </w:tcBorders>
            <w:shd w:val="clear" w:color="auto" w:fill="CCEEFF"/>
            <w:vAlign w:val="bottom"/>
          </w:tcPr>
          <w:p w:rsidR="000728AD" w:rsidRDefault="000561BE">
            <w:pPr>
              <w:rPr>
                <w:sz w:val="20"/>
                <w:szCs w:val="20"/>
              </w:rPr>
            </w:pPr>
            <w:r>
              <w:rPr>
                <w:rFonts w:ascii="Arial" w:eastAsia="Arial" w:hAnsi="Arial" w:cs="Arial"/>
                <w:sz w:val="20"/>
                <w:szCs w:val="20"/>
              </w:rPr>
              <w:t>Outstanding as of January 1, 2021</w:t>
            </w:r>
          </w:p>
        </w:tc>
        <w:tc>
          <w:tcPr>
            <w:tcW w:w="1860" w:type="dxa"/>
            <w:tcBorders>
              <w:top w:val="single" w:sz="8" w:space="0" w:color="auto"/>
            </w:tcBorders>
            <w:shd w:val="clear" w:color="auto" w:fill="CCEEFF"/>
            <w:vAlign w:val="bottom"/>
          </w:tcPr>
          <w:p w:rsidR="000728AD" w:rsidRDefault="000561BE">
            <w:pPr>
              <w:ind w:left="1140"/>
              <w:rPr>
                <w:sz w:val="20"/>
                <w:szCs w:val="20"/>
              </w:rPr>
            </w:pPr>
            <w:r>
              <w:rPr>
                <w:rFonts w:ascii="Arial" w:eastAsia="Arial" w:hAnsi="Arial" w:cs="Arial"/>
                <w:w w:val="96"/>
                <w:sz w:val="20"/>
                <w:szCs w:val="20"/>
              </w:rPr>
              <w:t>347,587</w:t>
            </w:r>
          </w:p>
        </w:tc>
        <w:tc>
          <w:tcPr>
            <w:tcW w:w="100" w:type="dxa"/>
            <w:tcBorders>
              <w:top w:val="single" w:sz="8" w:space="0" w:color="CCEEFF"/>
            </w:tcBorders>
            <w:shd w:val="clear" w:color="auto" w:fill="CCEEFF"/>
            <w:vAlign w:val="bottom"/>
          </w:tcPr>
          <w:p w:rsidR="000728AD" w:rsidRDefault="000728AD"/>
        </w:tc>
        <w:tc>
          <w:tcPr>
            <w:tcW w:w="240" w:type="dxa"/>
            <w:tcBorders>
              <w:top w:val="single" w:sz="8" w:space="0" w:color="auto"/>
            </w:tcBorders>
            <w:shd w:val="clear" w:color="auto" w:fill="CCEEFF"/>
            <w:vAlign w:val="bottom"/>
          </w:tcPr>
          <w:p w:rsidR="000728AD" w:rsidRDefault="000561BE">
            <w:pPr>
              <w:ind w:right="21"/>
              <w:jc w:val="right"/>
              <w:rPr>
                <w:sz w:val="20"/>
                <w:szCs w:val="20"/>
              </w:rPr>
            </w:pPr>
            <w:r>
              <w:rPr>
                <w:rFonts w:ascii="Arial" w:eastAsia="Arial" w:hAnsi="Arial" w:cs="Arial"/>
                <w:w w:val="89"/>
                <w:sz w:val="20"/>
                <w:szCs w:val="20"/>
              </w:rPr>
              <w:t>$</w:t>
            </w:r>
          </w:p>
        </w:tc>
        <w:tc>
          <w:tcPr>
            <w:tcW w:w="1920" w:type="dxa"/>
            <w:tcBorders>
              <w:top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4.04</w:t>
            </w:r>
          </w:p>
        </w:tc>
        <w:tc>
          <w:tcPr>
            <w:tcW w:w="0" w:type="dxa"/>
            <w:vAlign w:val="bottom"/>
          </w:tcPr>
          <w:p w:rsidR="000728AD" w:rsidRDefault="000728AD">
            <w:pPr>
              <w:rPr>
                <w:sz w:val="1"/>
                <w:szCs w:val="1"/>
              </w:rPr>
            </w:pPr>
          </w:p>
        </w:tc>
      </w:tr>
      <w:tr w:rsidR="000728AD">
        <w:trPr>
          <w:trHeight w:val="243"/>
        </w:trPr>
        <w:tc>
          <w:tcPr>
            <w:tcW w:w="5740" w:type="dxa"/>
            <w:vAlign w:val="bottom"/>
          </w:tcPr>
          <w:p w:rsidR="000728AD" w:rsidRDefault="000561BE">
            <w:pPr>
              <w:ind w:left="220"/>
              <w:rPr>
                <w:sz w:val="20"/>
                <w:szCs w:val="20"/>
              </w:rPr>
            </w:pPr>
            <w:r>
              <w:rPr>
                <w:rFonts w:ascii="Arial" w:eastAsia="Arial" w:hAnsi="Arial" w:cs="Arial"/>
                <w:sz w:val="20"/>
                <w:szCs w:val="20"/>
              </w:rPr>
              <w:t>Granted</w:t>
            </w:r>
          </w:p>
        </w:tc>
        <w:tc>
          <w:tcPr>
            <w:tcW w:w="1860" w:type="dxa"/>
            <w:vAlign w:val="bottom"/>
          </w:tcPr>
          <w:p w:rsidR="000728AD" w:rsidRDefault="000561BE">
            <w:pPr>
              <w:ind w:left="1140"/>
              <w:rPr>
                <w:sz w:val="20"/>
                <w:szCs w:val="20"/>
              </w:rPr>
            </w:pPr>
            <w:r>
              <w:rPr>
                <w:rFonts w:ascii="Arial" w:eastAsia="Arial" w:hAnsi="Arial" w:cs="Arial"/>
                <w:w w:val="96"/>
                <w:sz w:val="20"/>
                <w:szCs w:val="20"/>
              </w:rPr>
              <w:t>120,916</w:t>
            </w:r>
          </w:p>
        </w:tc>
        <w:tc>
          <w:tcPr>
            <w:tcW w:w="100" w:type="dxa"/>
            <w:vAlign w:val="bottom"/>
          </w:tcPr>
          <w:p w:rsidR="000728AD" w:rsidRDefault="000728AD">
            <w:pPr>
              <w:rPr>
                <w:sz w:val="21"/>
                <w:szCs w:val="21"/>
              </w:rPr>
            </w:pPr>
          </w:p>
        </w:tc>
        <w:tc>
          <w:tcPr>
            <w:tcW w:w="240" w:type="dxa"/>
            <w:vAlign w:val="bottom"/>
          </w:tcPr>
          <w:p w:rsidR="000728AD" w:rsidRDefault="000728AD">
            <w:pPr>
              <w:rPr>
                <w:sz w:val="21"/>
                <w:szCs w:val="21"/>
              </w:rPr>
            </w:pPr>
          </w:p>
        </w:tc>
        <w:tc>
          <w:tcPr>
            <w:tcW w:w="1920" w:type="dxa"/>
            <w:vAlign w:val="bottom"/>
          </w:tcPr>
          <w:p w:rsidR="000728AD" w:rsidRDefault="000561BE">
            <w:pPr>
              <w:jc w:val="right"/>
              <w:rPr>
                <w:sz w:val="20"/>
                <w:szCs w:val="20"/>
              </w:rPr>
            </w:pPr>
            <w:r>
              <w:rPr>
                <w:rFonts w:ascii="Arial" w:eastAsia="Arial" w:hAnsi="Arial" w:cs="Arial"/>
                <w:sz w:val="20"/>
                <w:szCs w:val="20"/>
              </w:rPr>
              <w:t>6.41</w:t>
            </w:r>
          </w:p>
        </w:tc>
        <w:tc>
          <w:tcPr>
            <w:tcW w:w="0" w:type="dxa"/>
            <w:vAlign w:val="bottom"/>
          </w:tcPr>
          <w:p w:rsidR="000728AD" w:rsidRDefault="000728AD">
            <w:pPr>
              <w:rPr>
                <w:sz w:val="1"/>
                <w:szCs w:val="1"/>
              </w:rPr>
            </w:pPr>
          </w:p>
        </w:tc>
      </w:tr>
      <w:tr w:rsidR="000728AD">
        <w:trPr>
          <w:trHeight w:val="243"/>
        </w:trPr>
        <w:tc>
          <w:tcPr>
            <w:tcW w:w="5740" w:type="dxa"/>
            <w:shd w:val="clear" w:color="auto" w:fill="CCEEFF"/>
            <w:vAlign w:val="bottom"/>
          </w:tcPr>
          <w:p w:rsidR="000728AD" w:rsidRDefault="000561BE">
            <w:pPr>
              <w:ind w:left="220"/>
              <w:rPr>
                <w:sz w:val="20"/>
                <w:szCs w:val="20"/>
              </w:rPr>
            </w:pPr>
            <w:r>
              <w:rPr>
                <w:rFonts w:ascii="Arial" w:eastAsia="Arial" w:hAnsi="Arial" w:cs="Arial"/>
                <w:sz w:val="20"/>
                <w:szCs w:val="20"/>
              </w:rPr>
              <w:t>Vested</w:t>
            </w:r>
          </w:p>
        </w:tc>
        <w:tc>
          <w:tcPr>
            <w:tcW w:w="1860" w:type="dxa"/>
            <w:shd w:val="clear" w:color="auto" w:fill="CCEEFF"/>
            <w:vAlign w:val="bottom"/>
          </w:tcPr>
          <w:p w:rsidR="000728AD" w:rsidRDefault="000561BE">
            <w:pPr>
              <w:ind w:left="1140"/>
              <w:rPr>
                <w:sz w:val="20"/>
                <w:szCs w:val="20"/>
              </w:rPr>
            </w:pPr>
            <w:r>
              <w:rPr>
                <w:rFonts w:ascii="Arial" w:eastAsia="Arial" w:hAnsi="Arial" w:cs="Arial"/>
                <w:w w:val="93"/>
                <w:sz w:val="20"/>
                <w:szCs w:val="20"/>
              </w:rPr>
              <w:t>(64,604)</w:t>
            </w:r>
          </w:p>
        </w:tc>
        <w:tc>
          <w:tcPr>
            <w:tcW w:w="100" w:type="dxa"/>
            <w:shd w:val="clear" w:color="auto" w:fill="CCEEFF"/>
            <w:vAlign w:val="bottom"/>
          </w:tcPr>
          <w:p w:rsidR="000728AD" w:rsidRDefault="000728AD">
            <w:pPr>
              <w:rPr>
                <w:sz w:val="21"/>
                <w:szCs w:val="21"/>
              </w:rPr>
            </w:pPr>
          </w:p>
        </w:tc>
        <w:tc>
          <w:tcPr>
            <w:tcW w:w="240" w:type="dxa"/>
            <w:shd w:val="clear" w:color="auto" w:fill="CCEEFF"/>
            <w:vAlign w:val="bottom"/>
          </w:tcPr>
          <w:p w:rsidR="000728AD" w:rsidRDefault="000728AD">
            <w:pPr>
              <w:rPr>
                <w:sz w:val="21"/>
                <w:szCs w:val="21"/>
              </w:rPr>
            </w:pPr>
          </w:p>
        </w:tc>
        <w:tc>
          <w:tcPr>
            <w:tcW w:w="1920" w:type="dxa"/>
            <w:shd w:val="clear" w:color="auto" w:fill="CCEEFF"/>
            <w:vAlign w:val="bottom"/>
          </w:tcPr>
          <w:p w:rsidR="000728AD" w:rsidRDefault="000561BE">
            <w:pPr>
              <w:jc w:val="right"/>
              <w:rPr>
                <w:sz w:val="20"/>
                <w:szCs w:val="20"/>
              </w:rPr>
            </w:pPr>
            <w:r>
              <w:rPr>
                <w:rFonts w:ascii="Arial" w:eastAsia="Arial" w:hAnsi="Arial" w:cs="Arial"/>
                <w:sz w:val="20"/>
                <w:szCs w:val="20"/>
              </w:rPr>
              <w:t>5.01</w:t>
            </w:r>
          </w:p>
        </w:tc>
        <w:tc>
          <w:tcPr>
            <w:tcW w:w="0" w:type="dxa"/>
            <w:vAlign w:val="bottom"/>
          </w:tcPr>
          <w:p w:rsidR="000728AD" w:rsidRDefault="000728AD">
            <w:pPr>
              <w:rPr>
                <w:sz w:val="1"/>
                <w:szCs w:val="1"/>
              </w:rPr>
            </w:pPr>
          </w:p>
        </w:tc>
      </w:tr>
      <w:tr w:rsidR="000728AD">
        <w:trPr>
          <w:trHeight w:val="243"/>
        </w:trPr>
        <w:tc>
          <w:tcPr>
            <w:tcW w:w="5740" w:type="dxa"/>
            <w:tcBorders>
              <w:bottom w:val="single" w:sz="8" w:space="0" w:color="CCEEFF"/>
            </w:tcBorders>
            <w:vAlign w:val="bottom"/>
          </w:tcPr>
          <w:p w:rsidR="000728AD" w:rsidRDefault="000561BE">
            <w:pPr>
              <w:ind w:left="220"/>
              <w:rPr>
                <w:sz w:val="20"/>
                <w:szCs w:val="20"/>
              </w:rPr>
            </w:pPr>
            <w:r>
              <w:rPr>
                <w:rFonts w:ascii="Arial" w:eastAsia="Arial" w:hAnsi="Arial" w:cs="Arial"/>
                <w:sz w:val="20"/>
                <w:szCs w:val="20"/>
              </w:rPr>
              <w:t>Forfeited</w:t>
            </w:r>
          </w:p>
        </w:tc>
        <w:tc>
          <w:tcPr>
            <w:tcW w:w="1860" w:type="dxa"/>
            <w:tcBorders>
              <w:bottom w:val="single" w:sz="8" w:space="0" w:color="auto"/>
            </w:tcBorders>
            <w:vAlign w:val="bottom"/>
          </w:tcPr>
          <w:p w:rsidR="000728AD" w:rsidRDefault="000561BE">
            <w:pPr>
              <w:ind w:left="1140"/>
              <w:rPr>
                <w:sz w:val="20"/>
                <w:szCs w:val="20"/>
              </w:rPr>
            </w:pPr>
            <w:r>
              <w:rPr>
                <w:rFonts w:ascii="Arial" w:eastAsia="Arial" w:hAnsi="Arial" w:cs="Arial"/>
                <w:w w:val="93"/>
                <w:sz w:val="20"/>
                <w:szCs w:val="20"/>
              </w:rPr>
              <w:t>(46,386)</w:t>
            </w:r>
          </w:p>
        </w:tc>
        <w:tc>
          <w:tcPr>
            <w:tcW w:w="100" w:type="dxa"/>
            <w:tcBorders>
              <w:bottom w:val="single" w:sz="8" w:space="0" w:color="CCEEFF"/>
            </w:tcBorders>
            <w:vAlign w:val="bottom"/>
          </w:tcPr>
          <w:p w:rsidR="000728AD" w:rsidRDefault="000728AD">
            <w:pPr>
              <w:rPr>
                <w:sz w:val="21"/>
                <w:szCs w:val="21"/>
              </w:rPr>
            </w:pPr>
          </w:p>
        </w:tc>
        <w:tc>
          <w:tcPr>
            <w:tcW w:w="240" w:type="dxa"/>
            <w:tcBorders>
              <w:bottom w:val="single" w:sz="8" w:space="0" w:color="auto"/>
            </w:tcBorders>
            <w:vAlign w:val="bottom"/>
          </w:tcPr>
          <w:p w:rsidR="000728AD" w:rsidRDefault="000728AD">
            <w:pPr>
              <w:rPr>
                <w:sz w:val="21"/>
                <w:szCs w:val="21"/>
              </w:rPr>
            </w:pPr>
          </w:p>
        </w:tc>
        <w:tc>
          <w:tcPr>
            <w:tcW w:w="192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4.42</w:t>
            </w:r>
          </w:p>
        </w:tc>
        <w:tc>
          <w:tcPr>
            <w:tcW w:w="0" w:type="dxa"/>
            <w:vAlign w:val="bottom"/>
          </w:tcPr>
          <w:p w:rsidR="000728AD" w:rsidRDefault="000728AD">
            <w:pPr>
              <w:rPr>
                <w:sz w:val="1"/>
                <w:szCs w:val="1"/>
              </w:rPr>
            </w:pPr>
          </w:p>
        </w:tc>
      </w:tr>
      <w:tr w:rsidR="000728AD">
        <w:trPr>
          <w:trHeight w:val="262"/>
        </w:trPr>
        <w:tc>
          <w:tcPr>
            <w:tcW w:w="5740" w:type="dxa"/>
            <w:tcBorders>
              <w:bottom w:val="single" w:sz="8" w:space="0" w:color="CCEEFF"/>
            </w:tcBorders>
            <w:shd w:val="clear" w:color="auto" w:fill="CCEEFF"/>
            <w:vAlign w:val="bottom"/>
          </w:tcPr>
          <w:p w:rsidR="000728AD" w:rsidRDefault="000561BE">
            <w:pPr>
              <w:rPr>
                <w:sz w:val="20"/>
                <w:szCs w:val="20"/>
              </w:rPr>
            </w:pPr>
            <w:r>
              <w:rPr>
                <w:rFonts w:ascii="Arial" w:eastAsia="Arial" w:hAnsi="Arial" w:cs="Arial"/>
                <w:sz w:val="20"/>
                <w:szCs w:val="20"/>
              </w:rPr>
              <w:t>Outstanding as of June 30, 2021</w:t>
            </w:r>
          </w:p>
        </w:tc>
        <w:tc>
          <w:tcPr>
            <w:tcW w:w="1860" w:type="dxa"/>
            <w:tcBorders>
              <w:bottom w:val="single" w:sz="8" w:space="0" w:color="auto"/>
            </w:tcBorders>
            <w:shd w:val="clear" w:color="auto" w:fill="CCEEFF"/>
            <w:vAlign w:val="bottom"/>
          </w:tcPr>
          <w:p w:rsidR="000728AD" w:rsidRDefault="000561BE">
            <w:pPr>
              <w:ind w:left="1140"/>
              <w:rPr>
                <w:sz w:val="20"/>
                <w:szCs w:val="20"/>
              </w:rPr>
            </w:pPr>
            <w:r>
              <w:rPr>
                <w:rFonts w:ascii="Arial" w:eastAsia="Arial" w:hAnsi="Arial" w:cs="Arial"/>
                <w:w w:val="96"/>
                <w:sz w:val="20"/>
                <w:szCs w:val="20"/>
              </w:rPr>
              <w:t>357,513</w:t>
            </w:r>
          </w:p>
        </w:tc>
        <w:tc>
          <w:tcPr>
            <w:tcW w:w="100" w:type="dxa"/>
            <w:tcBorders>
              <w:bottom w:val="single" w:sz="8" w:space="0" w:color="CCEEFF"/>
            </w:tcBorders>
            <w:shd w:val="clear" w:color="auto" w:fill="CCEEFF"/>
            <w:vAlign w:val="bottom"/>
          </w:tcPr>
          <w:p w:rsidR="000728AD" w:rsidRDefault="000728AD"/>
        </w:tc>
        <w:tc>
          <w:tcPr>
            <w:tcW w:w="240" w:type="dxa"/>
            <w:tcBorders>
              <w:bottom w:val="single" w:sz="8" w:space="0" w:color="auto"/>
            </w:tcBorders>
            <w:shd w:val="clear" w:color="auto" w:fill="CCEEFF"/>
            <w:vAlign w:val="bottom"/>
          </w:tcPr>
          <w:p w:rsidR="000728AD" w:rsidRDefault="000561BE">
            <w:pPr>
              <w:ind w:right="21"/>
              <w:jc w:val="right"/>
              <w:rPr>
                <w:sz w:val="20"/>
                <w:szCs w:val="20"/>
              </w:rPr>
            </w:pPr>
            <w:r>
              <w:rPr>
                <w:rFonts w:ascii="Arial" w:eastAsia="Arial" w:hAnsi="Arial" w:cs="Arial"/>
                <w:w w:val="89"/>
                <w:sz w:val="20"/>
                <w:szCs w:val="20"/>
              </w:rPr>
              <w:t>$</w:t>
            </w:r>
          </w:p>
        </w:tc>
        <w:tc>
          <w:tcPr>
            <w:tcW w:w="192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4.62</w:t>
            </w:r>
          </w:p>
        </w:tc>
        <w:tc>
          <w:tcPr>
            <w:tcW w:w="0" w:type="dxa"/>
            <w:vAlign w:val="bottom"/>
          </w:tcPr>
          <w:p w:rsidR="000728AD" w:rsidRDefault="000728AD">
            <w:pPr>
              <w:rPr>
                <w:sz w:val="1"/>
                <w:szCs w:val="1"/>
              </w:rPr>
            </w:pPr>
          </w:p>
        </w:tc>
      </w:tr>
      <w:tr w:rsidR="000728AD">
        <w:trPr>
          <w:trHeight w:val="20"/>
        </w:trPr>
        <w:tc>
          <w:tcPr>
            <w:tcW w:w="5740" w:type="dxa"/>
            <w:tcBorders>
              <w:top w:val="single" w:sz="8" w:space="0" w:color="CCEEFF"/>
            </w:tcBorders>
            <w:vAlign w:val="bottom"/>
          </w:tcPr>
          <w:p w:rsidR="000728AD" w:rsidRDefault="000728AD">
            <w:pPr>
              <w:spacing w:line="20" w:lineRule="exact"/>
              <w:rPr>
                <w:sz w:val="1"/>
                <w:szCs w:val="1"/>
              </w:rPr>
            </w:pPr>
          </w:p>
        </w:tc>
        <w:tc>
          <w:tcPr>
            <w:tcW w:w="186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00" w:type="dxa"/>
            <w:tcBorders>
              <w:top w:val="single" w:sz="8" w:space="0" w:color="CCEEFF"/>
            </w:tcBorders>
            <w:vAlign w:val="bottom"/>
          </w:tcPr>
          <w:p w:rsidR="000728AD" w:rsidRDefault="000728AD">
            <w:pPr>
              <w:spacing w:line="20" w:lineRule="exact"/>
              <w:rPr>
                <w:sz w:val="1"/>
                <w:szCs w:val="1"/>
              </w:rPr>
            </w:pPr>
          </w:p>
        </w:tc>
        <w:tc>
          <w:tcPr>
            <w:tcW w:w="24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1920" w:type="dxa"/>
            <w:tcBorders>
              <w:top w:val="single" w:sz="8" w:space="0" w:color="CCEEFF"/>
              <w:bottom w:val="single" w:sz="8" w:space="0" w:color="auto"/>
            </w:tcBorders>
            <w:vAlign w:val="bottom"/>
          </w:tcPr>
          <w:p w:rsidR="000728AD" w:rsidRDefault="000728AD">
            <w:pPr>
              <w:spacing w:line="20" w:lineRule="exact"/>
              <w:rPr>
                <w:sz w:val="1"/>
                <w:szCs w:val="1"/>
              </w:rPr>
            </w:pPr>
          </w:p>
        </w:tc>
        <w:tc>
          <w:tcPr>
            <w:tcW w:w="0" w:type="dxa"/>
            <w:vAlign w:val="bottom"/>
          </w:tcPr>
          <w:p w:rsidR="000728AD" w:rsidRDefault="000728AD">
            <w:pPr>
              <w:spacing w:line="20" w:lineRule="exact"/>
              <w:rPr>
                <w:sz w:val="1"/>
                <w:szCs w:val="1"/>
              </w:rPr>
            </w:pPr>
          </w:p>
        </w:tc>
      </w:tr>
    </w:tbl>
    <w:p w:rsidR="000728AD" w:rsidRDefault="000728AD">
      <w:pPr>
        <w:spacing w:line="294" w:lineRule="exact"/>
        <w:rPr>
          <w:sz w:val="20"/>
          <w:szCs w:val="20"/>
        </w:rPr>
      </w:pPr>
    </w:p>
    <w:p w:rsidR="000728AD" w:rsidRDefault="000561BE">
      <w:pPr>
        <w:spacing w:line="260" w:lineRule="auto"/>
        <w:ind w:right="600"/>
        <w:rPr>
          <w:sz w:val="20"/>
          <w:szCs w:val="20"/>
        </w:rPr>
      </w:pPr>
      <w:r>
        <w:rPr>
          <w:rFonts w:ascii="Arial" w:eastAsia="Arial" w:hAnsi="Arial" w:cs="Arial"/>
          <w:sz w:val="20"/>
          <w:szCs w:val="20"/>
        </w:rPr>
        <w:t>As of June 30, 2021, there was $1.1 million of unrecognized compensation expense that is expected to be recognized over a weighted-average period of approximately 1.96 years.</w:t>
      </w:r>
    </w:p>
    <w:p w:rsidR="000728AD" w:rsidRDefault="000728AD">
      <w:pPr>
        <w:spacing w:line="225" w:lineRule="exact"/>
        <w:rPr>
          <w:sz w:val="20"/>
          <w:szCs w:val="20"/>
        </w:rPr>
      </w:pPr>
    </w:p>
    <w:p w:rsidR="000728AD" w:rsidRDefault="000561BE">
      <w:pPr>
        <w:rPr>
          <w:sz w:val="20"/>
          <w:szCs w:val="20"/>
        </w:rPr>
      </w:pPr>
      <w:r>
        <w:rPr>
          <w:rFonts w:ascii="Arial" w:eastAsia="Arial" w:hAnsi="Arial" w:cs="Arial"/>
          <w:b/>
          <w:bCs/>
          <w:sz w:val="20"/>
          <w:szCs w:val="20"/>
        </w:rPr>
        <w:t xml:space="preserve">9. NET LOSS PER </w:t>
      </w:r>
      <w:r>
        <w:rPr>
          <w:rFonts w:ascii="Arial" w:eastAsia="Arial" w:hAnsi="Arial" w:cs="Arial"/>
          <w:b/>
          <w:bCs/>
          <w:sz w:val="20"/>
          <w:szCs w:val="20"/>
        </w:rPr>
        <w:t>SHARE</w:t>
      </w:r>
    </w:p>
    <w:p w:rsidR="000728AD" w:rsidRDefault="000728AD">
      <w:pPr>
        <w:spacing w:line="276" w:lineRule="exact"/>
        <w:rPr>
          <w:sz w:val="20"/>
          <w:szCs w:val="20"/>
        </w:rPr>
      </w:pPr>
    </w:p>
    <w:p w:rsidR="000728AD" w:rsidRDefault="000561BE">
      <w:pPr>
        <w:spacing w:line="250" w:lineRule="auto"/>
        <w:ind w:right="200"/>
        <w:rPr>
          <w:sz w:val="20"/>
          <w:szCs w:val="20"/>
        </w:rPr>
      </w:pPr>
      <w:r>
        <w:rPr>
          <w:rFonts w:ascii="Arial" w:eastAsia="Arial" w:hAnsi="Arial" w:cs="Arial"/>
          <w:sz w:val="20"/>
          <w:szCs w:val="20"/>
        </w:rPr>
        <w:t>The Company excluded the following potential common shares, presented based on amounts outstanding at each period end, from the computation of diluted net loss per share attributable to common stockholders for the periods indicated because including</w:t>
      </w:r>
      <w:r>
        <w:rPr>
          <w:rFonts w:ascii="Arial" w:eastAsia="Arial" w:hAnsi="Arial" w:cs="Arial"/>
          <w:sz w:val="20"/>
          <w:szCs w:val="20"/>
        </w:rPr>
        <w:t xml:space="preserve"> them would have had an anti-dilutive effect:</w:t>
      </w:r>
    </w:p>
    <w:p w:rsidR="000728AD" w:rsidRDefault="000728AD">
      <w:pPr>
        <w:spacing w:line="213" w:lineRule="exact"/>
        <w:rPr>
          <w:sz w:val="20"/>
          <w:szCs w:val="20"/>
        </w:rPr>
      </w:pPr>
    </w:p>
    <w:p w:rsidR="000728AD" w:rsidRDefault="000561BE">
      <w:pPr>
        <w:ind w:left="8080"/>
        <w:jc w:val="center"/>
        <w:rPr>
          <w:sz w:val="20"/>
          <w:szCs w:val="20"/>
        </w:rPr>
      </w:pPr>
      <w:r>
        <w:rPr>
          <w:rFonts w:ascii="Arial" w:eastAsia="Arial" w:hAnsi="Arial" w:cs="Arial"/>
          <w:b/>
          <w:bCs/>
          <w:sz w:val="18"/>
          <w:szCs w:val="18"/>
        </w:rPr>
        <w:t>Six Months Ended</w:t>
      </w:r>
    </w:p>
    <w:p w:rsidR="000728AD" w:rsidRDefault="000561BE">
      <w:pPr>
        <w:ind w:left="8080"/>
        <w:jc w:val="center"/>
        <w:rPr>
          <w:sz w:val="20"/>
          <w:szCs w:val="20"/>
        </w:rPr>
      </w:pPr>
      <w:r>
        <w:rPr>
          <w:rFonts w:ascii="Arial" w:eastAsia="Arial" w:hAnsi="Arial" w:cs="Arial"/>
          <w:b/>
          <w:bCs/>
          <w:sz w:val="18"/>
          <w:szCs w:val="18"/>
        </w:rPr>
        <w:t>June 30,</w:t>
      </w:r>
    </w:p>
    <w:p w:rsidR="000728AD" w:rsidRDefault="000728AD">
      <w:pPr>
        <w:spacing w:line="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100"/>
        <w:gridCol w:w="1520"/>
        <w:gridCol w:w="100"/>
        <w:gridCol w:w="1520"/>
      </w:tblGrid>
      <w:tr w:rsidR="000728AD">
        <w:trPr>
          <w:trHeight w:val="223"/>
        </w:trPr>
        <w:tc>
          <w:tcPr>
            <w:tcW w:w="8100" w:type="dxa"/>
            <w:tcBorders>
              <w:bottom w:val="single" w:sz="8" w:space="0" w:color="CCEEFF"/>
            </w:tcBorders>
            <w:vAlign w:val="bottom"/>
          </w:tcPr>
          <w:p w:rsidR="000728AD" w:rsidRDefault="000728AD">
            <w:pPr>
              <w:rPr>
                <w:sz w:val="19"/>
                <w:szCs w:val="19"/>
              </w:rPr>
            </w:pPr>
          </w:p>
        </w:tc>
        <w:tc>
          <w:tcPr>
            <w:tcW w:w="1520" w:type="dxa"/>
            <w:tcBorders>
              <w:top w:val="single" w:sz="8" w:space="0" w:color="auto"/>
              <w:bottom w:val="single" w:sz="8" w:space="0" w:color="auto"/>
            </w:tcBorders>
            <w:vAlign w:val="bottom"/>
          </w:tcPr>
          <w:p w:rsidR="000728AD" w:rsidRDefault="000561BE">
            <w:pPr>
              <w:ind w:right="483"/>
              <w:jc w:val="right"/>
              <w:rPr>
                <w:sz w:val="20"/>
                <w:szCs w:val="20"/>
              </w:rPr>
            </w:pPr>
            <w:r>
              <w:rPr>
                <w:rFonts w:ascii="Arial" w:eastAsia="Arial" w:hAnsi="Arial" w:cs="Arial"/>
                <w:b/>
                <w:bCs/>
                <w:sz w:val="18"/>
                <w:szCs w:val="18"/>
              </w:rPr>
              <w:t>2021</w:t>
            </w:r>
          </w:p>
        </w:tc>
        <w:tc>
          <w:tcPr>
            <w:tcW w:w="100" w:type="dxa"/>
            <w:tcBorders>
              <w:top w:val="single" w:sz="8" w:space="0" w:color="auto"/>
              <w:bottom w:val="single" w:sz="8" w:space="0" w:color="CCEEFF"/>
            </w:tcBorders>
            <w:vAlign w:val="bottom"/>
          </w:tcPr>
          <w:p w:rsidR="000728AD" w:rsidRDefault="000728AD">
            <w:pPr>
              <w:rPr>
                <w:sz w:val="19"/>
                <w:szCs w:val="19"/>
              </w:rPr>
            </w:pPr>
          </w:p>
        </w:tc>
        <w:tc>
          <w:tcPr>
            <w:tcW w:w="1520" w:type="dxa"/>
            <w:tcBorders>
              <w:top w:val="single" w:sz="8" w:space="0" w:color="auto"/>
              <w:bottom w:val="single" w:sz="8" w:space="0" w:color="auto"/>
            </w:tcBorders>
            <w:vAlign w:val="bottom"/>
          </w:tcPr>
          <w:p w:rsidR="000728AD" w:rsidRDefault="000561BE">
            <w:pPr>
              <w:ind w:right="483"/>
              <w:jc w:val="right"/>
              <w:rPr>
                <w:sz w:val="20"/>
                <w:szCs w:val="20"/>
              </w:rPr>
            </w:pPr>
            <w:r>
              <w:rPr>
                <w:rFonts w:ascii="Arial" w:eastAsia="Arial" w:hAnsi="Arial" w:cs="Arial"/>
                <w:b/>
                <w:bCs/>
                <w:sz w:val="18"/>
                <w:szCs w:val="18"/>
              </w:rPr>
              <w:t>2020</w:t>
            </w:r>
          </w:p>
        </w:tc>
      </w:tr>
      <w:tr w:rsidR="000728AD">
        <w:trPr>
          <w:trHeight w:val="236"/>
        </w:trPr>
        <w:tc>
          <w:tcPr>
            <w:tcW w:w="8100" w:type="dxa"/>
            <w:shd w:val="clear" w:color="auto" w:fill="CCEEFF"/>
            <w:vAlign w:val="bottom"/>
          </w:tcPr>
          <w:p w:rsidR="000728AD" w:rsidRDefault="000561BE">
            <w:pPr>
              <w:ind w:left="20"/>
              <w:rPr>
                <w:sz w:val="20"/>
                <w:szCs w:val="20"/>
              </w:rPr>
            </w:pPr>
            <w:r>
              <w:rPr>
                <w:rFonts w:ascii="Arial" w:eastAsia="Arial" w:hAnsi="Arial" w:cs="Arial"/>
                <w:sz w:val="20"/>
                <w:szCs w:val="20"/>
              </w:rPr>
              <w:t>Options to purchase common stock</w:t>
            </w:r>
          </w:p>
        </w:tc>
        <w:tc>
          <w:tcPr>
            <w:tcW w:w="1520" w:type="dxa"/>
            <w:shd w:val="clear" w:color="auto" w:fill="CCEEFF"/>
            <w:vAlign w:val="bottom"/>
          </w:tcPr>
          <w:p w:rsidR="000728AD" w:rsidRDefault="000561BE">
            <w:pPr>
              <w:jc w:val="right"/>
              <w:rPr>
                <w:sz w:val="20"/>
                <w:szCs w:val="20"/>
              </w:rPr>
            </w:pPr>
            <w:r>
              <w:rPr>
                <w:rFonts w:ascii="Arial" w:eastAsia="Arial" w:hAnsi="Arial" w:cs="Arial"/>
                <w:sz w:val="20"/>
                <w:szCs w:val="20"/>
              </w:rPr>
              <w:t>6,135,310</w:t>
            </w:r>
          </w:p>
        </w:tc>
        <w:tc>
          <w:tcPr>
            <w:tcW w:w="100" w:type="dxa"/>
            <w:shd w:val="clear" w:color="auto" w:fill="CCEEFF"/>
            <w:vAlign w:val="bottom"/>
          </w:tcPr>
          <w:p w:rsidR="000728AD" w:rsidRDefault="000728AD">
            <w:pPr>
              <w:rPr>
                <w:sz w:val="20"/>
                <w:szCs w:val="20"/>
              </w:rPr>
            </w:pPr>
          </w:p>
        </w:tc>
        <w:tc>
          <w:tcPr>
            <w:tcW w:w="1520" w:type="dxa"/>
            <w:shd w:val="clear" w:color="auto" w:fill="CCEEFF"/>
            <w:vAlign w:val="bottom"/>
          </w:tcPr>
          <w:p w:rsidR="000728AD" w:rsidRDefault="000561BE">
            <w:pPr>
              <w:jc w:val="right"/>
              <w:rPr>
                <w:sz w:val="20"/>
                <w:szCs w:val="20"/>
              </w:rPr>
            </w:pPr>
            <w:r>
              <w:rPr>
                <w:rFonts w:ascii="Arial" w:eastAsia="Arial" w:hAnsi="Arial" w:cs="Arial"/>
                <w:sz w:val="20"/>
                <w:szCs w:val="20"/>
              </w:rPr>
              <w:t>5,395,780</w:t>
            </w:r>
          </w:p>
        </w:tc>
      </w:tr>
      <w:tr w:rsidR="000728AD">
        <w:trPr>
          <w:trHeight w:val="243"/>
        </w:trPr>
        <w:tc>
          <w:tcPr>
            <w:tcW w:w="8100" w:type="dxa"/>
            <w:vAlign w:val="bottom"/>
          </w:tcPr>
          <w:p w:rsidR="000728AD" w:rsidRDefault="000561BE">
            <w:pPr>
              <w:ind w:left="20"/>
              <w:rPr>
                <w:sz w:val="20"/>
                <w:szCs w:val="20"/>
              </w:rPr>
            </w:pPr>
            <w:r>
              <w:rPr>
                <w:rFonts w:ascii="Arial" w:eastAsia="Arial" w:hAnsi="Arial" w:cs="Arial"/>
                <w:sz w:val="20"/>
                <w:szCs w:val="20"/>
              </w:rPr>
              <w:t>Unvested restricted stock units</w:t>
            </w:r>
          </w:p>
        </w:tc>
        <w:tc>
          <w:tcPr>
            <w:tcW w:w="1520" w:type="dxa"/>
            <w:vAlign w:val="bottom"/>
          </w:tcPr>
          <w:p w:rsidR="000728AD" w:rsidRDefault="000561BE">
            <w:pPr>
              <w:jc w:val="right"/>
              <w:rPr>
                <w:sz w:val="20"/>
                <w:szCs w:val="20"/>
              </w:rPr>
            </w:pPr>
            <w:r>
              <w:rPr>
                <w:rFonts w:ascii="Arial" w:eastAsia="Arial" w:hAnsi="Arial" w:cs="Arial"/>
                <w:sz w:val="20"/>
                <w:szCs w:val="20"/>
              </w:rPr>
              <w:t>357,513</w:t>
            </w:r>
          </w:p>
        </w:tc>
        <w:tc>
          <w:tcPr>
            <w:tcW w:w="100" w:type="dxa"/>
            <w:vAlign w:val="bottom"/>
          </w:tcPr>
          <w:p w:rsidR="000728AD" w:rsidRDefault="000728AD">
            <w:pPr>
              <w:rPr>
                <w:sz w:val="21"/>
                <w:szCs w:val="21"/>
              </w:rPr>
            </w:pPr>
          </w:p>
        </w:tc>
        <w:tc>
          <w:tcPr>
            <w:tcW w:w="1520" w:type="dxa"/>
            <w:vAlign w:val="bottom"/>
          </w:tcPr>
          <w:p w:rsidR="000728AD" w:rsidRDefault="000561BE">
            <w:pPr>
              <w:jc w:val="right"/>
              <w:rPr>
                <w:sz w:val="20"/>
                <w:szCs w:val="20"/>
              </w:rPr>
            </w:pPr>
            <w:r>
              <w:rPr>
                <w:rFonts w:ascii="Arial" w:eastAsia="Arial" w:hAnsi="Arial" w:cs="Arial"/>
                <w:sz w:val="20"/>
                <w:szCs w:val="20"/>
              </w:rPr>
              <w:t>121,397</w:t>
            </w:r>
          </w:p>
        </w:tc>
      </w:tr>
      <w:tr w:rsidR="000728AD">
        <w:trPr>
          <w:trHeight w:val="243"/>
        </w:trPr>
        <w:tc>
          <w:tcPr>
            <w:tcW w:w="8100" w:type="dxa"/>
            <w:shd w:val="clear" w:color="auto" w:fill="CCEEFF"/>
            <w:vAlign w:val="bottom"/>
          </w:tcPr>
          <w:p w:rsidR="000728AD" w:rsidRDefault="000561BE">
            <w:pPr>
              <w:ind w:left="20"/>
              <w:rPr>
                <w:sz w:val="20"/>
                <w:szCs w:val="20"/>
              </w:rPr>
            </w:pPr>
            <w:r>
              <w:rPr>
                <w:rFonts w:ascii="Arial" w:eastAsia="Arial" w:hAnsi="Arial" w:cs="Arial"/>
                <w:sz w:val="20"/>
                <w:szCs w:val="20"/>
              </w:rPr>
              <w:t>Shares issuable under employee stock purchase plan</w:t>
            </w:r>
          </w:p>
        </w:tc>
        <w:tc>
          <w:tcPr>
            <w:tcW w:w="152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8,280</w:t>
            </w:r>
          </w:p>
        </w:tc>
        <w:tc>
          <w:tcPr>
            <w:tcW w:w="100" w:type="dxa"/>
            <w:shd w:val="clear" w:color="auto" w:fill="CCEEFF"/>
            <w:vAlign w:val="bottom"/>
          </w:tcPr>
          <w:p w:rsidR="000728AD" w:rsidRDefault="000728AD">
            <w:pPr>
              <w:rPr>
                <w:sz w:val="21"/>
                <w:szCs w:val="21"/>
              </w:rPr>
            </w:pPr>
          </w:p>
        </w:tc>
        <w:tc>
          <w:tcPr>
            <w:tcW w:w="152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w:t>
            </w:r>
          </w:p>
        </w:tc>
      </w:tr>
      <w:tr w:rsidR="000728AD">
        <w:trPr>
          <w:trHeight w:val="236"/>
        </w:trPr>
        <w:tc>
          <w:tcPr>
            <w:tcW w:w="8100" w:type="dxa"/>
            <w:vAlign w:val="bottom"/>
          </w:tcPr>
          <w:p w:rsidR="000728AD" w:rsidRDefault="000728AD">
            <w:pPr>
              <w:rPr>
                <w:sz w:val="20"/>
                <w:szCs w:val="20"/>
              </w:rPr>
            </w:pPr>
          </w:p>
        </w:tc>
        <w:tc>
          <w:tcPr>
            <w:tcW w:w="152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6,501,103</w:t>
            </w:r>
          </w:p>
        </w:tc>
        <w:tc>
          <w:tcPr>
            <w:tcW w:w="100" w:type="dxa"/>
            <w:vAlign w:val="bottom"/>
          </w:tcPr>
          <w:p w:rsidR="000728AD" w:rsidRDefault="000728AD">
            <w:pPr>
              <w:rPr>
                <w:sz w:val="20"/>
                <w:szCs w:val="20"/>
              </w:rPr>
            </w:pPr>
          </w:p>
        </w:tc>
        <w:tc>
          <w:tcPr>
            <w:tcW w:w="152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5,517,177</w:t>
            </w:r>
          </w:p>
        </w:tc>
      </w:tr>
      <w:tr w:rsidR="000728AD">
        <w:trPr>
          <w:trHeight w:val="20"/>
        </w:trPr>
        <w:tc>
          <w:tcPr>
            <w:tcW w:w="8100" w:type="dxa"/>
            <w:vAlign w:val="bottom"/>
          </w:tcPr>
          <w:p w:rsidR="000728AD" w:rsidRDefault="000728AD">
            <w:pPr>
              <w:spacing w:line="20" w:lineRule="exact"/>
              <w:rPr>
                <w:sz w:val="1"/>
                <w:szCs w:val="1"/>
              </w:rPr>
            </w:pPr>
          </w:p>
        </w:tc>
        <w:tc>
          <w:tcPr>
            <w:tcW w:w="1520" w:type="dxa"/>
            <w:tcBorders>
              <w:bottom w:val="single" w:sz="8" w:space="0" w:color="auto"/>
            </w:tcBorders>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1520" w:type="dxa"/>
            <w:tcBorders>
              <w:bottom w:val="single" w:sz="8" w:space="0" w:color="auto"/>
            </w:tcBorders>
            <w:vAlign w:val="bottom"/>
          </w:tcPr>
          <w:p w:rsidR="000728AD" w:rsidRDefault="000728AD">
            <w:pPr>
              <w:spacing w:line="20" w:lineRule="exact"/>
              <w:rPr>
                <w:sz w:val="1"/>
                <w:szCs w:val="1"/>
              </w:rPr>
            </w:pPr>
          </w:p>
        </w:tc>
      </w:tr>
    </w:tbl>
    <w:p w:rsidR="000728AD" w:rsidRDefault="000728AD">
      <w:pPr>
        <w:spacing w:line="58" w:lineRule="exact"/>
        <w:rPr>
          <w:sz w:val="20"/>
          <w:szCs w:val="20"/>
        </w:rPr>
      </w:pPr>
    </w:p>
    <w:p w:rsidR="000728AD" w:rsidRDefault="000561BE">
      <w:pPr>
        <w:rPr>
          <w:sz w:val="20"/>
          <w:szCs w:val="20"/>
        </w:rPr>
      </w:pPr>
      <w:r>
        <w:rPr>
          <w:rFonts w:ascii="Arial" w:eastAsia="Arial" w:hAnsi="Arial" w:cs="Arial"/>
          <w:b/>
          <w:bCs/>
          <w:sz w:val="20"/>
          <w:szCs w:val="20"/>
        </w:rPr>
        <w:t>10. COMMITMENTS AND CONTINGENCIES</w:t>
      </w:r>
    </w:p>
    <w:p w:rsidR="000728AD" w:rsidRDefault="000728AD">
      <w:pPr>
        <w:spacing w:line="222" w:lineRule="exact"/>
        <w:rPr>
          <w:sz w:val="20"/>
          <w:szCs w:val="20"/>
        </w:rPr>
      </w:pPr>
    </w:p>
    <w:p w:rsidR="000728AD" w:rsidRDefault="000561BE">
      <w:pPr>
        <w:rPr>
          <w:sz w:val="20"/>
          <w:szCs w:val="20"/>
        </w:rPr>
      </w:pPr>
      <w:r>
        <w:rPr>
          <w:rFonts w:ascii="Arial" w:eastAsia="Arial" w:hAnsi="Arial" w:cs="Arial"/>
          <w:b/>
          <w:bCs/>
          <w:i/>
          <w:iCs/>
          <w:sz w:val="20"/>
          <w:szCs w:val="20"/>
        </w:rPr>
        <w:t>Other Commitments</w:t>
      </w:r>
    </w:p>
    <w:p w:rsidR="000728AD" w:rsidRDefault="000728AD">
      <w:pPr>
        <w:spacing w:line="216" w:lineRule="exact"/>
        <w:rPr>
          <w:sz w:val="20"/>
          <w:szCs w:val="20"/>
        </w:rPr>
      </w:pPr>
    </w:p>
    <w:p w:rsidR="000728AD" w:rsidRDefault="000561BE">
      <w:pPr>
        <w:spacing w:line="244" w:lineRule="auto"/>
        <w:ind w:right="20"/>
        <w:rPr>
          <w:sz w:val="20"/>
          <w:szCs w:val="20"/>
        </w:rPr>
      </w:pPr>
      <w:r>
        <w:rPr>
          <w:rFonts w:ascii="Arial" w:eastAsia="Arial" w:hAnsi="Arial" w:cs="Arial"/>
          <w:sz w:val="20"/>
          <w:szCs w:val="20"/>
        </w:rPr>
        <w:t xml:space="preserve">We enter into contracts in the normal course of business with contract research organizations ("CROs"), contract manufacturing organizations ("CMOs") and other third </w:t>
      </w:r>
      <w:r>
        <w:rPr>
          <w:rFonts w:ascii="Arial" w:eastAsia="Arial" w:hAnsi="Arial" w:cs="Arial"/>
          <w:sz w:val="20"/>
          <w:szCs w:val="20"/>
        </w:rPr>
        <w:t>parties for preclinical research studies, Clinical Studies, Clinical Trials and testing and manufacturing services. These contracts do not contain minimum purchase commitments and are cancelable upon prior written notice. Payments due upon cancellation con</w:t>
      </w:r>
      <w:r>
        <w:rPr>
          <w:rFonts w:ascii="Arial" w:eastAsia="Arial" w:hAnsi="Arial" w:cs="Arial"/>
          <w:sz w:val="20"/>
          <w:szCs w:val="20"/>
        </w:rPr>
        <w:t>sist only of payments for services provided or expenses incurred, including non-cancelable obligations of service providers, up to the date of cancellation.</w:t>
      </w:r>
    </w:p>
    <w:p w:rsidR="000728AD" w:rsidRDefault="000728AD">
      <w:pPr>
        <w:spacing w:line="194" w:lineRule="exact"/>
        <w:rPr>
          <w:sz w:val="20"/>
          <w:szCs w:val="20"/>
        </w:rPr>
      </w:pPr>
    </w:p>
    <w:p w:rsidR="000728AD" w:rsidRDefault="000561BE">
      <w:pPr>
        <w:rPr>
          <w:sz w:val="20"/>
          <w:szCs w:val="20"/>
        </w:rPr>
      </w:pPr>
      <w:r>
        <w:rPr>
          <w:rFonts w:ascii="Arial" w:eastAsia="Arial" w:hAnsi="Arial" w:cs="Arial"/>
          <w:b/>
          <w:bCs/>
          <w:i/>
          <w:iCs/>
          <w:sz w:val="20"/>
          <w:szCs w:val="20"/>
        </w:rPr>
        <w:t>Legal Proceedings</w:t>
      </w:r>
    </w:p>
    <w:p w:rsidR="000728AD" w:rsidRDefault="000728AD">
      <w:pPr>
        <w:spacing w:line="216" w:lineRule="exact"/>
        <w:rPr>
          <w:sz w:val="20"/>
          <w:szCs w:val="20"/>
        </w:rPr>
      </w:pPr>
    </w:p>
    <w:p w:rsidR="000728AD" w:rsidRDefault="000561BE">
      <w:pPr>
        <w:spacing w:line="291" w:lineRule="auto"/>
        <w:ind w:right="80"/>
        <w:rPr>
          <w:sz w:val="20"/>
          <w:szCs w:val="20"/>
        </w:rPr>
      </w:pPr>
      <w:r>
        <w:rPr>
          <w:rFonts w:ascii="Arial" w:eastAsia="Arial" w:hAnsi="Arial" w:cs="Arial"/>
          <w:sz w:val="18"/>
          <w:szCs w:val="18"/>
        </w:rPr>
        <w:t>The Company is not currently party to any material legal proceedings. At each r</w:t>
      </w:r>
      <w:r>
        <w:rPr>
          <w:rFonts w:ascii="Arial" w:eastAsia="Arial" w:hAnsi="Arial" w:cs="Arial"/>
          <w:sz w:val="18"/>
          <w:szCs w:val="18"/>
        </w:rPr>
        <w:t>eporting date, the Company evaluates whether or not a potential loss amount or a potential range of loss is probable and reasonably estimable under the provisions of the authoritative guidance that addresses accounting for contingencies. The Company expens</w:t>
      </w:r>
      <w:r>
        <w:rPr>
          <w:rFonts w:ascii="Arial" w:eastAsia="Arial" w:hAnsi="Arial" w:cs="Arial"/>
          <w:sz w:val="18"/>
          <w:szCs w:val="18"/>
        </w:rPr>
        <w:t>es as incurred the costs related to such legal proceedings.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48" w:lineRule="exact"/>
        <w:rPr>
          <w:sz w:val="20"/>
          <w:szCs w:val="20"/>
        </w:rPr>
      </w:pPr>
    </w:p>
    <w:p w:rsidR="000728AD" w:rsidRDefault="000561BE">
      <w:pPr>
        <w:jc w:val="center"/>
        <w:rPr>
          <w:sz w:val="20"/>
          <w:szCs w:val="20"/>
        </w:rPr>
      </w:pPr>
      <w:r>
        <w:rPr>
          <w:rFonts w:ascii="Arial" w:eastAsia="Arial" w:hAnsi="Arial" w:cs="Arial"/>
          <w:sz w:val="18"/>
          <w:szCs w:val="18"/>
        </w:rPr>
        <w:t>19</w:t>
      </w:r>
    </w:p>
    <w:p w:rsidR="000728AD" w:rsidRDefault="000561BE">
      <w:pPr>
        <w:spacing w:line="20" w:lineRule="exact"/>
        <w:rPr>
          <w:sz w:val="20"/>
          <w:szCs w:val="20"/>
        </w:rPr>
      </w:pPr>
      <w:r>
        <w:rPr>
          <w:noProof/>
          <w:sz w:val="20"/>
          <w:szCs w:val="20"/>
        </w:rPr>
        <w:drawing>
          <wp:anchor distT="0" distB="0" distL="114300" distR="114300" simplePos="0" relativeHeight="251626496"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20" w:name="page20"/>
    <w:bookmarkEnd w:id="20"/>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395" w:lineRule="exact"/>
        <w:rPr>
          <w:sz w:val="20"/>
          <w:szCs w:val="20"/>
        </w:rPr>
      </w:pPr>
    </w:p>
    <w:p w:rsidR="000728AD" w:rsidRDefault="000561BE">
      <w:pPr>
        <w:rPr>
          <w:sz w:val="20"/>
          <w:szCs w:val="20"/>
        </w:rPr>
      </w:pPr>
      <w:r>
        <w:rPr>
          <w:rFonts w:ascii="Arial" w:eastAsia="Arial" w:hAnsi="Arial" w:cs="Arial"/>
          <w:b/>
          <w:bCs/>
          <w:sz w:val="20"/>
          <w:szCs w:val="20"/>
        </w:rPr>
        <w:t>11. RELATED-PARTY TRANSACTIONS</w:t>
      </w:r>
    </w:p>
    <w:p w:rsidR="000728AD" w:rsidRDefault="000728AD">
      <w:pPr>
        <w:spacing w:line="222" w:lineRule="exact"/>
        <w:rPr>
          <w:sz w:val="20"/>
          <w:szCs w:val="20"/>
        </w:rPr>
      </w:pPr>
    </w:p>
    <w:p w:rsidR="000728AD" w:rsidRDefault="000561BE">
      <w:pPr>
        <w:spacing w:line="276" w:lineRule="auto"/>
        <w:rPr>
          <w:sz w:val="20"/>
          <w:szCs w:val="20"/>
        </w:rPr>
      </w:pPr>
      <w:r>
        <w:rPr>
          <w:rFonts w:ascii="Arial" w:eastAsia="Arial" w:hAnsi="Arial" w:cs="Arial"/>
          <w:sz w:val="18"/>
          <w:szCs w:val="18"/>
        </w:rPr>
        <w:t xml:space="preserve">In August 2019, the Company entered into a consulting agreement with the </w:t>
      </w:r>
      <w:r>
        <w:rPr>
          <w:rFonts w:ascii="Arial" w:eastAsia="Arial" w:hAnsi="Arial" w:cs="Arial"/>
          <w:sz w:val="18"/>
          <w:szCs w:val="18"/>
        </w:rPr>
        <w:t>chairman of the Company's Board of Directors to provide various consulting services to the Company in exchange for cash and equity compensation. In March 2021, the consulting agreement was modified so that the chairman would no longer receive cash compensa</w:t>
      </w:r>
      <w:r>
        <w:rPr>
          <w:rFonts w:ascii="Arial" w:eastAsia="Arial" w:hAnsi="Arial" w:cs="Arial"/>
          <w:sz w:val="18"/>
          <w:szCs w:val="18"/>
        </w:rPr>
        <w:t>tion for his consulting services and would instead be compensated solely via equity compensation. The aggregate grant date fair value of the equity awarded to the chairman in 2021 and 2020 for his consulting services was $0.6 million and $0.2 million, resp</w:t>
      </w:r>
      <w:r>
        <w:rPr>
          <w:rFonts w:ascii="Arial" w:eastAsia="Arial" w:hAnsi="Arial" w:cs="Arial"/>
          <w:sz w:val="18"/>
          <w:szCs w:val="18"/>
        </w:rPr>
        <w:t>ectively. The grant date fair value is calculated in accordance with FASB ASC Topic 718. The total cash paid under the agreement was $0.1 million for the three and six months ended June 30, 2021.</w:t>
      </w:r>
    </w:p>
    <w:p w:rsidR="000728AD" w:rsidRDefault="000728AD">
      <w:pPr>
        <w:spacing w:line="213" w:lineRule="exact"/>
        <w:rPr>
          <w:sz w:val="20"/>
          <w:szCs w:val="20"/>
        </w:rPr>
      </w:pPr>
    </w:p>
    <w:p w:rsidR="000728AD" w:rsidRDefault="000561BE">
      <w:pPr>
        <w:rPr>
          <w:sz w:val="20"/>
          <w:szCs w:val="20"/>
        </w:rPr>
      </w:pPr>
      <w:r>
        <w:rPr>
          <w:rFonts w:ascii="Arial" w:eastAsia="Arial" w:hAnsi="Arial" w:cs="Arial"/>
          <w:b/>
          <w:bCs/>
          <w:sz w:val="20"/>
          <w:szCs w:val="20"/>
        </w:rPr>
        <w:t>12. SUBSEQUENT EVENTS</w:t>
      </w:r>
    </w:p>
    <w:p w:rsidR="000728AD" w:rsidRDefault="000728AD">
      <w:pPr>
        <w:spacing w:line="222" w:lineRule="exact"/>
        <w:rPr>
          <w:sz w:val="20"/>
          <w:szCs w:val="20"/>
        </w:rPr>
      </w:pPr>
    </w:p>
    <w:p w:rsidR="000728AD" w:rsidRDefault="000561BE">
      <w:pPr>
        <w:spacing w:line="250" w:lineRule="auto"/>
        <w:ind w:right="340"/>
        <w:rPr>
          <w:sz w:val="20"/>
          <w:szCs w:val="20"/>
        </w:rPr>
      </w:pPr>
      <w:r>
        <w:rPr>
          <w:rFonts w:ascii="Arial" w:eastAsia="Arial" w:hAnsi="Arial" w:cs="Arial"/>
          <w:sz w:val="20"/>
          <w:szCs w:val="20"/>
        </w:rPr>
        <w:t>The Company has evaluated subsequent</w:t>
      </w:r>
      <w:r>
        <w:rPr>
          <w:rFonts w:ascii="Arial" w:eastAsia="Arial" w:hAnsi="Arial" w:cs="Arial"/>
          <w:sz w:val="20"/>
          <w:szCs w:val="20"/>
        </w:rPr>
        <w:t xml:space="preserve"> events for financial statement purposes occurring through the date these condensed consolidated financial statements were issued and determined that there are no material recognized or unrecognized subsequent events requiring disclosure.</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2" w:lineRule="exact"/>
        <w:rPr>
          <w:sz w:val="20"/>
          <w:szCs w:val="20"/>
        </w:rPr>
      </w:pPr>
    </w:p>
    <w:p w:rsidR="000728AD" w:rsidRDefault="000561BE">
      <w:pPr>
        <w:ind w:right="-39"/>
        <w:jc w:val="center"/>
        <w:rPr>
          <w:sz w:val="20"/>
          <w:szCs w:val="20"/>
        </w:rPr>
      </w:pPr>
      <w:r>
        <w:rPr>
          <w:rFonts w:ascii="Arial" w:eastAsia="Arial" w:hAnsi="Arial" w:cs="Arial"/>
          <w:sz w:val="18"/>
          <w:szCs w:val="18"/>
        </w:rPr>
        <w:t>20</w:t>
      </w:r>
    </w:p>
    <w:p w:rsidR="000728AD" w:rsidRDefault="000561BE">
      <w:pPr>
        <w:spacing w:line="20" w:lineRule="exact"/>
        <w:rPr>
          <w:sz w:val="20"/>
          <w:szCs w:val="20"/>
        </w:rPr>
      </w:pPr>
      <w:r>
        <w:rPr>
          <w:noProof/>
          <w:sz w:val="20"/>
          <w:szCs w:val="20"/>
        </w:rPr>
        <w:drawing>
          <wp:anchor distT="0" distB="0" distL="114300" distR="114300" simplePos="0" relativeHeight="251627520"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79" w:bottom="1440" w:left="320" w:header="0" w:footer="0" w:gutter="0"/>
          <w:cols w:space="720" w:equalWidth="0">
            <w:col w:w="11200"/>
          </w:cols>
        </w:sectPr>
      </w:pPr>
    </w:p>
    <w:bookmarkStart w:id="21" w:name="page21"/>
    <w:bookmarkEnd w:id="21"/>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395" w:lineRule="exact"/>
        <w:rPr>
          <w:sz w:val="20"/>
          <w:szCs w:val="20"/>
        </w:rPr>
      </w:pPr>
    </w:p>
    <w:p w:rsidR="000728AD" w:rsidRDefault="000561BE">
      <w:pPr>
        <w:rPr>
          <w:sz w:val="20"/>
          <w:szCs w:val="20"/>
        </w:rPr>
      </w:pPr>
      <w:r>
        <w:rPr>
          <w:rFonts w:ascii="Arial" w:eastAsia="Arial" w:hAnsi="Arial" w:cs="Arial"/>
          <w:b/>
          <w:bCs/>
          <w:sz w:val="20"/>
          <w:szCs w:val="20"/>
        </w:rPr>
        <w:t>Item 2. Management’s Discussion and Analysis of Financial Condition and Results of Operations</w:t>
      </w:r>
    </w:p>
    <w:p w:rsidR="000728AD" w:rsidRDefault="000728AD">
      <w:pPr>
        <w:spacing w:line="222" w:lineRule="exact"/>
        <w:rPr>
          <w:sz w:val="20"/>
          <w:szCs w:val="20"/>
        </w:rPr>
      </w:pPr>
    </w:p>
    <w:p w:rsidR="000728AD" w:rsidRDefault="000561BE">
      <w:pPr>
        <w:spacing w:line="269" w:lineRule="auto"/>
        <w:rPr>
          <w:sz w:val="20"/>
          <w:szCs w:val="20"/>
        </w:rPr>
      </w:pPr>
      <w:r>
        <w:rPr>
          <w:rFonts w:ascii="Arial" w:eastAsia="Arial" w:hAnsi="Arial" w:cs="Arial"/>
          <w:i/>
          <w:iCs/>
          <w:sz w:val="18"/>
          <w:szCs w:val="18"/>
        </w:rPr>
        <w:t xml:space="preserve">The following discussion of the financial condition and results of operations of </w:t>
      </w:r>
      <w:r>
        <w:rPr>
          <w:rFonts w:ascii="Arial" w:eastAsia="Arial" w:hAnsi="Arial" w:cs="Arial"/>
          <w:i/>
          <w:iCs/>
          <w:sz w:val="18"/>
          <w:szCs w:val="18"/>
        </w:rPr>
        <w:t>Axcella Health Inc. should be read in conjunction with the condensed consolidated financial statements and the related notes thereto included elsewhere in this Quarterly Report, and the audited financial statements and notes included in our Annual Report o</w:t>
      </w:r>
      <w:r>
        <w:rPr>
          <w:rFonts w:ascii="Arial" w:eastAsia="Arial" w:hAnsi="Arial" w:cs="Arial"/>
          <w:i/>
          <w:iCs/>
          <w:sz w:val="18"/>
          <w:szCs w:val="18"/>
        </w:rPr>
        <w:t>n Form 10-K, filed with the SEC on March 17, 2021. In addition to historical information, this discussion and analysis contains forward-looking statements that involve risks, uncertainties and assumptions. We caution you that forward-looking statements are</w:t>
      </w:r>
      <w:r>
        <w:rPr>
          <w:rFonts w:ascii="Arial" w:eastAsia="Arial" w:hAnsi="Arial" w:cs="Arial"/>
          <w:i/>
          <w:iCs/>
          <w:sz w:val="18"/>
          <w:szCs w:val="18"/>
        </w:rPr>
        <w:t xml:space="preserve"> not guarantees of future performance, and that our actual results of operations, financial condition and liquidity, and the developments in our business and the industry in which we operate, may differ materially from the results discussed or projected in</w:t>
      </w:r>
      <w:r>
        <w:rPr>
          <w:rFonts w:ascii="Arial" w:eastAsia="Arial" w:hAnsi="Arial" w:cs="Arial"/>
          <w:i/>
          <w:iCs/>
          <w:sz w:val="18"/>
          <w:szCs w:val="18"/>
        </w:rPr>
        <w:t xml:space="preserve"> the forward-looking statements contained in this Quarterly Report. We discuss risks and other factors that we believe could cause or contribute to these potential differences elsewhere in this Quarterly Report, including under Part II, Item 1A. “Risk Fact</w:t>
      </w:r>
      <w:r>
        <w:rPr>
          <w:rFonts w:ascii="Arial" w:eastAsia="Arial" w:hAnsi="Arial" w:cs="Arial"/>
          <w:i/>
          <w:iCs/>
          <w:sz w:val="18"/>
          <w:szCs w:val="18"/>
        </w:rPr>
        <w:t>ors” and under “Special Note Regarding Forward-Looking Statements.” In addition, even if our results of operations, financial condition and liquidity, and the developments in our business and the industry in which we operate are consistent with the forward</w:t>
      </w:r>
      <w:r>
        <w:rPr>
          <w:rFonts w:ascii="Arial" w:eastAsia="Arial" w:hAnsi="Arial" w:cs="Arial"/>
          <w:i/>
          <w:iCs/>
          <w:sz w:val="18"/>
          <w:szCs w:val="18"/>
        </w:rPr>
        <w:t>-looking statements contained in this Quarterly Report, they may not be predictive of results or developments in future periods. We caution readers not to place undue reliance on any forward-looking statements made by us, which speak only as of the date th</w:t>
      </w:r>
      <w:r>
        <w:rPr>
          <w:rFonts w:ascii="Arial" w:eastAsia="Arial" w:hAnsi="Arial" w:cs="Arial"/>
          <w:i/>
          <w:iCs/>
          <w:sz w:val="18"/>
          <w:szCs w:val="18"/>
        </w:rPr>
        <w:t xml:space="preserve">ey are made. We disclaim any obligation, except as specifically required by law and the rules of the SEC to publicly update or revise any such statements to reflect any change in our expectations or in events, conditions or circumstances on which any such </w:t>
      </w:r>
      <w:r>
        <w:rPr>
          <w:rFonts w:ascii="Arial" w:eastAsia="Arial" w:hAnsi="Arial" w:cs="Arial"/>
          <w:i/>
          <w:iCs/>
          <w:sz w:val="18"/>
          <w:szCs w:val="18"/>
        </w:rPr>
        <w:t>statements may be based, or that may affect the likelihood that actual results will differ from those set forth in the forward-looking statements.</w:t>
      </w:r>
    </w:p>
    <w:p w:rsidR="000728AD" w:rsidRDefault="000728AD">
      <w:pPr>
        <w:spacing w:line="173" w:lineRule="exact"/>
        <w:rPr>
          <w:sz w:val="20"/>
          <w:szCs w:val="20"/>
        </w:rPr>
      </w:pPr>
    </w:p>
    <w:p w:rsidR="000728AD" w:rsidRDefault="000561BE">
      <w:pPr>
        <w:rPr>
          <w:sz w:val="20"/>
          <w:szCs w:val="20"/>
        </w:rPr>
      </w:pPr>
      <w:r>
        <w:rPr>
          <w:rFonts w:ascii="Arial" w:eastAsia="Arial" w:hAnsi="Arial" w:cs="Arial"/>
          <w:b/>
          <w:bCs/>
          <w:sz w:val="20"/>
          <w:szCs w:val="20"/>
        </w:rPr>
        <w:t>Overview</w:t>
      </w:r>
    </w:p>
    <w:p w:rsidR="000728AD" w:rsidRDefault="000728AD">
      <w:pPr>
        <w:spacing w:line="222" w:lineRule="exact"/>
        <w:rPr>
          <w:sz w:val="20"/>
          <w:szCs w:val="20"/>
        </w:rPr>
      </w:pPr>
    </w:p>
    <w:p w:rsidR="000728AD" w:rsidRDefault="000561BE">
      <w:pPr>
        <w:spacing w:line="244" w:lineRule="auto"/>
        <w:ind w:right="180"/>
        <w:rPr>
          <w:sz w:val="20"/>
          <w:szCs w:val="20"/>
        </w:rPr>
      </w:pPr>
      <w:r>
        <w:rPr>
          <w:rFonts w:ascii="Arial" w:eastAsia="Arial" w:hAnsi="Arial" w:cs="Arial"/>
          <w:sz w:val="20"/>
          <w:szCs w:val="20"/>
        </w:rPr>
        <w:t>We are a clinical-stage biotechnology company focused on pioneering a new approach to treat comple</w:t>
      </w:r>
      <w:r>
        <w:rPr>
          <w:rFonts w:ascii="Arial" w:eastAsia="Arial" w:hAnsi="Arial" w:cs="Arial"/>
          <w:sz w:val="20"/>
          <w:szCs w:val="20"/>
        </w:rPr>
        <w:t>x diseases and improve health using endogenous metabolic modulator, or EMM, compositions. Our product candidates are comprised of multiple EMMs that are engineered in distinct combinations and ratios with the goal of simultaneously impacting multiple biolo</w:t>
      </w:r>
      <w:r>
        <w:rPr>
          <w:rFonts w:ascii="Arial" w:eastAsia="Arial" w:hAnsi="Arial" w:cs="Arial"/>
          <w:sz w:val="20"/>
          <w:szCs w:val="20"/>
        </w:rPr>
        <w:t>gical pathways. Our pipeline includes lead therapeutic candidates for the reduction in risk of recurrent overt hepatic encephalopathy, or OHE, and the treatment of non-alcoholic steatohepatitis, or NASH.</w:t>
      </w:r>
    </w:p>
    <w:p w:rsidR="000728AD" w:rsidRDefault="000728AD">
      <w:pPr>
        <w:spacing w:line="194" w:lineRule="exact"/>
        <w:rPr>
          <w:sz w:val="20"/>
          <w:szCs w:val="20"/>
        </w:rPr>
      </w:pPr>
    </w:p>
    <w:p w:rsidR="000728AD" w:rsidRDefault="000561BE">
      <w:pPr>
        <w:spacing w:line="250" w:lineRule="auto"/>
        <w:ind w:right="20"/>
        <w:rPr>
          <w:sz w:val="20"/>
          <w:szCs w:val="20"/>
        </w:rPr>
      </w:pPr>
      <w:r>
        <w:rPr>
          <w:rFonts w:ascii="Arial" w:eastAsia="Arial" w:hAnsi="Arial" w:cs="Arial"/>
          <w:sz w:val="20"/>
          <w:szCs w:val="20"/>
        </w:rPr>
        <w:t>Using our development platform, we have efficiently</w:t>
      </w:r>
      <w:r>
        <w:rPr>
          <w:rFonts w:ascii="Arial" w:eastAsia="Arial" w:hAnsi="Arial" w:cs="Arial"/>
          <w:sz w:val="20"/>
          <w:szCs w:val="20"/>
        </w:rPr>
        <w:t xml:space="preserve"> developed a pipeline of product candidates that are comprised of amino acids and their derivatives, which have a general history of safe use. These orally administered compositions have shown the potential to generate multifactorial effects in initial Cli</w:t>
      </w:r>
      <w:r>
        <w:rPr>
          <w:rFonts w:ascii="Arial" w:eastAsia="Arial" w:hAnsi="Arial" w:cs="Arial"/>
          <w:sz w:val="20"/>
          <w:szCs w:val="20"/>
        </w:rPr>
        <w:t>nical Studies.</w:t>
      </w:r>
    </w:p>
    <w:p w:rsidR="000728AD" w:rsidRDefault="000728AD">
      <w:pPr>
        <w:spacing w:line="186" w:lineRule="exact"/>
        <w:rPr>
          <w:sz w:val="20"/>
          <w:szCs w:val="20"/>
        </w:rPr>
      </w:pPr>
    </w:p>
    <w:p w:rsidR="000728AD" w:rsidRDefault="000561BE">
      <w:pPr>
        <w:rPr>
          <w:sz w:val="20"/>
          <w:szCs w:val="20"/>
        </w:rPr>
      </w:pPr>
      <w:r>
        <w:rPr>
          <w:rFonts w:ascii="Arial" w:eastAsia="Arial" w:hAnsi="Arial" w:cs="Arial"/>
          <w:sz w:val="20"/>
          <w:szCs w:val="20"/>
        </w:rPr>
        <w:t>An overview of our current therapeutic product candidates and their planned next development steps is illustrated below:</w:t>
      </w:r>
    </w:p>
    <w:p w:rsidR="000728AD" w:rsidRDefault="000561BE">
      <w:pPr>
        <w:spacing w:line="20" w:lineRule="exact"/>
        <w:rPr>
          <w:sz w:val="20"/>
          <w:szCs w:val="20"/>
        </w:rPr>
      </w:pPr>
      <w:r>
        <w:rPr>
          <w:noProof/>
          <w:sz w:val="20"/>
          <w:szCs w:val="20"/>
        </w:rPr>
        <w:drawing>
          <wp:anchor distT="0" distB="0" distL="114300" distR="114300" simplePos="0" relativeHeight="251628544" behindDoc="1" locked="0" layoutInCell="0" allowOverlap="1">
            <wp:simplePos x="0" y="0"/>
            <wp:positionH relativeFrom="column">
              <wp:posOffset>561975</wp:posOffset>
            </wp:positionH>
            <wp:positionV relativeFrom="paragraph">
              <wp:posOffset>164465</wp:posOffset>
            </wp:positionV>
            <wp:extent cx="6026150" cy="236601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srcRect/>
                    <a:stretch>
                      <a:fillRect/>
                    </a:stretch>
                  </pic:blipFill>
                  <pic:spPr bwMode="auto">
                    <a:xfrm>
                      <a:off x="0" y="0"/>
                      <a:ext cx="6026150" cy="2366010"/>
                    </a:xfrm>
                    <a:prstGeom prst="rect">
                      <a:avLst/>
                    </a:prstGeom>
                    <a:noFill/>
                  </pic:spPr>
                </pic:pic>
              </a:graphicData>
            </a:graphic>
          </wp:anchor>
        </w:drawing>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83" w:lineRule="exact"/>
        <w:rPr>
          <w:sz w:val="20"/>
          <w:szCs w:val="20"/>
        </w:rPr>
      </w:pPr>
    </w:p>
    <w:p w:rsidR="000728AD" w:rsidRDefault="000561BE">
      <w:pPr>
        <w:ind w:right="-119"/>
        <w:jc w:val="center"/>
        <w:rPr>
          <w:sz w:val="20"/>
          <w:szCs w:val="20"/>
        </w:rPr>
      </w:pPr>
      <w:r>
        <w:rPr>
          <w:rFonts w:ascii="Arial" w:eastAsia="Arial" w:hAnsi="Arial" w:cs="Arial"/>
          <w:sz w:val="18"/>
          <w:szCs w:val="18"/>
        </w:rPr>
        <w:t>21</w:t>
      </w:r>
    </w:p>
    <w:p w:rsidR="000728AD" w:rsidRDefault="000561BE">
      <w:pPr>
        <w:spacing w:line="20" w:lineRule="exact"/>
        <w:rPr>
          <w:sz w:val="20"/>
          <w:szCs w:val="20"/>
        </w:rPr>
      </w:pPr>
      <w:r>
        <w:rPr>
          <w:noProof/>
          <w:sz w:val="20"/>
          <w:szCs w:val="20"/>
        </w:rPr>
        <w:drawing>
          <wp:anchor distT="0" distB="0" distL="114300" distR="114300" simplePos="0" relativeHeight="251629568"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439" w:bottom="1440" w:left="320" w:header="0" w:footer="0" w:gutter="0"/>
          <w:cols w:space="720" w:equalWidth="0">
            <w:col w:w="11140"/>
          </w:cols>
        </w:sectPr>
      </w:pPr>
    </w:p>
    <w:bookmarkStart w:id="22" w:name="page22"/>
    <w:bookmarkEnd w:id="22"/>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44" w:lineRule="exact"/>
        <w:rPr>
          <w:sz w:val="20"/>
          <w:szCs w:val="20"/>
        </w:rPr>
      </w:pPr>
    </w:p>
    <w:p w:rsidR="000728AD" w:rsidRDefault="000561BE">
      <w:pPr>
        <w:rPr>
          <w:sz w:val="20"/>
          <w:szCs w:val="20"/>
        </w:rPr>
      </w:pPr>
      <w:r>
        <w:rPr>
          <w:rFonts w:ascii="Arial" w:eastAsia="Arial" w:hAnsi="Arial" w:cs="Arial"/>
          <w:b/>
          <w:bCs/>
          <w:i/>
          <w:iCs/>
          <w:sz w:val="20"/>
          <w:szCs w:val="20"/>
        </w:rPr>
        <w:t xml:space="preserve">AXA1665 for the </w:t>
      </w:r>
      <w:r>
        <w:rPr>
          <w:rFonts w:ascii="Arial" w:eastAsia="Arial" w:hAnsi="Arial" w:cs="Arial"/>
          <w:b/>
          <w:bCs/>
          <w:i/>
          <w:iCs/>
          <w:sz w:val="20"/>
          <w:szCs w:val="20"/>
        </w:rPr>
        <w:t>Reduction in Risk of Recurrent OHE</w:t>
      </w:r>
    </w:p>
    <w:p w:rsidR="000728AD" w:rsidRDefault="000728AD">
      <w:pPr>
        <w:spacing w:line="216" w:lineRule="exact"/>
        <w:rPr>
          <w:sz w:val="20"/>
          <w:szCs w:val="20"/>
        </w:rPr>
      </w:pPr>
    </w:p>
    <w:p w:rsidR="000728AD" w:rsidRDefault="000561BE">
      <w:pPr>
        <w:spacing w:line="260" w:lineRule="auto"/>
        <w:ind w:right="160"/>
        <w:rPr>
          <w:sz w:val="20"/>
          <w:szCs w:val="20"/>
        </w:rPr>
      </w:pPr>
      <w:r>
        <w:rPr>
          <w:rFonts w:ascii="Arial" w:eastAsia="Arial" w:hAnsi="Arial" w:cs="Arial"/>
          <w:sz w:val="19"/>
          <w:szCs w:val="19"/>
        </w:rPr>
        <w:t xml:space="preserve">We have conducted two prior Clinical Studies of AXA1665 in subjects with mild (Child Pugh A) and moderate (Child Pugh B) hepatic insufficiency. AXA1665 was generally well tolerated in both of these studies, with </w:t>
      </w:r>
      <w:r>
        <w:rPr>
          <w:rFonts w:ascii="Arial" w:eastAsia="Arial" w:hAnsi="Arial" w:cs="Arial"/>
          <w:sz w:val="19"/>
          <w:szCs w:val="19"/>
        </w:rPr>
        <w:t>multifactorial effects seen in subjects. The findings from our most recent Clinical Study, AXA1665-002, which were recently presented at the Digestive Disease Week 2021 Annual Meeting, replicated those seen on amino acid metabolism from our previous short-</w:t>
      </w:r>
      <w:r>
        <w:rPr>
          <w:rFonts w:ascii="Arial" w:eastAsia="Arial" w:hAnsi="Arial" w:cs="Arial"/>
          <w:sz w:val="19"/>
          <w:szCs w:val="19"/>
        </w:rPr>
        <w:t>term Clinical Study. We also noted dose dependent, directionally consistent improvement across all three psychometric tests that were utilized in AXA1665-002.</w:t>
      </w:r>
    </w:p>
    <w:p w:rsidR="000728AD" w:rsidRDefault="000728AD">
      <w:pPr>
        <w:spacing w:line="180" w:lineRule="exact"/>
        <w:rPr>
          <w:sz w:val="20"/>
          <w:szCs w:val="20"/>
        </w:rPr>
      </w:pPr>
    </w:p>
    <w:p w:rsidR="000728AD" w:rsidRDefault="000561BE">
      <w:pPr>
        <w:spacing w:line="259" w:lineRule="auto"/>
        <w:ind w:right="20"/>
        <w:rPr>
          <w:sz w:val="20"/>
          <w:szCs w:val="20"/>
        </w:rPr>
      </w:pPr>
      <w:r>
        <w:rPr>
          <w:rFonts w:ascii="Arial" w:eastAsia="Arial" w:hAnsi="Arial" w:cs="Arial"/>
          <w:sz w:val="19"/>
          <w:szCs w:val="19"/>
        </w:rPr>
        <w:t>In January 2021, we received U.S. Food and Drug Administration (FDA) clearance of an Investigati</w:t>
      </w:r>
      <w:r>
        <w:rPr>
          <w:rFonts w:ascii="Arial" w:eastAsia="Arial" w:hAnsi="Arial" w:cs="Arial"/>
          <w:sz w:val="19"/>
          <w:szCs w:val="19"/>
        </w:rPr>
        <w:t>onal New Drug (IND) application for AXA1665, and we initiated our EMMPOWER Phase 2 Clinical Trial for this candidate in the second quarter of 2021. This randomized, double-blind, placebo-controlled, multi-center investigation is evaluating the efficacy and</w:t>
      </w:r>
      <w:r>
        <w:rPr>
          <w:rFonts w:ascii="Arial" w:eastAsia="Arial" w:hAnsi="Arial" w:cs="Arial"/>
          <w:sz w:val="19"/>
          <w:szCs w:val="19"/>
        </w:rPr>
        <w:t xml:space="preserve"> safety of AXA1665 in patients who have experienced at least one prior OHE event and have neurocognitive dysfunction at screening. Approximately 150 patients on lactulose ± rifaximin (stratified by rifaximin use) will be randomized 1:1 to receive either 53</w:t>
      </w:r>
      <w:r>
        <w:rPr>
          <w:rFonts w:ascii="Arial" w:eastAsia="Arial" w:hAnsi="Arial" w:cs="Arial"/>
          <w:sz w:val="19"/>
          <w:szCs w:val="19"/>
        </w:rPr>
        <w:t>.8 grams per day of AXA1665 or a matched placebo in three divided doses for 24 weeks, with a four-week safety follow-up period.</w:t>
      </w:r>
    </w:p>
    <w:p w:rsidR="000728AD" w:rsidRDefault="000728AD">
      <w:pPr>
        <w:spacing w:line="178" w:lineRule="exact"/>
        <w:rPr>
          <w:sz w:val="20"/>
          <w:szCs w:val="20"/>
        </w:rPr>
      </w:pPr>
    </w:p>
    <w:p w:rsidR="000728AD" w:rsidRDefault="000561BE">
      <w:pPr>
        <w:spacing w:line="246" w:lineRule="auto"/>
        <w:ind w:right="520"/>
        <w:rPr>
          <w:sz w:val="20"/>
          <w:szCs w:val="20"/>
        </w:rPr>
      </w:pPr>
      <w:r>
        <w:rPr>
          <w:rFonts w:ascii="Arial" w:eastAsia="Arial" w:hAnsi="Arial" w:cs="Arial"/>
          <w:sz w:val="20"/>
          <w:szCs w:val="20"/>
        </w:rPr>
        <w:t>The Clinical Trial’s primary endpoint will assess the proportion of patients with a ≥2 point increase in the psychometric hepat</w:t>
      </w:r>
      <w:r>
        <w:rPr>
          <w:rFonts w:ascii="Arial" w:eastAsia="Arial" w:hAnsi="Arial" w:cs="Arial"/>
          <w:sz w:val="20"/>
          <w:szCs w:val="20"/>
        </w:rPr>
        <w:t>ic encephalopathy score (PHES) after the 24-week treatment period. Key secondary endpoints will focus on the proportion of patients experiencing an OHE breakthrough event and time to first OHE breakthrough event, including time to hospitalization. Other se</w:t>
      </w:r>
      <w:r>
        <w:rPr>
          <w:rFonts w:ascii="Arial" w:eastAsia="Arial" w:hAnsi="Arial" w:cs="Arial"/>
          <w:sz w:val="20"/>
          <w:szCs w:val="20"/>
        </w:rPr>
        <w:t>condary endpoints include changes in physical function and patient-reported outcomes.</w:t>
      </w:r>
    </w:p>
    <w:p w:rsidR="000728AD" w:rsidRDefault="000728AD">
      <w:pPr>
        <w:spacing w:line="191" w:lineRule="exact"/>
        <w:rPr>
          <w:sz w:val="20"/>
          <w:szCs w:val="20"/>
        </w:rPr>
      </w:pPr>
    </w:p>
    <w:p w:rsidR="000728AD" w:rsidRDefault="000561BE">
      <w:pPr>
        <w:rPr>
          <w:sz w:val="20"/>
          <w:szCs w:val="20"/>
        </w:rPr>
      </w:pPr>
      <w:r>
        <w:rPr>
          <w:rFonts w:ascii="Arial" w:eastAsia="Arial" w:hAnsi="Arial" w:cs="Arial"/>
          <w:b/>
          <w:bCs/>
          <w:i/>
          <w:iCs/>
          <w:sz w:val="20"/>
          <w:szCs w:val="20"/>
        </w:rPr>
        <w:t>AXA1125 for the Treatment of NASH</w:t>
      </w:r>
    </w:p>
    <w:p w:rsidR="000728AD" w:rsidRDefault="000728AD">
      <w:pPr>
        <w:spacing w:line="216" w:lineRule="exact"/>
        <w:rPr>
          <w:sz w:val="20"/>
          <w:szCs w:val="20"/>
        </w:rPr>
      </w:pPr>
    </w:p>
    <w:p w:rsidR="000728AD" w:rsidRDefault="000561BE">
      <w:pPr>
        <w:spacing w:line="263" w:lineRule="auto"/>
        <w:ind w:right="20"/>
        <w:rPr>
          <w:sz w:val="20"/>
          <w:szCs w:val="20"/>
        </w:rPr>
      </w:pPr>
      <w:r>
        <w:rPr>
          <w:rFonts w:ascii="Arial" w:eastAsia="Arial" w:hAnsi="Arial" w:cs="Arial"/>
          <w:sz w:val="19"/>
          <w:szCs w:val="19"/>
        </w:rPr>
        <w:t>We have conducted two prior Clinical Studies of AXA1125 in subjects with presumed NASH. AXA1125 was generally well tolerated in both o</w:t>
      </w:r>
      <w:r>
        <w:rPr>
          <w:rFonts w:ascii="Arial" w:eastAsia="Arial" w:hAnsi="Arial" w:cs="Arial"/>
          <w:sz w:val="19"/>
          <w:szCs w:val="19"/>
        </w:rPr>
        <w:t>f these studies with meaningful and sustained reductions shown in key measures of hepatic fat, insulin resistance, inflammation and fibrosis. In our most recent Clinical Study, AXA1125-003, reductions in these measures were even greater among subjects with</w:t>
      </w:r>
      <w:r>
        <w:rPr>
          <w:rFonts w:ascii="Arial" w:eastAsia="Arial" w:hAnsi="Arial" w:cs="Arial"/>
          <w:sz w:val="19"/>
          <w:szCs w:val="19"/>
        </w:rPr>
        <w:t xml:space="preserve"> type 2 diabetes. Notably, the forementioned results were seen without an impact on mean body weight or serum lipids.</w:t>
      </w:r>
    </w:p>
    <w:p w:rsidR="000728AD" w:rsidRDefault="000728AD">
      <w:pPr>
        <w:spacing w:line="176" w:lineRule="exact"/>
        <w:rPr>
          <w:sz w:val="20"/>
          <w:szCs w:val="20"/>
        </w:rPr>
      </w:pPr>
    </w:p>
    <w:p w:rsidR="000728AD" w:rsidRDefault="000561BE">
      <w:pPr>
        <w:spacing w:line="259" w:lineRule="auto"/>
        <w:ind w:right="80"/>
        <w:rPr>
          <w:sz w:val="20"/>
          <w:szCs w:val="20"/>
        </w:rPr>
      </w:pPr>
      <w:r>
        <w:rPr>
          <w:rFonts w:ascii="Arial" w:eastAsia="Arial" w:hAnsi="Arial" w:cs="Arial"/>
          <w:sz w:val="19"/>
          <w:szCs w:val="19"/>
        </w:rPr>
        <w:t>In April 2021, we received U.S. Food and Drug Administration (FDA) clearance of an Investigational New Drug (IND) application for AXA1125</w:t>
      </w:r>
      <w:r>
        <w:rPr>
          <w:rFonts w:ascii="Arial" w:eastAsia="Arial" w:hAnsi="Arial" w:cs="Arial"/>
          <w:sz w:val="19"/>
          <w:szCs w:val="19"/>
        </w:rPr>
        <w:t xml:space="preserve">, and we initiated our EMMPACT Phase 2b Clinical Trial for this candidate in the second quarter of 2021. This randomized, double-blind, placebo-controlled, multi-center Clinical Trial is evaluating the efficacy, safety and tolerability of AXA1125 in adult </w:t>
      </w:r>
      <w:r>
        <w:rPr>
          <w:rFonts w:ascii="Arial" w:eastAsia="Arial" w:hAnsi="Arial" w:cs="Arial"/>
          <w:sz w:val="19"/>
          <w:szCs w:val="19"/>
        </w:rPr>
        <w:t>patients with biopsy-confirmed F2/F3 NASH. Approximately 270 patients will be enrolled and randomized 1:1:1 to receive either 45.2 or 67.8 grams per day of AXA1125 or a matched placebo in two divided doses for 48 weeks, with a four-week safety follow-up pe</w:t>
      </w:r>
      <w:r>
        <w:rPr>
          <w:rFonts w:ascii="Arial" w:eastAsia="Arial" w:hAnsi="Arial" w:cs="Arial"/>
          <w:sz w:val="19"/>
          <w:szCs w:val="19"/>
        </w:rPr>
        <w:t>riod. Patients will be stratified based on the presence or absence of type 2 diabetes.</w:t>
      </w:r>
    </w:p>
    <w:p w:rsidR="000728AD" w:rsidRDefault="000728AD">
      <w:pPr>
        <w:spacing w:line="178" w:lineRule="exact"/>
        <w:rPr>
          <w:sz w:val="20"/>
          <w:szCs w:val="20"/>
        </w:rPr>
      </w:pPr>
    </w:p>
    <w:p w:rsidR="000728AD" w:rsidRDefault="000561BE">
      <w:pPr>
        <w:spacing w:line="246" w:lineRule="auto"/>
        <w:rPr>
          <w:sz w:val="20"/>
          <w:szCs w:val="20"/>
        </w:rPr>
      </w:pPr>
      <w:r>
        <w:rPr>
          <w:rFonts w:ascii="Arial" w:eastAsia="Arial" w:hAnsi="Arial" w:cs="Arial"/>
          <w:sz w:val="20"/>
          <w:szCs w:val="20"/>
        </w:rPr>
        <w:t>The Clinical Trial’s primary endpoint will assess the proportion of patients with a biopsy-confirmed ≥2 point improvement in their non-alcoholic fatty liver disease, or</w:t>
      </w:r>
      <w:r>
        <w:rPr>
          <w:rFonts w:ascii="Arial" w:eastAsia="Arial" w:hAnsi="Arial" w:cs="Arial"/>
          <w:sz w:val="20"/>
          <w:szCs w:val="20"/>
        </w:rPr>
        <w:t xml:space="preserve"> NAFLD, Activity Score (NAS) after the 48-week treatment period. Secondary endpoints will include the proportion of patients achieving biopsy-confirmed resolution of NASH without worsening of fibrosis and the proportion of patients achieving a ≥1 stage imp</w:t>
      </w:r>
      <w:r>
        <w:rPr>
          <w:rFonts w:ascii="Arial" w:eastAsia="Arial" w:hAnsi="Arial" w:cs="Arial"/>
          <w:sz w:val="20"/>
          <w:szCs w:val="20"/>
        </w:rPr>
        <w:t>rovement in fibrosis without worsening of NASH.</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8" w:lineRule="exact"/>
        <w:rPr>
          <w:sz w:val="20"/>
          <w:szCs w:val="20"/>
        </w:rPr>
      </w:pPr>
    </w:p>
    <w:p w:rsidR="000728AD" w:rsidRDefault="000561BE">
      <w:pPr>
        <w:ind w:right="-19"/>
        <w:jc w:val="center"/>
        <w:rPr>
          <w:sz w:val="20"/>
          <w:szCs w:val="20"/>
        </w:rPr>
      </w:pPr>
      <w:r>
        <w:rPr>
          <w:rFonts w:ascii="Arial" w:eastAsia="Arial" w:hAnsi="Arial" w:cs="Arial"/>
          <w:sz w:val="18"/>
          <w:szCs w:val="18"/>
        </w:rPr>
        <w:t>22</w:t>
      </w:r>
    </w:p>
    <w:p w:rsidR="000728AD" w:rsidRDefault="000561BE">
      <w:pPr>
        <w:spacing w:line="20" w:lineRule="exact"/>
        <w:rPr>
          <w:sz w:val="20"/>
          <w:szCs w:val="20"/>
        </w:rPr>
      </w:pPr>
      <w:r>
        <w:rPr>
          <w:noProof/>
          <w:sz w:val="20"/>
          <w:szCs w:val="20"/>
        </w:rPr>
        <w:drawing>
          <wp:anchor distT="0" distB="0" distL="114300" distR="114300" simplePos="0" relativeHeight="251630592"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23" w:name="page23"/>
    <w:bookmarkEnd w:id="23"/>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rPr>
          <w:sz w:val="20"/>
          <w:szCs w:val="20"/>
        </w:rPr>
      </w:pPr>
      <w:r>
        <w:rPr>
          <w:rFonts w:ascii="Arial" w:eastAsia="Arial" w:hAnsi="Arial" w:cs="Arial"/>
          <w:b/>
          <w:bCs/>
          <w:i/>
          <w:iCs/>
          <w:sz w:val="20"/>
          <w:szCs w:val="20"/>
        </w:rPr>
        <w:t>Effects of COVID-19 Pandemic</w:t>
      </w:r>
    </w:p>
    <w:p w:rsidR="000728AD" w:rsidRDefault="000728AD">
      <w:pPr>
        <w:spacing w:line="216" w:lineRule="exact"/>
        <w:rPr>
          <w:sz w:val="20"/>
          <w:szCs w:val="20"/>
        </w:rPr>
      </w:pPr>
    </w:p>
    <w:p w:rsidR="000728AD" w:rsidRDefault="000561BE">
      <w:pPr>
        <w:spacing w:line="257" w:lineRule="auto"/>
        <w:ind w:right="120"/>
        <w:rPr>
          <w:sz w:val="20"/>
          <w:szCs w:val="20"/>
        </w:rPr>
      </w:pPr>
      <w:r>
        <w:rPr>
          <w:rFonts w:ascii="Arial" w:eastAsia="Arial" w:hAnsi="Arial" w:cs="Arial"/>
          <w:sz w:val="19"/>
          <w:szCs w:val="19"/>
        </w:rPr>
        <w:t xml:space="preserve">The extent to which COVID-19 impacts our business, operations or financial results will depend on </w:t>
      </w:r>
      <w:r>
        <w:rPr>
          <w:rFonts w:ascii="Arial" w:eastAsia="Arial" w:hAnsi="Arial" w:cs="Arial"/>
          <w:sz w:val="19"/>
          <w:szCs w:val="19"/>
        </w:rPr>
        <w:t>future developments, which are highly uncertain and cannot be predicted with confidence, such as the duration of the pandemic, new information that may emerge concerning the severity of COVID-19 or the nature or effectiveness of actions to contain COVID-19</w:t>
      </w:r>
      <w:r>
        <w:rPr>
          <w:rFonts w:ascii="Arial" w:eastAsia="Arial" w:hAnsi="Arial" w:cs="Arial"/>
          <w:sz w:val="19"/>
          <w:szCs w:val="19"/>
        </w:rPr>
        <w:t xml:space="preserve"> or treat its impact, among others. We cannot presently predict the scope and severity of any potential business shutdowns or disruptions. However, if we or any of the third parties with whom we engage were to experience shutdowns or other business disrupt</w:t>
      </w:r>
      <w:r>
        <w:rPr>
          <w:rFonts w:ascii="Arial" w:eastAsia="Arial" w:hAnsi="Arial" w:cs="Arial"/>
          <w:sz w:val="19"/>
          <w:szCs w:val="19"/>
        </w:rPr>
        <w:t>ions, our ability to conduct our business in the manner and on the timelines presently planned could be materially and negatively affected, which could have a material adverse impact on our business, results of operations and financial condition.</w:t>
      </w:r>
    </w:p>
    <w:p w:rsidR="000728AD" w:rsidRDefault="000728AD">
      <w:pPr>
        <w:spacing w:line="179" w:lineRule="exact"/>
        <w:rPr>
          <w:sz w:val="20"/>
          <w:szCs w:val="20"/>
        </w:rPr>
      </w:pPr>
    </w:p>
    <w:p w:rsidR="000728AD" w:rsidRDefault="000561BE">
      <w:pPr>
        <w:rPr>
          <w:sz w:val="20"/>
          <w:szCs w:val="20"/>
        </w:rPr>
      </w:pPr>
      <w:r>
        <w:rPr>
          <w:rFonts w:ascii="Arial" w:eastAsia="Arial" w:hAnsi="Arial" w:cs="Arial"/>
          <w:b/>
          <w:bCs/>
          <w:sz w:val="20"/>
          <w:szCs w:val="20"/>
        </w:rPr>
        <w:t>Componen</w:t>
      </w:r>
      <w:r>
        <w:rPr>
          <w:rFonts w:ascii="Arial" w:eastAsia="Arial" w:hAnsi="Arial" w:cs="Arial"/>
          <w:b/>
          <w:bCs/>
          <w:sz w:val="20"/>
          <w:szCs w:val="20"/>
        </w:rPr>
        <w:t>ts of our Condensed Consolidated Results of Operations</w:t>
      </w:r>
    </w:p>
    <w:p w:rsidR="000728AD" w:rsidRDefault="000728AD">
      <w:pPr>
        <w:spacing w:line="222" w:lineRule="exact"/>
        <w:rPr>
          <w:sz w:val="20"/>
          <w:szCs w:val="20"/>
        </w:rPr>
      </w:pPr>
    </w:p>
    <w:p w:rsidR="000728AD" w:rsidRDefault="000561BE">
      <w:pPr>
        <w:rPr>
          <w:sz w:val="20"/>
          <w:szCs w:val="20"/>
        </w:rPr>
      </w:pPr>
      <w:r>
        <w:rPr>
          <w:rFonts w:ascii="Arial" w:eastAsia="Arial" w:hAnsi="Arial" w:cs="Arial"/>
          <w:b/>
          <w:bCs/>
          <w:i/>
          <w:iCs/>
          <w:sz w:val="20"/>
          <w:szCs w:val="20"/>
        </w:rPr>
        <w:t>Revenue</w:t>
      </w:r>
    </w:p>
    <w:p w:rsidR="000728AD" w:rsidRDefault="000728AD">
      <w:pPr>
        <w:spacing w:line="216" w:lineRule="exact"/>
        <w:rPr>
          <w:sz w:val="20"/>
          <w:szCs w:val="20"/>
        </w:rPr>
      </w:pPr>
    </w:p>
    <w:p w:rsidR="000728AD" w:rsidRDefault="000561BE">
      <w:pPr>
        <w:spacing w:line="263" w:lineRule="auto"/>
        <w:ind w:right="240"/>
        <w:rPr>
          <w:sz w:val="20"/>
          <w:szCs w:val="20"/>
        </w:rPr>
      </w:pPr>
      <w:r>
        <w:rPr>
          <w:rFonts w:ascii="Arial" w:eastAsia="Arial" w:hAnsi="Arial" w:cs="Arial"/>
          <w:sz w:val="19"/>
          <w:szCs w:val="19"/>
        </w:rPr>
        <w:t xml:space="preserve">To date, we have not generated any revenue from product sales and do not expect to generate any revenue from the sale of products in the near future. If our development efforts for our </w:t>
      </w:r>
      <w:r>
        <w:rPr>
          <w:rFonts w:ascii="Arial" w:eastAsia="Arial" w:hAnsi="Arial" w:cs="Arial"/>
          <w:sz w:val="19"/>
          <w:szCs w:val="19"/>
        </w:rPr>
        <w:t>product candidates are successful and result in regulatory approval or we execute license or collaboration agreements with third parties, we may generate revenue in the future from product sales, payments from collaborations or license agreements that we m</w:t>
      </w:r>
      <w:r>
        <w:rPr>
          <w:rFonts w:ascii="Arial" w:eastAsia="Arial" w:hAnsi="Arial" w:cs="Arial"/>
          <w:sz w:val="19"/>
          <w:szCs w:val="19"/>
        </w:rPr>
        <w:t>ay enter into with third parties, or any combination thereof.</w:t>
      </w:r>
    </w:p>
    <w:p w:rsidR="000728AD" w:rsidRDefault="000728AD">
      <w:pPr>
        <w:spacing w:line="176" w:lineRule="exact"/>
        <w:rPr>
          <w:sz w:val="20"/>
          <w:szCs w:val="20"/>
        </w:rPr>
      </w:pPr>
    </w:p>
    <w:p w:rsidR="000728AD" w:rsidRDefault="000561BE">
      <w:pPr>
        <w:rPr>
          <w:sz w:val="20"/>
          <w:szCs w:val="20"/>
        </w:rPr>
      </w:pPr>
      <w:r>
        <w:rPr>
          <w:rFonts w:ascii="Arial" w:eastAsia="Arial" w:hAnsi="Arial" w:cs="Arial"/>
          <w:b/>
          <w:bCs/>
          <w:i/>
          <w:iCs/>
          <w:sz w:val="20"/>
          <w:szCs w:val="20"/>
        </w:rPr>
        <w:t>Research and Development Expenses</w:t>
      </w:r>
    </w:p>
    <w:p w:rsidR="000728AD" w:rsidRDefault="000728AD">
      <w:pPr>
        <w:spacing w:line="216" w:lineRule="exact"/>
        <w:rPr>
          <w:sz w:val="20"/>
          <w:szCs w:val="20"/>
        </w:rPr>
      </w:pPr>
    </w:p>
    <w:p w:rsidR="000728AD" w:rsidRDefault="000561BE">
      <w:pPr>
        <w:spacing w:line="260" w:lineRule="auto"/>
        <w:ind w:right="340"/>
        <w:rPr>
          <w:sz w:val="20"/>
          <w:szCs w:val="20"/>
        </w:rPr>
      </w:pPr>
      <w:r>
        <w:rPr>
          <w:rFonts w:ascii="Arial" w:eastAsia="Arial" w:hAnsi="Arial" w:cs="Arial"/>
          <w:sz w:val="20"/>
          <w:szCs w:val="20"/>
        </w:rPr>
        <w:t>Our research and development expenses consist primarily of costs incurred in connection with our research activities, including our drug discovery efforts, an</w:t>
      </w:r>
      <w:r>
        <w:rPr>
          <w:rFonts w:ascii="Arial" w:eastAsia="Arial" w:hAnsi="Arial" w:cs="Arial"/>
          <w:sz w:val="20"/>
          <w:szCs w:val="20"/>
        </w:rPr>
        <w:t>d the development of our product candidates, which include:</w:t>
      </w:r>
    </w:p>
    <w:p w:rsidR="000728AD" w:rsidRDefault="000728AD">
      <w:pPr>
        <w:spacing w:line="177" w:lineRule="exact"/>
        <w:rPr>
          <w:sz w:val="20"/>
          <w:szCs w:val="20"/>
        </w:rPr>
      </w:pPr>
    </w:p>
    <w:p w:rsidR="000728AD" w:rsidRDefault="000561BE">
      <w:pPr>
        <w:numPr>
          <w:ilvl w:val="0"/>
          <w:numId w:val="7"/>
        </w:numPr>
        <w:tabs>
          <w:tab w:val="left" w:pos="648"/>
        </w:tabs>
        <w:spacing w:line="250" w:lineRule="auto"/>
        <w:ind w:left="660" w:right="220" w:hanging="328"/>
        <w:rPr>
          <w:rFonts w:ascii="Arial" w:eastAsia="Arial" w:hAnsi="Arial" w:cs="Arial"/>
          <w:sz w:val="20"/>
          <w:szCs w:val="20"/>
        </w:rPr>
      </w:pPr>
      <w:r>
        <w:rPr>
          <w:rFonts w:ascii="Arial" w:eastAsia="Arial" w:hAnsi="Arial" w:cs="Arial"/>
          <w:sz w:val="20"/>
          <w:szCs w:val="20"/>
        </w:rPr>
        <w:t xml:space="preserve">direct external research and development expenses, including fees, reimbursed materials and other costs paid to consultants, contractors, contract manufacturing organizations, or CMOs, and </w:t>
      </w:r>
      <w:r>
        <w:rPr>
          <w:rFonts w:ascii="Arial" w:eastAsia="Arial" w:hAnsi="Arial" w:cs="Arial"/>
          <w:sz w:val="20"/>
          <w:szCs w:val="20"/>
        </w:rPr>
        <w:t>clinical research organizations, or CROs, in connection with our clinical and preclinical development and manufacturing activities;</w:t>
      </w:r>
    </w:p>
    <w:p w:rsidR="000728AD" w:rsidRDefault="000728AD">
      <w:pPr>
        <w:spacing w:line="131" w:lineRule="exact"/>
        <w:rPr>
          <w:rFonts w:ascii="Arial" w:eastAsia="Arial" w:hAnsi="Arial" w:cs="Arial"/>
          <w:sz w:val="20"/>
          <w:szCs w:val="20"/>
        </w:rPr>
      </w:pPr>
    </w:p>
    <w:p w:rsidR="000728AD" w:rsidRDefault="000561BE">
      <w:pPr>
        <w:numPr>
          <w:ilvl w:val="0"/>
          <w:numId w:val="7"/>
        </w:numPr>
        <w:tabs>
          <w:tab w:val="left" w:pos="648"/>
        </w:tabs>
        <w:spacing w:line="260" w:lineRule="auto"/>
        <w:ind w:left="660" w:right="340" w:hanging="328"/>
        <w:rPr>
          <w:rFonts w:ascii="Arial" w:eastAsia="Arial" w:hAnsi="Arial" w:cs="Arial"/>
          <w:sz w:val="20"/>
          <w:szCs w:val="20"/>
        </w:rPr>
      </w:pPr>
      <w:r>
        <w:rPr>
          <w:rFonts w:ascii="Arial" w:eastAsia="Arial" w:hAnsi="Arial" w:cs="Arial"/>
          <w:sz w:val="20"/>
          <w:szCs w:val="20"/>
        </w:rPr>
        <w:t xml:space="preserve">employee-related expenses, including salaries, related benefits and stock-based compensation expense for employees engaged </w:t>
      </w:r>
      <w:r>
        <w:rPr>
          <w:rFonts w:ascii="Arial" w:eastAsia="Arial" w:hAnsi="Arial" w:cs="Arial"/>
          <w:sz w:val="20"/>
          <w:szCs w:val="20"/>
        </w:rPr>
        <w:t>in research and development functions;</w:t>
      </w:r>
    </w:p>
    <w:p w:rsidR="000728AD" w:rsidRDefault="000728AD">
      <w:pPr>
        <w:spacing w:line="122" w:lineRule="exact"/>
        <w:rPr>
          <w:rFonts w:ascii="Arial" w:eastAsia="Arial" w:hAnsi="Arial" w:cs="Arial"/>
          <w:sz w:val="20"/>
          <w:szCs w:val="20"/>
        </w:rPr>
      </w:pPr>
    </w:p>
    <w:p w:rsidR="000728AD" w:rsidRDefault="000561BE">
      <w:pPr>
        <w:numPr>
          <w:ilvl w:val="0"/>
          <w:numId w:val="7"/>
        </w:numPr>
        <w:tabs>
          <w:tab w:val="left" w:pos="648"/>
        </w:tabs>
        <w:spacing w:line="250" w:lineRule="auto"/>
        <w:ind w:left="660" w:right="100" w:hanging="328"/>
        <w:rPr>
          <w:rFonts w:ascii="Arial" w:eastAsia="Arial" w:hAnsi="Arial" w:cs="Arial"/>
          <w:sz w:val="20"/>
          <w:szCs w:val="20"/>
        </w:rPr>
      </w:pPr>
      <w:r>
        <w:rPr>
          <w:rFonts w:ascii="Arial" w:eastAsia="Arial" w:hAnsi="Arial" w:cs="Arial"/>
          <w:sz w:val="20"/>
          <w:szCs w:val="20"/>
        </w:rPr>
        <w:t>expenses incurred in connection with the preclinical and clinical development of our product candidates, including any Clinical Studies, Clinical Trials and other research programs, including under agreements with th</w:t>
      </w:r>
      <w:r>
        <w:rPr>
          <w:rFonts w:ascii="Arial" w:eastAsia="Arial" w:hAnsi="Arial" w:cs="Arial"/>
          <w:sz w:val="20"/>
          <w:szCs w:val="20"/>
        </w:rPr>
        <w:t>ird parties, such as consultants, contractors and CROs;</w:t>
      </w:r>
    </w:p>
    <w:p w:rsidR="000728AD" w:rsidRDefault="000728AD">
      <w:pPr>
        <w:spacing w:line="131" w:lineRule="exact"/>
        <w:rPr>
          <w:rFonts w:ascii="Arial" w:eastAsia="Arial" w:hAnsi="Arial" w:cs="Arial"/>
          <w:sz w:val="20"/>
          <w:szCs w:val="20"/>
        </w:rPr>
      </w:pPr>
    </w:p>
    <w:p w:rsidR="000728AD" w:rsidRDefault="000561BE">
      <w:pPr>
        <w:numPr>
          <w:ilvl w:val="0"/>
          <w:numId w:val="7"/>
        </w:numPr>
        <w:tabs>
          <w:tab w:val="left" w:pos="648"/>
        </w:tabs>
        <w:spacing w:line="316" w:lineRule="auto"/>
        <w:ind w:left="660" w:right="80" w:hanging="328"/>
        <w:rPr>
          <w:rFonts w:ascii="Arial" w:eastAsia="Arial" w:hAnsi="Arial" w:cs="Arial"/>
          <w:sz w:val="18"/>
          <w:szCs w:val="18"/>
        </w:rPr>
      </w:pPr>
      <w:r>
        <w:rPr>
          <w:rFonts w:ascii="Arial" w:eastAsia="Arial" w:hAnsi="Arial" w:cs="Arial"/>
          <w:sz w:val="18"/>
          <w:szCs w:val="18"/>
        </w:rPr>
        <w:t>the cost of developing and scaling our manufacturing process and manufacturing products for use in our preclinical studies, Clinical Studies and Clinical Trials, including under agreements with third</w:t>
      </w:r>
      <w:r>
        <w:rPr>
          <w:rFonts w:ascii="Arial" w:eastAsia="Arial" w:hAnsi="Arial" w:cs="Arial"/>
          <w:sz w:val="18"/>
          <w:szCs w:val="18"/>
        </w:rPr>
        <w:t xml:space="preserve"> parties, such as consultants, contractors and CMOs;</w:t>
      </w:r>
    </w:p>
    <w:p w:rsidR="000728AD" w:rsidRDefault="000728AD">
      <w:pPr>
        <w:spacing w:line="75" w:lineRule="exact"/>
        <w:rPr>
          <w:rFonts w:ascii="Arial" w:eastAsia="Arial" w:hAnsi="Arial" w:cs="Arial"/>
          <w:sz w:val="18"/>
          <w:szCs w:val="18"/>
        </w:rPr>
      </w:pPr>
    </w:p>
    <w:p w:rsidR="000728AD" w:rsidRDefault="000561BE">
      <w:pPr>
        <w:numPr>
          <w:ilvl w:val="0"/>
          <w:numId w:val="7"/>
        </w:numPr>
        <w:tabs>
          <w:tab w:val="left" w:pos="640"/>
        </w:tabs>
        <w:ind w:left="640" w:hanging="308"/>
        <w:rPr>
          <w:rFonts w:ascii="Arial" w:eastAsia="Arial" w:hAnsi="Arial" w:cs="Arial"/>
          <w:sz w:val="20"/>
          <w:szCs w:val="20"/>
        </w:rPr>
      </w:pPr>
      <w:r>
        <w:rPr>
          <w:rFonts w:ascii="Arial" w:eastAsia="Arial" w:hAnsi="Arial" w:cs="Arial"/>
          <w:sz w:val="20"/>
          <w:szCs w:val="20"/>
        </w:rPr>
        <w:t>patent-related costs incurred in connection with filing and prosecuting patent applications; and</w:t>
      </w:r>
    </w:p>
    <w:p w:rsidR="000728AD" w:rsidRDefault="000728AD">
      <w:pPr>
        <w:spacing w:line="161" w:lineRule="exact"/>
        <w:rPr>
          <w:rFonts w:ascii="Arial" w:eastAsia="Arial" w:hAnsi="Arial" w:cs="Arial"/>
          <w:sz w:val="20"/>
          <w:szCs w:val="20"/>
        </w:rPr>
      </w:pPr>
    </w:p>
    <w:p w:rsidR="000728AD" w:rsidRDefault="000561BE">
      <w:pPr>
        <w:numPr>
          <w:ilvl w:val="0"/>
          <w:numId w:val="7"/>
        </w:numPr>
        <w:tabs>
          <w:tab w:val="left" w:pos="648"/>
        </w:tabs>
        <w:spacing w:line="260" w:lineRule="auto"/>
        <w:ind w:left="660" w:right="320" w:hanging="328"/>
        <w:rPr>
          <w:rFonts w:ascii="Arial" w:eastAsia="Arial" w:hAnsi="Arial" w:cs="Arial"/>
          <w:sz w:val="20"/>
          <w:szCs w:val="20"/>
        </w:rPr>
      </w:pPr>
      <w:r>
        <w:rPr>
          <w:rFonts w:ascii="Arial" w:eastAsia="Arial" w:hAnsi="Arial" w:cs="Arial"/>
          <w:sz w:val="20"/>
          <w:szCs w:val="20"/>
        </w:rPr>
        <w:t>facilities, depreciation and other expenses, which include direct and allocated expenses for rent and ma</w:t>
      </w:r>
      <w:r>
        <w:rPr>
          <w:rFonts w:ascii="Arial" w:eastAsia="Arial" w:hAnsi="Arial" w:cs="Arial"/>
          <w:sz w:val="20"/>
          <w:szCs w:val="20"/>
        </w:rPr>
        <w:t>intenance of facilities and insurance.</w:t>
      </w:r>
    </w:p>
    <w:p w:rsidR="000728AD" w:rsidRDefault="000728AD">
      <w:pPr>
        <w:spacing w:line="177" w:lineRule="exact"/>
        <w:rPr>
          <w:sz w:val="20"/>
          <w:szCs w:val="20"/>
        </w:rPr>
      </w:pPr>
    </w:p>
    <w:p w:rsidR="000728AD" w:rsidRDefault="000561BE">
      <w:pPr>
        <w:spacing w:line="246" w:lineRule="auto"/>
        <w:rPr>
          <w:sz w:val="20"/>
          <w:szCs w:val="20"/>
        </w:rPr>
      </w:pPr>
      <w:r>
        <w:rPr>
          <w:rFonts w:ascii="Arial" w:eastAsia="Arial" w:hAnsi="Arial" w:cs="Arial"/>
          <w:sz w:val="20"/>
          <w:szCs w:val="20"/>
        </w:rPr>
        <w:t xml:space="preserve">We expense research and development costs as incurred. We often contract with CROs and CMOs to facilitate, coordinate and perform agreed-upon research, design, development, and manufacturing of our product </w:t>
      </w:r>
      <w:r>
        <w:rPr>
          <w:rFonts w:ascii="Arial" w:eastAsia="Arial" w:hAnsi="Arial" w:cs="Arial"/>
          <w:sz w:val="20"/>
          <w:szCs w:val="20"/>
        </w:rPr>
        <w:t>candidates. To ensure that research and development costs are expensed as incurred, we record monthly accruals for Clinical Studies, Clinical Trials and manufacturing costs based on the work performed under the contract.</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8" w:lineRule="exact"/>
        <w:rPr>
          <w:sz w:val="20"/>
          <w:szCs w:val="20"/>
        </w:rPr>
      </w:pPr>
    </w:p>
    <w:p w:rsidR="000728AD" w:rsidRDefault="000561BE">
      <w:pPr>
        <w:ind w:right="-79"/>
        <w:jc w:val="center"/>
        <w:rPr>
          <w:sz w:val="20"/>
          <w:szCs w:val="20"/>
        </w:rPr>
      </w:pPr>
      <w:r>
        <w:rPr>
          <w:rFonts w:ascii="Arial" w:eastAsia="Arial" w:hAnsi="Arial" w:cs="Arial"/>
          <w:sz w:val="18"/>
          <w:szCs w:val="18"/>
        </w:rPr>
        <w:t>23</w:t>
      </w:r>
    </w:p>
    <w:p w:rsidR="000728AD" w:rsidRDefault="000561BE">
      <w:pPr>
        <w:spacing w:line="20" w:lineRule="exact"/>
        <w:rPr>
          <w:sz w:val="20"/>
          <w:szCs w:val="20"/>
        </w:rPr>
      </w:pPr>
      <w:r>
        <w:rPr>
          <w:noProof/>
          <w:sz w:val="20"/>
          <w:szCs w:val="20"/>
        </w:rPr>
        <w:drawing>
          <wp:anchor distT="0" distB="0" distL="114300" distR="114300" simplePos="0" relativeHeight="251631616"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419" w:bottom="1440" w:left="320" w:header="0" w:footer="0" w:gutter="0"/>
          <w:cols w:space="720" w:equalWidth="0">
            <w:col w:w="11160"/>
          </w:cols>
        </w:sectPr>
      </w:pPr>
    </w:p>
    <w:bookmarkStart w:id="24" w:name="page24"/>
    <w:bookmarkEnd w:id="24"/>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73" w:lineRule="auto"/>
        <w:rPr>
          <w:sz w:val="20"/>
          <w:szCs w:val="20"/>
        </w:rPr>
      </w:pPr>
      <w:r>
        <w:rPr>
          <w:rFonts w:ascii="Arial" w:eastAsia="Arial" w:hAnsi="Arial" w:cs="Arial"/>
          <w:sz w:val="18"/>
          <w:szCs w:val="18"/>
        </w:rPr>
        <w:t xml:space="preserve">These CRO and CMO contracts typically call for the payment of fees for services at the initiation of the contract and/or upon the achievement of certain clinical or manufacturing milestones. In the event that </w:t>
      </w:r>
      <w:r>
        <w:rPr>
          <w:rFonts w:ascii="Arial" w:eastAsia="Arial" w:hAnsi="Arial" w:cs="Arial"/>
          <w:sz w:val="18"/>
          <w:szCs w:val="18"/>
        </w:rPr>
        <w:t>we prepay CRO or CMO fees, we record the prepayment as a prepaid asset and amortize the asset into research and development expense over the period of time the contracted research and development or manufacturing services are performed. Most professional f</w:t>
      </w:r>
      <w:r>
        <w:rPr>
          <w:rFonts w:ascii="Arial" w:eastAsia="Arial" w:hAnsi="Arial" w:cs="Arial"/>
          <w:sz w:val="18"/>
          <w:szCs w:val="18"/>
        </w:rPr>
        <w:t>ees, including project and clinical management, data management, monitoring and manufacturing fees are incurred throughout the contract period. These professional fees are expensed based on their estimated percentage of completion at a particular date. Our</w:t>
      </w:r>
      <w:r>
        <w:rPr>
          <w:rFonts w:ascii="Arial" w:eastAsia="Arial" w:hAnsi="Arial" w:cs="Arial"/>
          <w:sz w:val="18"/>
          <w:szCs w:val="18"/>
        </w:rPr>
        <w:t xml:space="preserve"> CRO and CMO contracts generally include pass through fees. Pass through fees include, but are not limited to, regulatory expenses, investigator fees, travel costs and other miscellaneous costs and raw materials. We expense the costs of pass through fees u</w:t>
      </w:r>
      <w:r>
        <w:rPr>
          <w:rFonts w:ascii="Arial" w:eastAsia="Arial" w:hAnsi="Arial" w:cs="Arial"/>
          <w:sz w:val="18"/>
          <w:szCs w:val="18"/>
        </w:rPr>
        <w:t>nder our CRO and CMO contracts as they are incurred, based on the best information available to us at the time.</w:t>
      </w:r>
    </w:p>
    <w:p w:rsidR="000728AD" w:rsidRDefault="000728AD">
      <w:pPr>
        <w:spacing w:line="168" w:lineRule="exact"/>
        <w:rPr>
          <w:sz w:val="20"/>
          <w:szCs w:val="20"/>
        </w:rPr>
      </w:pPr>
    </w:p>
    <w:p w:rsidR="000728AD" w:rsidRDefault="000561BE">
      <w:pPr>
        <w:spacing w:line="260" w:lineRule="auto"/>
        <w:ind w:right="360"/>
        <w:rPr>
          <w:sz w:val="20"/>
          <w:szCs w:val="20"/>
        </w:rPr>
      </w:pPr>
      <w:r>
        <w:rPr>
          <w:rFonts w:ascii="Arial" w:eastAsia="Arial" w:hAnsi="Arial" w:cs="Arial"/>
          <w:sz w:val="20"/>
          <w:szCs w:val="20"/>
        </w:rPr>
        <w:t>A significant portion of our research and development costs are not tracked by project as they benefit multiple projects or our technology plat</w:t>
      </w:r>
      <w:r>
        <w:rPr>
          <w:rFonts w:ascii="Arial" w:eastAsia="Arial" w:hAnsi="Arial" w:cs="Arial"/>
          <w:sz w:val="20"/>
          <w:szCs w:val="20"/>
        </w:rPr>
        <w:t>form, and, as such, are not separately classified.</w:t>
      </w:r>
    </w:p>
    <w:p w:rsidR="000728AD" w:rsidRDefault="000728AD">
      <w:pPr>
        <w:spacing w:line="177" w:lineRule="exact"/>
        <w:rPr>
          <w:sz w:val="20"/>
          <w:szCs w:val="20"/>
        </w:rPr>
      </w:pPr>
    </w:p>
    <w:p w:rsidR="000728AD" w:rsidRDefault="000561BE">
      <w:pPr>
        <w:spacing w:line="243" w:lineRule="auto"/>
        <w:ind w:right="160"/>
        <w:rPr>
          <w:sz w:val="20"/>
          <w:szCs w:val="20"/>
        </w:rPr>
      </w:pPr>
      <w:r>
        <w:rPr>
          <w:rFonts w:ascii="Arial" w:eastAsia="Arial" w:hAnsi="Arial" w:cs="Arial"/>
          <w:sz w:val="20"/>
          <w:szCs w:val="20"/>
        </w:rPr>
        <w:t>Research and development expenses may fluctuate from period to period depending upon the stage of certain projects and the stage of preclinical and clinical activities and development. Many factors can af</w:t>
      </w:r>
      <w:r>
        <w:rPr>
          <w:rFonts w:ascii="Arial" w:eastAsia="Arial" w:hAnsi="Arial" w:cs="Arial"/>
          <w:sz w:val="20"/>
          <w:szCs w:val="20"/>
        </w:rPr>
        <w:t>fect the cost and timing of our Clinical Studies and Clinical Trials, including, without limitation, slow patient enrollment and the availability of supplies, including as a result of the COVID-19 pandemic, and real or perceived lack of effect on biology o</w:t>
      </w:r>
      <w:r>
        <w:rPr>
          <w:rFonts w:ascii="Arial" w:eastAsia="Arial" w:hAnsi="Arial" w:cs="Arial"/>
          <w:sz w:val="20"/>
          <w:szCs w:val="20"/>
        </w:rPr>
        <w:t xml:space="preserve">r safety of our product candidates. In addition, the development of all of our product candidates may be subject to extensive governmental regulation. These factors make it difficult for us to predict the timing and costs of the further development of our </w:t>
      </w:r>
      <w:r>
        <w:rPr>
          <w:rFonts w:ascii="Arial" w:eastAsia="Arial" w:hAnsi="Arial" w:cs="Arial"/>
          <w:sz w:val="20"/>
          <w:szCs w:val="20"/>
        </w:rPr>
        <w:t>product candidates.</w:t>
      </w:r>
    </w:p>
    <w:p w:rsidR="000728AD" w:rsidRDefault="000728AD">
      <w:pPr>
        <w:spacing w:line="196" w:lineRule="exact"/>
        <w:rPr>
          <w:sz w:val="20"/>
          <w:szCs w:val="20"/>
        </w:rPr>
      </w:pPr>
    </w:p>
    <w:p w:rsidR="000728AD" w:rsidRDefault="000561BE">
      <w:pPr>
        <w:spacing w:line="282" w:lineRule="auto"/>
        <w:ind w:right="40"/>
        <w:rPr>
          <w:sz w:val="20"/>
          <w:szCs w:val="20"/>
        </w:rPr>
      </w:pPr>
      <w:r>
        <w:rPr>
          <w:rFonts w:ascii="Arial" w:eastAsia="Arial" w:hAnsi="Arial" w:cs="Arial"/>
          <w:sz w:val="18"/>
          <w:szCs w:val="18"/>
        </w:rPr>
        <w:t>See “Risk Factors” for further discussion of these and additional risks and uncertainties associated with product development and commercialization that may significantly affect the timing and cost of our research and development expen</w:t>
      </w:r>
      <w:r>
        <w:rPr>
          <w:rFonts w:ascii="Arial" w:eastAsia="Arial" w:hAnsi="Arial" w:cs="Arial"/>
          <w:sz w:val="18"/>
          <w:szCs w:val="18"/>
        </w:rPr>
        <w:t>ses and our ability to obtain regulatory approval for and successfully commercialize our product candidates. We expect research and development expenses to increase as we advance existing product candidates into additional Clinical Trials and Clinical Stud</w:t>
      </w:r>
      <w:r>
        <w:rPr>
          <w:rFonts w:ascii="Arial" w:eastAsia="Arial" w:hAnsi="Arial" w:cs="Arial"/>
          <w:sz w:val="18"/>
          <w:szCs w:val="18"/>
        </w:rPr>
        <w:t>ies and develop new product candidates.</w:t>
      </w:r>
    </w:p>
    <w:p w:rsidR="000728AD" w:rsidRDefault="000728AD">
      <w:pPr>
        <w:spacing w:line="161" w:lineRule="exact"/>
        <w:rPr>
          <w:sz w:val="20"/>
          <w:szCs w:val="20"/>
        </w:rPr>
      </w:pPr>
    </w:p>
    <w:p w:rsidR="000728AD" w:rsidRDefault="000561BE">
      <w:pPr>
        <w:rPr>
          <w:sz w:val="20"/>
          <w:szCs w:val="20"/>
        </w:rPr>
      </w:pPr>
      <w:r>
        <w:rPr>
          <w:rFonts w:ascii="Arial" w:eastAsia="Arial" w:hAnsi="Arial" w:cs="Arial"/>
          <w:b/>
          <w:bCs/>
          <w:i/>
          <w:iCs/>
          <w:sz w:val="20"/>
          <w:szCs w:val="20"/>
        </w:rPr>
        <w:t>General and Administrative Expenses</w:t>
      </w:r>
    </w:p>
    <w:p w:rsidR="000728AD" w:rsidRDefault="000728AD">
      <w:pPr>
        <w:spacing w:line="216" w:lineRule="exact"/>
        <w:rPr>
          <w:sz w:val="20"/>
          <w:szCs w:val="20"/>
        </w:rPr>
      </w:pPr>
    </w:p>
    <w:p w:rsidR="000728AD" w:rsidRDefault="000561BE">
      <w:pPr>
        <w:spacing w:line="250" w:lineRule="auto"/>
        <w:ind w:right="340"/>
        <w:jc w:val="both"/>
        <w:rPr>
          <w:sz w:val="20"/>
          <w:szCs w:val="20"/>
        </w:rPr>
      </w:pPr>
      <w:r>
        <w:rPr>
          <w:rFonts w:ascii="Arial" w:eastAsia="Arial" w:hAnsi="Arial" w:cs="Arial"/>
          <w:sz w:val="20"/>
          <w:szCs w:val="20"/>
        </w:rPr>
        <w:t xml:space="preserve">General and administrative expenses consist primarily of salaries, benefits, travel and stock-based compensation expense for personnel in executive, finance and </w:t>
      </w:r>
      <w:r>
        <w:rPr>
          <w:rFonts w:ascii="Arial" w:eastAsia="Arial" w:hAnsi="Arial" w:cs="Arial"/>
          <w:sz w:val="20"/>
          <w:szCs w:val="20"/>
        </w:rPr>
        <w:t>administrative functions. General and administrative expenses also include professional fees for legal, consulting, accounting and audit services.</w:t>
      </w:r>
    </w:p>
    <w:p w:rsidR="000728AD" w:rsidRDefault="000728AD">
      <w:pPr>
        <w:spacing w:line="186" w:lineRule="exact"/>
        <w:rPr>
          <w:sz w:val="20"/>
          <w:szCs w:val="20"/>
        </w:rPr>
      </w:pPr>
    </w:p>
    <w:p w:rsidR="000728AD" w:rsidRDefault="000561BE">
      <w:pPr>
        <w:spacing w:line="243" w:lineRule="auto"/>
        <w:ind w:right="40"/>
        <w:rPr>
          <w:sz w:val="20"/>
          <w:szCs w:val="20"/>
        </w:rPr>
      </w:pPr>
      <w:r>
        <w:rPr>
          <w:rFonts w:ascii="Arial" w:eastAsia="Arial" w:hAnsi="Arial" w:cs="Arial"/>
          <w:sz w:val="20"/>
          <w:szCs w:val="20"/>
        </w:rPr>
        <w:t>We anticipate that our general and administrative expenses will increase in the future as we increase our he</w:t>
      </w:r>
      <w:r>
        <w:rPr>
          <w:rFonts w:ascii="Arial" w:eastAsia="Arial" w:hAnsi="Arial" w:cs="Arial"/>
          <w:sz w:val="20"/>
          <w:szCs w:val="20"/>
        </w:rPr>
        <w:t>adcount to support our continued research and development of our product candidates. We also anticipate that we will incur increased finance, accounting, audit, legal, compliance, director and officer insurance costs as well as investor and public relation</w:t>
      </w:r>
      <w:r>
        <w:rPr>
          <w:rFonts w:ascii="Arial" w:eastAsia="Arial" w:hAnsi="Arial" w:cs="Arial"/>
          <w:sz w:val="20"/>
          <w:szCs w:val="20"/>
        </w:rPr>
        <w:t>s expenses associated with operating as a public company. Additionally, if and when we believe a regulatory approval of a product candidate appears likely, we anticipate an increase in payroll and expense as a result of our preparation for commercial opera</w:t>
      </w:r>
      <w:r>
        <w:rPr>
          <w:rFonts w:ascii="Arial" w:eastAsia="Arial" w:hAnsi="Arial" w:cs="Arial"/>
          <w:sz w:val="20"/>
          <w:szCs w:val="20"/>
        </w:rPr>
        <w:t>tions, especially as it relates to the sales and marketing of our product candidate.</w:t>
      </w:r>
    </w:p>
    <w:p w:rsidR="000728AD" w:rsidRDefault="000728AD">
      <w:pPr>
        <w:spacing w:line="196" w:lineRule="exact"/>
        <w:rPr>
          <w:sz w:val="20"/>
          <w:szCs w:val="20"/>
        </w:rPr>
      </w:pPr>
    </w:p>
    <w:p w:rsidR="000728AD" w:rsidRDefault="000561BE">
      <w:pPr>
        <w:rPr>
          <w:sz w:val="20"/>
          <w:szCs w:val="20"/>
        </w:rPr>
      </w:pPr>
      <w:r>
        <w:rPr>
          <w:rFonts w:ascii="Arial" w:eastAsia="Arial" w:hAnsi="Arial" w:cs="Arial"/>
          <w:b/>
          <w:bCs/>
          <w:i/>
          <w:iCs/>
          <w:sz w:val="20"/>
          <w:szCs w:val="20"/>
        </w:rPr>
        <w:t>Other Income (Expense), Net</w:t>
      </w:r>
    </w:p>
    <w:p w:rsidR="000728AD" w:rsidRDefault="000728AD">
      <w:pPr>
        <w:spacing w:line="216" w:lineRule="exact"/>
        <w:rPr>
          <w:sz w:val="20"/>
          <w:szCs w:val="20"/>
        </w:rPr>
      </w:pPr>
    </w:p>
    <w:p w:rsidR="000728AD" w:rsidRDefault="000561BE">
      <w:pPr>
        <w:spacing w:line="250" w:lineRule="auto"/>
        <w:ind w:right="400"/>
        <w:rPr>
          <w:sz w:val="20"/>
          <w:szCs w:val="20"/>
        </w:rPr>
      </w:pPr>
      <w:r>
        <w:rPr>
          <w:rFonts w:ascii="Arial" w:eastAsia="Arial" w:hAnsi="Arial" w:cs="Arial"/>
          <w:sz w:val="20"/>
          <w:szCs w:val="20"/>
        </w:rPr>
        <w:t>Other income (expense), net primarily consists of interest income and interest expense. Interest income consists of interest earned on our in</w:t>
      </w:r>
      <w:r>
        <w:rPr>
          <w:rFonts w:ascii="Arial" w:eastAsia="Arial" w:hAnsi="Arial" w:cs="Arial"/>
          <w:sz w:val="20"/>
          <w:szCs w:val="20"/>
        </w:rPr>
        <w:t>vested cash balances. Interest expense consists of interest on outstanding borrowings under our loan and security agreement, and the amortization expense of the debt discount and debt issuance costs.</w:t>
      </w:r>
    </w:p>
    <w:p w:rsidR="000728AD" w:rsidRDefault="000728AD">
      <w:pPr>
        <w:spacing w:line="186" w:lineRule="exact"/>
        <w:rPr>
          <w:sz w:val="20"/>
          <w:szCs w:val="20"/>
        </w:rPr>
      </w:pPr>
    </w:p>
    <w:p w:rsidR="000728AD" w:rsidRDefault="000561BE">
      <w:pPr>
        <w:rPr>
          <w:sz w:val="20"/>
          <w:szCs w:val="20"/>
        </w:rPr>
      </w:pPr>
      <w:r>
        <w:rPr>
          <w:rFonts w:ascii="Arial" w:eastAsia="Arial" w:hAnsi="Arial" w:cs="Arial"/>
          <w:b/>
          <w:bCs/>
          <w:i/>
          <w:iCs/>
          <w:sz w:val="20"/>
          <w:szCs w:val="20"/>
        </w:rPr>
        <w:t>Income Taxes</w:t>
      </w:r>
    </w:p>
    <w:p w:rsidR="000728AD" w:rsidRDefault="000728AD">
      <w:pPr>
        <w:spacing w:line="216" w:lineRule="exact"/>
        <w:rPr>
          <w:sz w:val="20"/>
          <w:szCs w:val="20"/>
        </w:rPr>
      </w:pPr>
    </w:p>
    <w:p w:rsidR="000728AD" w:rsidRDefault="000561BE">
      <w:pPr>
        <w:spacing w:line="250" w:lineRule="auto"/>
        <w:ind w:right="300"/>
        <w:rPr>
          <w:sz w:val="20"/>
          <w:szCs w:val="20"/>
        </w:rPr>
      </w:pPr>
      <w:r>
        <w:rPr>
          <w:rFonts w:ascii="Arial" w:eastAsia="Arial" w:hAnsi="Arial" w:cs="Arial"/>
          <w:sz w:val="20"/>
          <w:szCs w:val="20"/>
        </w:rPr>
        <w:t>Since our inception, we have not recorded</w:t>
      </w:r>
      <w:r>
        <w:rPr>
          <w:rFonts w:ascii="Arial" w:eastAsia="Arial" w:hAnsi="Arial" w:cs="Arial"/>
          <w:sz w:val="20"/>
          <w:szCs w:val="20"/>
        </w:rPr>
        <w:t xml:space="preserve"> any income tax benefits for the net losses we have incurred in each year or for our research and development tax credits, as we believe, based upon the weight of available evidence, that it is more likely than not that all of our net operating loss, or NO</w:t>
      </w:r>
      <w:r>
        <w:rPr>
          <w:rFonts w:ascii="Arial" w:eastAsia="Arial" w:hAnsi="Arial" w:cs="Arial"/>
          <w:sz w:val="20"/>
          <w:szCs w:val="20"/>
        </w:rPr>
        <w:t>Ls, carryforwards and tax credits will not be realized.</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2" w:lineRule="exact"/>
        <w:rPr>
          <w:sz w:val="20"/>
          <w:szCs w:val="20"/>
        </w:rPr>
      </w:pPr>
    </w:p>
    <w:p w:rsidR="000728AD" w:rsidRDefault="000561BE">
      <w:pPr>
        <w:ind w:right="-19"/>
        <w:jc w:val="center"/>
        <w:rPr>
          <w:sz w:val="20"/>
          <w:szCs w:val="20"/>
        </w:rPr>
      </w:pPr>
      <w:r>
        <w:rPr>
          <w:rFonts w:ascii="Arial" w:eastAsia="Arial" w:hAnsi="Arial" w:cs="Arial"/>
          <w:sz w:val="18"/>
          <w:szCs w:val="18"/>
        </w:rPr>
        <w:t>24</w:t>
      </w:r>
    </w:p>
    <w:p w:rsidR="000728AD" w:rsidRDefault="000561BE">
      <w:pPr>
        <w:spacing w:line="20" w:lineRule="exact"/>
        <w:rPr>
          <w:sz w:val="20"/>
          <w:szCs w:val="20"/>
        </w:rPr>
      </w:pPr>
      <w:r>
        <w:rPr>
          <w:noProof/>
          <w:sz w:val="20"/>
          <w:szCs w:val="20"/>
        </w:rPr>
        <w:drawing>
          <wp:anchor distT="0" distB="0" distL="114300" distR="114300" simplePos="0" relativeHeight="251632640"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59" w:bottom="1440" w:left="320" w:header="0" w:footer="0" w:gutter="0"/>
          <w:cols w:space="720" w:equalWidth="0">
            <w:col w:w="11220"/>
          </w:cols>
        </w:sectPr>
      </w:pPr>
    </w:p>
    <w:bookmarkStart w:id="25" w:name="page25"/>
    <w:bookmarkEnd w:id="25"/>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395" w:lineRule="exact"/>
        <w:rPr>
          <w:sz w:val="20"/>
          <w:szCs w:val="20"/>
        </w:rPr>
      </w:pPr>
    </w:p>
    <w:p w:rsidR="000728AD" w:rsidRDefault="000561BE">
      <w:pPr>
        <w:rPr>
          <w:sz w:val="20"/>
          <w:szCs w:val="20"/>
        </w:rPr>
      </w:pPr>
      <w:r>
        <w:rPr>
          <w:rFonts w:ascii="Arial" w:eastAsia="Arial" w:hAnsi="Arial" w:cs="Arial"/>
          <w:b/>
          <w:bCs/>
          <w:sz w:val="20"/>
          <w:szCs w:val="20"/>
        </w:rPr>
        <w:t>Results of Operations</w:t>
      </w:r>
    </w:p>
    <w:p w:rsidR="000728AD" w:rsidRDefault="000728AD">
      <w:pPr>
        <w:spacing w:line="222" w:lineRule="exact"/>
        <w:rPr>
          <w:sz w:val="20"/>
          <w:szCs w:val="20"/>
        </w:rPr>
      </w:pPr>
    </w:p>
    <w:p w:rsidR="000728AD" w:rsidRDefault="000561BE">
      <w:pPr>
        <w:rPr>
          <w:sz w:val="20"/>
          <w:szCs w:val="20"/>
        </w:rPr>
      </w:pPr>
      <w:r>
        <w:rPr>
          <w:rFonts w:ascii="Arial" w:eastAsia="Arial" w:hAnsi="Arial" w:cs="Arial"/>
          <w:b/>
          <w:bCs/>
          <w:i/>
          <w:iCs/>
          <w:sz w:val="20"/>
          <w:szCs w:val="20"/>
        </w:rPr>
        <w:t>Comparison of the Three Months Ended June 30, 2021 and 2020</w:t>
      </w:r>
    </w:p>
    <w:p w:rsidR="000728AD" w:rsidRDefault="000728AD">
      <w:pPr>
        <w:spacing w:line="216" w:lineRule="exact"/>
        <w:rPr>
          <w:sz w:val="20"/>
          <w:szCs w:val="20"/>
        </w:rPr>
      </w:pPr>
    </w:p>
    <w:p w:rsidR="000728AD" w:rsidRDefault="000561BE">
      <w:pPr>
        <w:rPr>
          <w:sz w:val="20"/>
          <w:szCs w:val="20"/>
        </w:rPr>
      </w:pPr>
      <w:r>
        <w:rPr>
          <w:rFonts w:ascii="Arial" w:eastAsia="Arial" w:hAnsi="Arial" w:cs="Arial"/>
          <w:sz w:val="20"/>
          <w:szCs w:val="20"/>
        </w:rPr>
        <w:t xml:space="preserve">The following table summarizes our </w:t>
      </w:r>
      <w:r>
        <w:rPr>
          <w:rFonts w:ascii="Arial" w:eastAsia="Arial" w:hAnsi="Arial" w:cs="Arial"/>
          <w:sz w:val="20"/>
          <w:szCs w:val="20"/>
        </w:rPr>
        <w:t>results of operations for the three months ended June 30, 2021 and 2020 (in thousands):</w:t>
      </w:r>
    </w:p>
    <w:p w:rsidR="000728AD" w:rsidRDefault="000728AD">
      <w:pPr>
        <w:spacing w:line="22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80"/>
        <w:gridCol w:w="340"/>
        <w:gridCol w:w="1160"/>
        <w:gridCol w:w="120"/>
        <w:gridCol w:w="420"/>
        <w:gridCol w:w="1100"/>
        <w:gridCol w:w="100"/>
        <w:gridCol w:w="300"/>
        <w:gridCol w:w="1220"/>
        <w:gridCol w:w="20"/>
      </w:tblGrid>
      <w:tr w:rsidR="000728AD">
        <w:trPr>
          <w:trHeight w:val="207"/>
        </w:trPr>
        <w:tc>
          <w:tcPr>
            <w:tcW w:w="6480" w:type="dxa"/>
            <w:vAlign w:val="bottom"/>
          </w:tcPr>
          <w:p w:rsidR="000728AD" w:rsidRDefault="000728AD">
            <w:pPr>
              <w:rPr>
                <w:sz w:val="17"/>
                <w:szCs w:val="17"/>
              </w:rPr>
            </w:pPr>
          </w:p>
        </w:tc>
        <w:tc>
          <w:tcPr>
            <w:tcW w:w="340" w:type="dxa"/>
            <w:vAlign w:val="bottom"/>
          </w:tcPr>
          <w:p w:rsidR="000728AD" w:rsidRDefault="000728AD">
            <w:pPr>
              <w:rPr>
                <w:sz w:val="17"/>
                <w:szCs w:val="17"/>
              </w:rPr>
            </w:pPr>
          </w:p>
        </w:tc>
        <w:tc>
          <w:tcPr>
            <w:tcW w:w="2900" w:type="dxa"/>
            <w:gridSpan w:val="5"/>
            <w:vAlign w:val="bottom"/>
          </w:tcPr>
          <w:p w:rsidR="000728AD" w:rsidRDefault="000561BE">
            <w:pPr>
              <w:ind w:left="400"/>
              <w:rPr>
                <w:sz w:val="20"/>
                <w:szCs w:val="20"/>
              </w:rPr>
            </w:pPr>
            <w:r>
              <w:rPr>
                <w:rFonts w:ascii="Arial" w:eastAsia="Arial" w:hAnsi="Arial" w:cs="Arial"/>
                <w:b/>
                <w:bCs/>
                <w:sz w:val="18"/>
                <w:szCs w:val="18"/>
              </w:rPr>
              <w:t>Three Months Ended</w:t>
            </w:r>
          </w:p>
        </w:tc>
        <w:tc>
          <w:tcPr>
            <w:tcW w:w="300" w:type="dxa"/>
            <w:vAlign w:val="bottom"/>
          </w:tcPr>
          <w:p w:rsidR="000728AD" w:rsidRDefault="000728AD">
            <w:pPr>
              <w:rPr>
                <w:sz w:val="17"/>
                <w:szCs w:val="17"/>
              </w:rPr>
            </w:pPr>
          </w:p>
        </w:tc>
        <w:tc>
          <w:tcPr>
            <w:tcW w:w="1220" w:type="dxa"/>
            <w:vAlign w:val="bottom"/>
          </w:tcPr>
          <w:p w:rsidR="000728AD" w:rsidRDefault="000728AD">
            <w:pPr>
              <w:rPr>
                <w:sz w:val="17"/>
                <w:szCs w:val="17"/>
              </w:rPr>
            </w:pPr>
          </w:p>
        </w:tc>
        <w:tc>
          <w:tcPr>
            <w:tcW w:w="0" w:type="dxa"/>
            <w:vAlign w:val="bottom"/>
          </w:tcPr>
          <w:p w:rsidR="000728AD" w:rsidRDefault="000728AD">
            <w:pPr>
              <w:rPr>
                <w:sz w:val="1"/>
                <w:szCs w:val="1"/>
              </w:rPr>
            </w:pPr>
          </w:p>
        </w:tc>
      </w:tr>
      <w:tr w:rsidR="000728AD">
        <w:trPr>
          <w:trHeight w:val="230"/>
        </w:trPr>
        <w:tc>
          <w:tcPr>
            <w:tcW w:w="6480" w:type="dxa"/>
            <w:vAlign w:val="bottom"/>
          </w:tcPr>
          <w:p w:rsidR="000728AD" w:rsidRDefault="000728AD">
            <w:pPr>
              <w:rPr>
                <w:sz w:val="19"/>
                <w:szCs w:val="19"/>
              </w:rPr>
            </w:pPr>
          </w:p>
        </w:tc>
        <w:tc>
          <w:tcPr>
            <w:tcW w:w="340" w:type="dxa"/>
            <w:tcBorders>
              <w:bottom w:val="single" w:sz="8" w:space="0" w:color="auto"/>
            </w:tcBorders>
            <w:vAlign w:val="bottom"/>
          </w:tcPr>
          <w:p w:rsidR="000728AD" w:rsidRDefault="000728AD">
            <w:pPr>
              <w:rPr>
                <w:sz w:val="19"/>
                <w:szCs w:val="19"/>
              </w:rPr>
            </w:pPr>
          </w:p>
        </w:tc>
        <w:tc>
          <w:tcPr>
            <w:tcW w:w="1700" w:type="dxa"/>
            <w:gridSpan w:val="3"/>
            <w:tcBorders>
              <w:bottom w:val="single" w:sz="8" w:space="0" w:color="auto"/>
            </w:tcBorders>
            <w:vAlign w:val="bottom"/>
          </w:tcPr>
          <w:p w:rsidR="000728AD" w:rsidRDefault="000561BE">
            <w:pPr>
              <w:ind w:right="61"/>
              <w:jc w:val="right"/>
              <w:rPr>
                <w:sz w:val="20"/>
                <w:szCs w:val="20"/>
              </w:rPr>
            </w:pPr>
            <w:r>
              <w:rPr>
                <w:rFonts w:ascii="Arial" w:eastAsia="Arial" w:hAnsi="Arial" w:cs="Arial"/>
                <w:b/>
                <w:bCs/>
                <w:sz w:val="18"/>
                <w:szCs w:val="18"/>
              </w:rPr>
              <w:t>June 30,</w:t>
            </w:r>
          </w:p>
        </w:tc>
        <w:tc>
          <w:tcPr>
            <w:tcW w:w="1100" w:type="dxa"/>
            <w:tcBorders>
              <w:bottom w:val="single" w:sz="8" w:space="0" w:color="auto"/>
            </w:tcBorders>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300" w:type="dxa"/>
            <w:tcBorders>
              <w:bottom w:val="single" w:sz="8" w:space="0" w:color="auto"/>
            </w:tcBorders>
            <w:vAlign w:val="bottom"/>
          </w:tcPr>
          <w:p w:rsidR="000728AD" w:rsidRDefault="000728AD">
            <w:pPr>
              <w:rPr>
                <w:sz w:val="19"/>
                <w:szCs w:val="19"/>
              </w:rPr>
            </w:pPr>
          </w:p>
        </w:tc>
        <w:tc>
          <w:tcPr>
            <w:tcW w:w="1220" w:type="dxa"/>
            <w:tcBorders>
              <w:bottom w:val="single" w:sz="8" w:space="0" w:color="auto"/>
            </w:tcBorders>
            <w:vAlign w:val="bottom"/>
          </w:tcPr>
          <w:p w:rsidR="000728AD" w:rsidRDefault="000728AD">
            <w:pPr>
              <w:rPr>
                <w:sz w:val="19"/>
                <w:szCs w:val="19"/>
              </w:rPr>
            </w:pPr>
          </w:p>
        </w:tc>
        <w:tc>
          <w:tcPr>
            <w:tcW w:w="0" w:type="dxa"/>
            <w:vAlign w:val="bottom"/>
          </w:tcPr>
          <w:p w:rsidR="000728AD" w:rsidRDefault="000728AD">
            <w:pPr>
              <w:rPr>
                <w:sz w:val="1"/>
                <w:szCs w:val="1"/>
              </w:rPr>
            </w:pPr>
          </w:p>
        </w:tc>
      </w:tr>
      <w:tr w:rsidR="000728AD">
        <w:trPr>
          <w:trHeight w:val="223"/>
        </w:trPr>
        <w:tc>
          <w:tcPr>
            <w:tcW w:w="6480" w:type="dxa"/>
            <w:vMerge w:val="restart"/>
            <w:vAlign w:val="bottom"/>
          </w:tcPr>
          <w:p w:rsidR="000728AD" w:rsidRDefault="000561BE">
            <w:pPr>
              <w:ind w:left="60"/>
              <w:rPr>
                <w:sz w:val="20"/>
                <w:szCs w:val="20"/>
              </w:rPr>
            </w:pPr>
            <w:r>
              <w:rPr>
                <w:rFonts w:ascii="Arial" w:eastAsia="Arial" w:hAnsi="Arial" w:cs="Arial"/>
                <w:sz w:val="20"/>
                <w:szCs w:val="20"/>
              </w:rPr>
              <w:t>Operating expenses:</w:t>
            </w:r>
          </w:p>
        </w:tc>
        <w:tc>
          <w:tcPr>
            <w:tcW w:w="340" w:type="dxa"/>
            <w:tcBorders>
              <w:bottom w:val="single" w:sz="8" w:space="0" w:color="auto"/>
            </w:tcBorders>
            <w:vAlign w:val="bottom"/>
          </w:tcPr>
          <w:p w:rsidR="000728AD" w:rsidRDefault="000728AD">
            <w:pPr>
              <w:rPr>
                <w:sz w:val="19"/>
                <w:szCs w:val="19"/>
              </w:rPr>
            </w:pPr>
          </w:p>
        </w:tc>
        <w:tc>
          <w:tcPr>
            <w:tcW w:w="1160" w:type="dxa"/>
            <w:tcBorders>
              <w:bottom w:val="single" w:sz="8" w:space="0" w:color="auto"/>
            </w:tcBorders>
            <w:vAlign w:val="bottom"/>
          </w:tcPr>
          <w:p w:rsidR="000728AD" w:rsidRDefault="000561BE">
            <w:pPr>
              <w:ind w:right="464"/>
              <w:jc w:val="right"/>
              <w:rPr>
                <w:sz w:val="20"/>
                <w:szCs w:val="20"/>
              </w:rPr>
            </w:pPr>
            <w:r>
              <w:rPr>
                <w:rFonts w:ascii="Arial" w:eastAsia="Arial" w:hAnsi="Arial" w:cs="Arial"/>
                <w:b/>
                <w:bCs/>
                <w:sz w:val="18"/>
                <w:szCs w:val="18"/>
              </w:rPr>
              <w:t>2021</w:t>
            </w:r>
          </w:p>
        </w:tc>
        <w:tc>
          <w:tcPr>
            <w:tcW w:w="120" w:type="dxa"/>
            <w:vAlign w:val="bottom"/>
          </w:tcPr>
          <w:p w:rsidR="000728AD" w:rsidRDefault="000728AD">
            <w:pPr>
              <w:rPr>
                <w:sz w:val="19"/>
                <w:szCs w:val="19"/>
              </w:rPr>
            </w:pPr>
          </w:p>
        </w:tc>
        <w:tc>
          <w:tcPr>
            <w:tcW w:w="420" w:type="dxa"/>
            <w:tcBorders>
              <w:bottom w:val="single" w:sz="8" w:space="0" w:color="auto"/>
            </w:tcBorders>
            <w:vAlign w:val="bottom"/>
          </w:tcPr>
          <w:p w:rsidR="000728AD" w:rsidRDefault="000728AD">
            <w:pPr>
              <w:rPr>
                <w:sz w:val="19"/>
                <w:szCs w:val="19"/>
              </w:rPr>
            </w:pPr>
          </w:p>
        </w:tc>
        <w:tc>
          <w:tcPr>
            <w:tcW w:w="1100" w:type="dxa"/>
            <w:tcBorders>
              <w:bottom w:val="single" w:sz="8" w:space="0" w:color="auto"/>
            </w:tcBorders>
            <w:vAlign w:val="bottom"/>
          </w:tcPr>
          <w:p w:rsidR="000728AD" w:rsidRDefault="000561BE">
            <w:pPr>
              <w:ind w:right="482"/>
              <w:jc w:val="right"/>
              <w:rPr>
                <w:sz w:val="20"/>
                <w:szCs w:val="20"/>
              </w:rPr>
            </w:pPr>
            <w:r>
              <w:rPr>
                <w:rFonts w:ascii="Arial" w:eastAsia="Arial" w:hAnsi="Arial" w:cs="Arial"/>
                <w:b/>
                <w:bCs/>
                <w:sz w:val="18"/>
                <w:szCs w:val="18"/>
              </w:rPr>
              <w:t>2020</w:t>
            </w:r>
          </w:p>
        </w:tc>
        <w:tc>
          <w:tcPr>
            <w:tcW w:w="100" w:type="dxa"/>
            <w:vAlign w:val="bottom"/>
          </w:tcPr>
          <w:p w:rsidR="000728AD" w:rsidRDefault="000728AD">
            <w:pPr>
              <w:rPr>
                <w:sz w:val="19"/>
                <w:szCs w:val="19"/>
              </w:rPr>
            </w:pPr>
          </w:p>
        </w:tc>
        <w:tc>
          <w:tcPr>
            <w:tcW w:w="300" w:type="dxa"/>
            <w:tcBorders>
              <w:bottom w:val="single" w:sz="8" w:space="0" w:color="auto"/>
            </w:tcBorders>
            <w:vAlign w:val="bottom"/>
          </w:tcPr>
          <w:p w:rsidR="000728AD" w:rsidRDefault="000728AD">
            <w:pPr>
              <w:rPr>
                <w:sz w:val="19"/>
                <w:szCs w:val="19"/>
              </w:rPr>
            </w:pPr>
          </w:p>
        </w:tc>
        <w:tc>
          <w:tcPr>
            <w:tcW w:w="1220" w:type="dxa"/>
            <w:tcBorders>
              <w:bottom w:val="single" w:sz="8" w:space="0" w:color="auto"/>
            </w:tcBorders>
            <w:vAlign w:val="bottom"/>
          </w:tcPr>
          <w:p w:rsidR="000728AD" w:rsidRDefault="000561BE">
            <w:pPr>
              <w:ind w:right="362"/>
              <w:jc w:val="right"/>
              <w:rPr>
                <w:sz w:val="20"/>
                <w:szCs w:val="20"/>
              </w:rPr>
            </w:pPr>
            <w:r>
              <w:rPr>
                <w:rFonts w:ascii="Arial" w:eastAsia="Arial" w:hAnsi="Arial" w:cs="Arial"/>
                <w:b/>
                <w:bCs/>
                <w:sz w:val="18"/>
                <w:szCs w:val="18"/>
              </w:rPr>
              <w:t>Change</w:t>
            </w:r>
          </w:p>
        </w:tc>
        <w:tc>
          <w:tcPr>
            <w:tcW w:w="0" w:type="dxa"/>
            <w:vAlign w:val="bottom"/>
          </w:tcPr>
          <w:p w:rsidR="000728AD" w:rsidRDefault="000728AD">
            <w:pPr>
              <w:rPr>
                <w:sz w:val="1"/>
                <w:szCs w:val="1"/>
              </w:rPr>
            </w:pPr>
          </w:p>
        </w:tc>
      </w:tr>
      <w:tr w:rsidR="000728AD">
        <w:trPr>
          <w:trHeight w:val="223"/>
        </w:trPr>
        <w:tc>
          <w:tcPr>
            <w:tcW w:w="6480" w:type="dxa"/>
            <w:vMerge/>
            <w:vAlign w:val="bottom"/>
          </w:tcPr>
          <w:p w:rsidR="000728AD" w:rsidRDefault="000728AD">
            <w:pPr>
              <w:rPr>
                <w:sz w:val="19"/>
                <w:szCs w:val="19"/>
              </w:rPr>
            </w:pPr>
          </w:p>
        </w:tc>
        <w:tc>
          <w:tcPr>
            <w:tcW w:w="340" w:type="dxa"/>
            <w:vAlign w:val="bottom"/>
          </w:tcPr>
          <w:p w:rsidR="000728AD" w:rsidRDefault="000728AD">
            <w:pPr>
              <w:rPr>
                <w:sz w:val="19"/>
                <w:szCs w:val="19"/>
              </w:rPr>
            </w:pPr>
          </w:p>
        </w:tc>
        <w:tc>
          <w:tcPr>
            <w:tcW w:w="1160" w:type="dxa"/>
            <w:vAlign w:val="bottom"/>
          </w:tcPr>
          <w:p w:rsidR="000728AD" w:rsidRDefault="000728AD">
            <w:pPr>
              <w:rPr>
                <w:sz w:val="19"/>
                <w:szCs w:val="19"/>
              </w:rPr>
            </w:pPr>
          </w:p>
        </w:tc>
        <w:tc>
          <w:tcPr>
            <w:tcW w:w="120" w:type="dxa"/>
            <w:vAlign w:val="bottom"/>
          </w:tcPr>
          <w:p w:rsidR="000728AD" w:rsidRDefault="000728AD">
            <w:pPr>
              <w:rPr>
                <w:sz w:val="19"/>
                <w:szCs w:val="19"/>
              </w:rPr>
            </w:pPr>
          </w:p>
        </w:tc>
        <w:tc>
          <w:tcPr>
            <w:tcW w:w="420" w:type="dxa"/>
            <w:vAlign w:val="bottom"/>
          </w:tcPr>
          <w:p w:rsidR="000728AD" w:rsidRDefault="000728AD">
            <w:pPr>
              <w:rPr>
                <w:sz w:val="19"/>
                <w:szCs w:val="19"/>
              </w:rPr>
            </w:pPr>
          </w:p>
        </w:tc>
        <w:tc>
          <w:tcPr>
            <w:tcW w:w="110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300" w:type="dxa"/>
            <w:vAlign w:val="bottom"/>
          </w:tcPr>
          <w:p w:rsidR="000728AD" w:rsidRDefault="000728AD">
            <w:pPr>
              <w:rPr>
                <w:sz w:val="19"/>
                <w:szCs w:val="19"/>
              </w:rPr>
            </w:pPr>
          </w:p>
        </w:tc>
        <w:tc>
          <w:tcPr>
            <w:tcW w:w="1220" w:type="dxa"/>
            <w:vAlign w:val="bottom"/>
          </w:tcPr>
          <w:p w:rsidR="000728AD" w:rsidRDefault="000728AD">
            <w:pPr>
              <w:rPr>
                <w:sz w:val="19"/>
                <w:szCs w:val="19"/>
              </w:rPr>
            </w:pPr>
          </w:p>
        </w:tc>
        <w:tc>
          <w:tcPr>
            <w:tcW w:w="0" w:type="dxa"/>
            <w:vAlign w:val="bottom"/>
          </w:tcPr>
          <w:p w:rsidR="000728AD" w:rsidRDefault="000728AD">
            <w:pPr>
              <w:rPr>
                <w:sz w:val="1"/>
                <w:szCs w:val="1"/>
              </w:rPr>
            </w:pPr>
          </w:p>
        </w:tc>
      </w:tr>
      <w:tr w:rsidR="000728AD">
        <w:trPr>
          <w:trHeight w:val="243"/>
        </w:trPr>
        <w:tc>
          <w:tcPr>
            <w:tcW w:w="6480" w:type="dxa"/>
            <w:shd w:val="clear" w:color="auto" w:fill="CCEEFF"/>
            <w:vAlign w:val="bottom"/>
          </w:tcPr>
          <w:p w:rsidR="000728AD" w:rsidRDefault="000561BE">
            <w:pPr>
              <w:ind w:left="260"/>
              <w:rPr>
                <w:sz w:val="20"/>
                <w:szCs w:val="20"/>
              </w:rPr>
            </w:pPr>
            <w:r>
              <w:rPr>
                <w:rFonts w:ascii="Arial" w:eastAsia="Arial" w:hAnsi="Arial" w:cs="Arial"/>
                <w:sz w:val="20"/>
                <w:szCs w:val="20"/>
              </w:rPr>
              <w:t>Research and development</w:t>
            </w:r>
          </w:p>
        </w:tc>
        <w:tc>
          <w:tcPr>
            <w:tcW w:w="340" w:type="dxa"/>
            <w:shd w:val="clear" w:color="auto" w:fill="CCEEFF"/>
            <w:vAlign w:val="bottom"/>
          </w:tcPr>
          <w:p w:rsidR="000728AD" w:rsidRDefault="000561BE">
            <w:pPr>
              <w:ind w:right="121"/>
              <w:jc w:val="right"/>
              <w:rPr>
                <w:sz w:val="20"/>
                <w:szCs w:val="20"/>
              </w:rPr>
            </w:pPr>
            <w:r>
              <w:rPr>
                <w:rFonts w:ascii="Arial" w:eastAsia="Arial" w:hAnsi="Arial" w:cs="Arial"/>
                <w:w w:val="89"/>
                <w:sz w:val="20"/>
                <w:szCs w:val="20"/>
              </w:rPr>
              <w:t>$</w:t>
            </w:r>
          </w:p>
        </w:tc>
        <w:tc>
          <w:tcPr>
            <w:tcW w:w="1160" w:type="dxa"/>
            <w:shd w:val="clear" w:color="auto" w:fill="CCEEFF"/>
            <w:vAlign w:val="bottom"/>
          </w:tcPr>
          <w:p w:rsidR="000728AD" w:rsidRDefault="000561BE">
            <w:pPr>
              <w:jc w:val="right"/>
              <w:rPr>
                <w:sz w:val="20"/>
                <w:szCs w:val="20"/>
              </w:rPr>
            </w:pPr>
            <w:r>
              <w:rPr>
                <w:rFonts w:ascii="Arial" w:eastAsia="Arial" w:hAnsi="Arial" w:cs="Arial"/>
                <w:sz w:val="20"/>
                <w:szCs w:val="20"/>
              </w:rPr>
              <w:t>10,298</w:t>
            </w:r>
          </w:p>
        </w:tc>
        <w:tc>
          <w:tcPr>
            <w:tcW w:w="120" w:type="dxa"/>
            <w:shd w:val="clear" w:color="auto" w:fill="CCEEFF"/>
            <w:vAlign w:val="bottom"/>
          </w:tcPr>
          <w:p w:rsidR="000728AD" w:rsidRDefault="000728AD">
            <w:pPr>
              <w:rPr>
                <w:sz w:val="21"/>
                <w:szCs w:val="21"/>
              </w:rPr>
            </w:pPr>
          </w:p>
        </w:tc>
        <w:tc>
          <w:tcPr>
            <w:tcW w:w="420" w:type="dxa"/>
            <w:shd w:val="clear" w:color="auto" w:fill="CCEEFF"/>
            <w:vAlign w:val="bottom"/>
          </w:tcPr>
          <w:p w:rsidR="000728AD" w:rsidRDefault="000561BE">
            <w:pPr>
              <w:ind w:right="201"/>
              <w:jc w:val="right"/>
              <w:rPr>
                <w:sz w:val="20"/>
                <w:szCs w:val="20"/>
              </w:rPr>
            </w:pPr>
            <w:r>
              <w:rPr>
                <w:rFonts w:ascii="Arial" w:eastAsia="Arial" w:hAnsi="Arial" w:cs="Arial"/>
                <w:w w:val="89"/>
                <w:sz w:val="20"/>
                <w:szCs w:val="20"/>
              </w:rPr>
              <w:t>$</w:t>
            </w:r>
          </w:p>
        </w:tc>
        <w:tc>
          <w:tcPr>
            <w:tcW w:w="1100" w:type="dxa"/>
            <w:shd w:val="clear" w:color="auto" w:fill="CCEEFF"/>
            <w:vAlign w:val="bottom"/>
          </w:tcPr>
          <w:p w:rsidR="000728AD" w:rsidRDefault="000561BE">
            <w:pPr>
              <w:jc w:val="right"/>
              <w:rPr>
                <w:sz w:val="20"/>
                <w:szCs w:val="20"/>
              </w:rPr>
            </w:pPr>
            <w:r>
              <w:rPr>
                <w:rFonts w:ascii="Arial" w:eastAsia="Arial" w:hAnsi="Arial" w:cs="Arial"/>
                <w:sz w:val="20"/>
                <w:szCs w:val="20"/>
              </w:rPr>
              <w:t>8,565</w:t>
            </w:r>
          </w:p>
        </w:tc>
        <w:tc>
          <w:tcPr>
            <w:tcW w:w="100" w:type="dxa"/>
            <w:shd w:val="clear" w:color="auto" w:fill="CCEEFF"/>
            <w:vAlign w:val="bottom"/>
          </w:tcPr>
          <w:p w:rsidR="000728AD" w:rsidRDefault="000728AD">
            <w:pPr>
              <w:rPr>
                <w:sz w:val="21"/>
                <w:szCs w:val="21"/>
              </w:rPr>
            </w:pPr>
          </w:p>
        </w:tc>
        <w:tc>
          <w:tcPr>
            <w:tcW w:w="300" w:type="dxa"/>
            <w:shd w:val="clear" w:color="auto" w:fill="CCEEFF"/>
            <w:vAlign w:val="bottom"/>
          </w:tcPr>
          <w:p w:rsidR="000728AD" w:rsidRDefault="000561BE">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rsidR="000728AD" w:rsidRDefault="000561BE">
            <w:pPr>
              <w:jc w:val="right"/>
              <w:rPr>
                <w:sz w:val="20"/>
                <w:szCs w:val="20"/>
              </w:rPr>
            </w:pPr>
            <w:r>
              <w:rPr>
                <w:rFonts w:ascii="Arial" w:eastAsia="Arial" w:hAnsi="Arial" w:cs="Arial"/>
                <w:sz w:val="20"/>
                <w:szCs w:val="20"/>
              </w:rPr>
              <w:t>1,733</w:t>
            </w:r>
          </w:p>
        </w:tc>
        <w:tc>
          <w:tcPr>
            <w:tcW w:w="0" w:type="dxa"/>
            <w:vAlign w:val="bottom"/>
          </w:tcPr>
          <w:p w:rsidR="000728AD" w:rsidRDefault="000728AD">
            <w:pPr>
              <w:rPr>
                <w:sz w:val="1"/>
                <w:szCs w:val="1"/>
              </w:rPr>
            </w:pPr>
          </w:p>
        </w:tc>
      </w:tr>
      <w:tr w:rsidR="000728AD">
        <w:trPr>
          <w:trHeight w:val="243"/>
        </w:trPr>
        <w:tc>
          <w:tcPr>
            <w:tcW w:w="6480" w:type="dxa"/>
            <w:tcBorders>
              <w:bottom w:val="single" w:sz="8" w:space="0" w:color="CCEEFF"/>
            </w:tcBorders>
            <w:vAlign w:val="bottom"/>
          </w:tcPr>
          <w:p w:rsidR="000728AD" w:rsidRDefault="000561BE">
            <w:pPr>
              <w:ind w:left="260"/>
              <w:rPr>
                <w:sz w:val="20"/>
                <w:szCs w:val="20"/>
              </w:rPr>
            </w:pPr>
            <w:r>
              <w:rPr>
                <w:rFonts w:ascii="Arial" w:eastAsia="Arial" w:hAnsi="Arial" w:cs="Arial"/>
                <w:sz w:val="20"/>
                <w:szCs w:val="20"/>
              </w:rPr>
              <w:t xml:space="preserve">General and </w:t>
            </w:r>
            <w:r>
              <w:rPr>
                <w:rFonts w:ascii="Arial" w:eastAsia="Arial" w:hAnsi="Arial" w:cs="Arial"/>
                <w:sz w:val="20"/>
                <w:szCs w:val="20"/>
              </w:rPr>
              <w:t>administrative</w:t>
            </w:r>
          </w:p>
        </w:tc>
        <w:tc>
          <w:tcPr>
            <w:tcW w:w="340" w:type="dxa"/>
            <w:tcBorders>
              <w:bottom w:val="single" w:sz="8" w:space="0" w:color="auto"/>
            </w:tcBorders>
            <w:vAlign w:val="bottom"/>
          </w:tcPr>
          <w:p w:rsidR="000728AD" w:rsidRDefault="000728AD">
            <w:pPr>
              <w:rPr>
                <w:sz w:val="21"/>
                <w:szCs w:val="21"/>
              </w:rPr>
            </w:pPr>
          </w:p>
        </w:tc>
        <w:tc>
          <w:tcPr>
            <w:tcW w:w="116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4,946</w:t>
            </w:r>
          </w:p>
        </w:tc>
        <w:tc>
          <w:tcPr>
            <w:tcW w:w="120" w:type="dxa"/>
            <w:tcBorders>
              <w:bottom w:val="single" w:sz="8" w:space="0" w:color="CCEEFF"/>
            </w:tcBorders>
            <w:vAlign w:val="bottom"/>
          </w:tcPr>
          <w:p w:rsidR="000728AD" w:rsidRDefault="000728AD">
            <w:pPr>
              <w:rPr>
                <w:sz w:val="21"/>
                <w:szCs w:val="21"/>
              </w:rPr>
            </w:pPr>
          </w:p>
        </w:tc>
        <w:tc>
          <w:tcPr>
            <w:tcW w:w="420" w:type="dxa"/>
            <w:tcBorders>
              <w:bottom w:val="single" w:sz="8" w:space="0" w:color="auto"/>
            </w:tcBorders>
            <w:vAlign w:val="bottom"/>
          </w:tcPr>
          <w:p w:rsidR="000728AD" w:rsidRDefault="000728AD">
            <w:pPr>
              <w:rPr>
                <w:sz w:val="21"/>
                <w:szCs w:val="21"/>
              </w:rPr>
            </w:pPr>
          </w:p>
        </w:tc>
        <w:tc>
          <w:tcPr>
            <w:tcW w:w="110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4,619</w:t>
            </w:r>
          </w:p>
        </w:tc>
        <w:tc>
          <w:tcPr>
            <w:tcW w:w="100" w:type="dxa"/>
            <w:tcBorders>
              <w:bottom w:val="single" w:sz="8" w:space="0" w:color="CCEEFF"/>
            </w:tcBorders>
            <w:vAlign w:val="bottom"/>
          </w:tcPr>
          <w:p w:rsidR="000728AD" w:rsidRDefault="000728AD">
            <w:pPr>
              <w:rPr>
                <w:sz w:val="21"/>
                <w:szCs w:val="21"/>
              </w:rPr>
            </w:pPr>
          </w:p>
        </w:tc>
        <w:tc>
          <w:tcPr>
            <w:tcW w:w="300" w:type="dxa"/>
            <w:tcBorders>
              <w:bottom w:val="single" w:sz="8" w:space="0" w:color="auto"/>
            </w:tcBorders>
            <w:vAlign w:val="bottom"/>
          </w:tcPr>
          <w:p w:rsidR="000728AD" w:rsidRDefault="000728AD">
            <w:pPr>
              <w:rPr>
                <w:sz w:val="21"/>
                <w:szCs w:val="21"/>
              </w:rPr>
            </w:pPr>
          </w:p>
        </w:tc>
        <w:tc>
          <w:tcPr>
            <w:tcW w:w="122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327</w:t>
            </w:r>
          </w:p>
        </w:tc>
        <w:tc>
          <w:tcPr>
            <w:tcW w:w="0" w:type="dxa"/>
            <w:vAlign w:val="bottom"/>
          </w:tcPr>
          <w:p w:rsidR="000728AD" w:rsidRDefault="000728AD">
            <w:pPr>
              <w:rPr>
                <w:sz w:val="1"/>
                <w:szCs w:val="1"/>
              </w:rPr>
            </w:pPr>
          </w:p>
        </w:tc>
      </w:tr>
      <w:tr w:rsidR="000728AD">
        <w:trPr>
          <w:trHeight w:val="237"/>
        </w:trPr>
        <w:tc>
          <w:tcPr>
            <w:tcW w:w="6480" w:type="dxa"/>
            <w:shd w:val="clear" w:color="auto" w:fill="CCEEFF"/>
            <w:vAlign w:val="bottom"/>
          </w:tcPr>
          <w:p w:rsidR="000728AD" w:rsidRDefault="000561BE">
            <w:pPr>
              <w:ind w:left="60"/>
              <w:rPr>
                <w:sz w:val="20"/>
                <w:szCs w:val="20"/>
              </w:rPr>
            </w:pPr>
            <w:r>
              <w:rPr>
                <w:rFonts w:ascii="Arial" w:eastAsia="Arial" w:hAnsi="Arial" w:cs="Arial"/>
                <w:sz w:val="20"/>
                <w:szCs w:val="20"/>
              </w:rPr>
              <w:t>Total operating expenses</w:t>
            </w:r>
          </w:p>
        </w:tc>
        <w:tc>
          <w:tcPr>
            <w:tcW w:w="340" w:type="dxa"/>
            <w:tcBorders>
              <w:bottom w:val="single" w:sz="8" w:space="0" w:color="auto"/>
            </w:tcBorders>
            <w:shd w:val="clear" w:color="auto" w:fill="CCEEFF"/>
            <w:vAlign w:val="bottom"/>
          </w:tcPr>
          <w:p w:rsidR="000728AD" w:rsidRDefault="000728AD">
            <w:pPr>
              <w:rPr>
                <w:sz w:val="20"/>
                <w:szCs w:val="20"/>
              </w:rPr>
            </w:pPr>
          </w:p>
        </w:tc>
        <w:tc>
          <w:tcPr>
            <w:tcW w:w="116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15,244</w:t>
            </w:r>
          </w:p>
        </w:tc>
        <w:tc>
          <w:tcPr>
            <w:tcW w:w="120" w:type="dxa"/>
            <w:shd w:val="clear" w:color="auto" w:fill="CCEEFF"/>
            <w:vAlign w:val="bottom"/>
          </w:tcPr>
          <w:p w:rsidR="000728AD" w:rsidRDefault="000728AD">
            <w:pPr>
              <w:rPr>
                <w:sz w:val="20"/>
                <w:szCs w:val="20"/>
              </w:rPr>
            </w:pPr>
          </w:p>
        </w:tc>
        <w:tc>
          <w:tcPr>
            <w:tcW w:w="420" w:type="dxa"/>
            <w:tcBorders>
              <w:bottom w:val="single" w:sz="8" w:space="0" w:color="auto"/>
            </w:tcBorders>
            <w:shd w:val="clear" w:color="auto" w:fill="CCEEFF"/>
            <w:vAlign w:val="bottom"/>
          </w:tcPr>
          <w:p w:rsidR="000728AD" w:rsidRDefault="000728AD">
            <w:pPr>
              <w:rPr>
                <w:sz w:val="20"/>
                <w:szCs w:val="20"/>
              </w:rPr>
            </w:pPr>
          </w:p>
        </w:tc>
        <w:tc>
          <w:tcPr>
            <w:tcW w:w="110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13,184</w:t>
            </w:r>
          </w:p>
        </w:tc>
        <w:tc>
          <w:tcPr>
            <w:tcW w:w="100" w:type="dxa"/>
            <w:shd w:val="clear" w:color="auto" w:fill="CCEEFF"/>
            <w:vAlign w:val="bottom"/>
          </w:tcPr>
          <w:p w:rsidR="000728AD" w:rsidRDefault="000728AD">
            <w:pPr>
              <w:rPr>
                <w:sz w:val="20"/>
                <w:szCs w:val="20"/>
              </w:rPr>
            </w:pPr>
          </w:p>
        </w:tc>
        <w:tc>
          <w:tcPr>
            <w:tcW w:w="300" w:type="dxa"/>
            <w:tcBorders>
              <w:bottom w:val="single" w:sz="8" w:space="0" w:color="auto"/>
            </w:tcBorders>
            <w:shd w:val="clear" w:color="auto" w:fill="CCEEFF"/>
            <w:vAlign w:val="bottom"/>
          </w:tcPr>
          <w:p w:rsidR="000728AD" w:rsidRDefault="000728AD">
            <w:pPr>
              <w:rPr>
                <w:sz w:val="20"/>
                <w:szCs w:val="20"/>
              </w:rPr>
            </w:pPr>
          </w:p>
        </w:tc>
        <w:tc>
          <w:tcPr>
            <w:tcW w:w="122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2,060</w:t>
            </w:r>
          </w:p>
        </w:tc>
        <w:tc>
          <w:tcPr>
            <w:tcW w:w="0" w:type="dxa"/>
            <w:vAlign w:val="bottom"/>
          </w:tcPr>
          <w:p w:rsidR="000728AD" w:rsidRDefault="000728AD">
            <w:pPr>
              <w:rPr>
                <w:sz w:val="1"/>
                <w:szCs w:val="1"/>
              </w:rPr>
            </w:pPr>
          </w:p>
        </w:tc>
      </w:tr>
      <w:tr w:rsidR="000728AD">
        <w:trPr>
          <w:trHeight w:val="237"/>
        </w:trPr>
        <w:tc>
          <w:tcPr>
            <w:tcW w:w="6480" w:type="dxa"/>
            <w:vAlign w:val="bottom"/>
          </w:tcPr>
          <w:p w:rsidR="000728AD" w:rsidRDefault="000561BE">
            <w:pPr>
              <w:ind w:left="260"/>
              <w:rPr>
                <w:sz w:val="20"/>
                <w:szCs w:val="20"/>
              </w:rPr>
            </w:pPr>
            <w:r>
              <w:rPr>
                <w:rFonts w:ascii="Arial" w:eastAsia="Arial" w:hAnsi="Arial" w:cs="Arial"/>
                <w:sz w:val="20"/>
                <w:szCs w:val="20"/>
              </w:rPr>
              <w:t>Loss from operations</w:t>
            </w:r>
          </w:p>
        </w:tc>
        <w:tc>
          <w:tcPr>
            <w:tcW w:w="340" w:type="dxa"/>
            <w:vAlign w:val="bottom"/>
          </w:tcPr>
          <w:p w:rsidR="000728AD" w:rsidRDefault="000728AD">
            <w:pPr>
              <w:rPr>
                <w:sz w:val="20"/>
                <w:szCs w:val="20"/>
              </w:rPr>
            </w:pPr>
          </w:p>
        </w:tc>
        <w:tc>
          <w:tcPr>
            <w:tcW w:w="1160" w:type="dxa"/>
            <w:vAlign w:val="bottom"/>
          </w:tcPr>
          <w:p w:rsidR="000728AD" w:rsidRDefault="000561BE">
            <w:pPr>
              <w:jc w:val="right"/>
              <w:rPr>
                <w:sz w:val="20"/>
                <w:szCs w:val="20"/>
              </w:rPr>
            </w:pPr>
            <w:r>
              <w:rPr>
                <w:rFonts w:ascii="Arial" w:eastAsia="Arial" w:hAnsi="Arial" w:cs="Arial"/>
                <w:sz w:val="20"/>
                <w:szCs w:val="20"/>
              </w:rPr>
              <w:t>(15,244)</w:t>
            </w:r>
          </w:p>
        </w:tc>
        <w:tc>
          <w:tcPr>
            <w:tcW w:w="120" w:type="dxa"/>
            <w:vAlign w:val="bottom"/>
          </w:tcPr>
          <w:p w:rsidR="000728AD" w:rsidRDefault="000728AD">
            <w:pPr>
              <w:rPr>
                <w:sz w:val="20"/>
                <w:szCs w:val="20"/>
              </w:rPr>
            </w:pPr>
          </w:p>
        </w:tc>
        <w:tc>
          <w:tcPr>
            <w:tcW w:w="420" w:type="dxa"/>
            <w:vAlign w:val="bottom"/>
          </w:tcPr>
          <w:p w:rsidR="000728AD" w:rsidRDefault="000728AD">
            <w:pPr>
              <w:rPr>
                <w:sz w:val="20"/>
                <w:szCs w:val="20"/>
              </w:rPr>
            </w:pPr>
          </w:p>
        </w:tc>
        <w:tc>
          <w:tcPr>
            <w:tcW w:w="1100" w:type="dxa"/>
            <w:vAlign w:val="bottom"/>
          </w:tcPr>
          <w:p w:rsidR="000728AD" w:rsidRDefault="000561BE">
            <w:pPr>
              <w:jc w:val="right"/>
              <w:rPr>
                <w:sz w:val="20"/>
                <w:szCs w:val="20"/>
              </w:rPr>
            </w:pPr>
            <w:r>
              <w:rPr>
                <w:rFonts w:ascii="Arial" w:eastAsia="Arial" w:hAnsi="Arial" w:cs="Arial"/>
                <w:sz w:val="20"/>
                <w:szCs w:val="20"/>
              </w:rPr>
              <w:t>(13,184)</w:t>
            </w:r>
          </w:p>
        </w:tc>
        <w:tc>
          <w:tcPr>
            <w:tcW w:w="100" w:type="dxa"/>
            <w:vAlign w:val="bottom"/>
          </w:tcPr>
          <w:p w:rsidR="000728AD" w:rsidRDefault="000728AD">
            <w:pPr>
              <w:rPr>
                <w:sz w:val="20"/>
                <w:szCs w:val="20"/>
              </w:rPr>
            </w:pPr>
          </w:p>
        </w:tc>
        <w:tc>
          <w:tcPr>
            <w:tcW w:w="300" w:type="dxa"/>
            <w:vAlign w:val="bottom"/>
          </w:tcPr>
          <w:p w:rsidR="000728AD" w:rsidRDefault="000728AD">
            <w:pPr>
              <w:rPr>
                <w:sz w:val="20"/>
                <w:szCs w:val="20"/>
              </w:rPr>
            </w:pPr>
          </w:p>
        </w:tc>
        <w:tc>
          <w:tcPr>
            <w:tcW w:w="1220" w:type="dxa"/>
            <w:vAlign w:val="bottom"/>
          </w:tcPr>
          <w:p w:rsidR="000728AD" w:rsidRDefault="000561BE">
            <w:pPr>
              <w:jc w:val="right"/>
              <w:rPr>
                <w:sz w:val="20"/>
                <w:szCs w:val="20"/>
              </w:rPr>
            </w:pPr>
            <w:r>
              <w:rPr>
                <w:rFonts w:ascii="Arial" w:eastAsia="Arial" w:hAnsi="Arial" w:cs="Arial"/>
                <w:sz w:val="20"/>
                <w:szCs w:val="20"/>
              </w:rPr>
              <w:t>(2,060)</w:t>
            </w:r>
          </w:p>
        </w:tc>
        <w:tc>
          <w:tcPr>
            <w:tcW w:w="0" w:type="dxa"/>
            <w:vAlign w:val="bottom"/>
          </w:tcPr>
          <w:p w:rsidR="000728AD" w:rsidRDefault="000728AD">
            <w:pPr>
              <w:rPr>
                <w:sz w:val="1"/>
                <w:szCs w:val="1"/>
              </w:rPr>
            </w:pPr>
          </w:p>
        </w:tc>
      </w:tr>
      <w:tr w:rsidR="000728AD">
        <w:trPr>
          <w:trHeight w:val="243"/>
        </w:trPr>
        <w:tc>
          <w:tcPr>
            <w:tcW w:w="6480" w:type="dxa"/>
            <w:shd w:val="clear" w:color="auto" w:fill="CCEEFF"/>
            <w:vAlign w:val="bottom"/>
          </w:tcPr>
          <w:p w:rsidR="000728AD" w:rsidRDefault="000561BE">
            <w:pPr>
              <w:ind w:left="60"/>
              <w:rPr>
                <w:sz w:val="20"/>
                <w:szCs w:val="20"/>
              </w:rPr>
            </w:pPr>
            <w:r>
              <w:rPr>
                <w:rFonts w:ascii="Arial" w:eastAsia="Arial" w:hAnsi="Arial" w:cs="Arial"/>
                <w:sz w:val="20"/>
                <w:szCs w:val="20"/>
              </w:rPr>
              <w:t>Other income (expense):</w:t>
            </w:r>
          </w:p>
        </w:tc>
        <w:tc>
          <w:tcPr>
            <w:tcW w:w="340" w:type="dxa"/>
            <w:shd w:val="clear" w:color="auto" w:fill="CCEEFF"/>
            <w:vAlign w:val="bottom"/>
          </w:tcPr>
          <w:p w:rsidR="000728AD" w:rsidRDefault="000728AD">
            <w:pPr>
              <w:rPr>
                <w:sz w:val="21"/>
                <w:szCs w:val="21"/>
              </w:rPr>
            </w:pPr>
          </w:p>
        </w:tc>
        <w:tc>
          <w:tcPr>
            <w:tcW w:w="1160" w:type="dxa"/>
            <w:shd w:val="clear" w:color="auto" w:fill="CCEEFF"/>
            <w:vAlign w:val="bottom"/>
          </w:tcPr>
          <w:p w:rsidR="000728AD" w:rsidRDefault="000728AD">
            <w:pPr>
              <w:rPr>
                <w:sz w:val="21"/>
                <w:szCs w:val="21"/>
              </w:rPr>
            </w:pPr>
          </w:p>
        </w:tc>
        <w:tc>
          <w:tcPr>
            <w:tcW w:w="120" w:type="dxa"/>
            <w:shd w:val="clear" w:color="auto" w:fill="CCEEFF"/>
            <w:vAlign w:val="bottom"/>
          </w:tcPr>
          <w:p w:rsidR="000728AD" w:rsidRDefault="000728AD">
            <w:pPr>
              <w:rPr>
                <w:sz w:val="21"/>
                <w:szCs w:val="21"/>
              </w:rPr>
            </w:pPr>
          </w:p>
        </w:tc>
        <w:tc>
          <w:tcPr>
            <w:tcW w:w="420" w:type="dxa"/>
            <w:shd w:val="clear" w:color="auto" w:fill="CCEEFF"/>
            <w:vAlign w:val="bottom"/>
          </w:tcPr>
          <w:p w:rsidR="000728AD" w:rsidRDefault="000728AD">
            <w:pPr>
              <w:rPr>
                <w:sz w:val="21"/>
                <w:szCs w:val="21"/>
              </w:rPr>
            </w:pPr>
          </w:p>
        </w:tc>
        <w:tc>
          <w:tcPr>
            <w:tcW w:w="1100" w:type="dxa"/>
            <w:shd w:val="clear" w:color="auto" w:fill="CCEEFF"/>
            <w:vAlign w:val="bottom"/>
          </w:tcPr>
          <w:p w:rsidR="000728AD" w:rsidRDefault="000728AD">
            <w:pPr>
              <w:rPr>
                <w:sz w:val="21"/>
                <w:szCs w:val="21"/>
              </w:rPr>
            </w:pPr>
          </w:p>
        </w:tc>
        <w:tc>
          <w:tcPr>
            <w:tcW w:w="100" w:type="dxa"/>
            <w:shd w:val="clear" w:color="auto" w:fill="CCEEFF"/>
            <w:vAlign w:val="bottom"/>
          </w:tcPr>
          <w:p w:rsidR="000728AD" w:rsidRDefault="000728AD">
            <w:pPr>
              <w:rPr>
                <w:sz w:val="21"/>
                <w:szCs w:val="21"/>
              </w:rPr>
            </w:pPr>
          </w:p>
        </w:tc>
        <w:tc>
          <w:tcPr>
            <w:tcW w:w="300" w:type="dxa"/>
            <w:shd w:val="clear" w:color="auto" w:fill="CCEEFF"/>
            <w:vAlign w:val="bottom"/>
          </w:tcPr>
          <w:p w:rsidR="000728AD" w:rsidRDefault="000728AD">
            <w:pPr>
              <w:rPr>
                <w:sz w:val="21"/>
                <w:szCs w:val="21"/>
              </w:rPr>
            </w:pPr>
          </w:p>
        </w:tc>
        <w:tc>
          <w:tcPr>
            <w:tcW w:w="1220" w:type="dxa"/>
            <w:shd w:val="clear" w:color="auto" w:fill="CCEEFF"/>
            <w:vAlign w:val="bottom"/>
          </w:tcPr>
          <w:p w:rsidR="000728AD" w:rsidRDefault="000728AD">
            <w:pPr>
              <w:rPr>
                <w:sz w:val="21"/>
                <w:szCs w:val="21"/>
              </w:rPr>
            </w:pPr>
          </w:p>
        </w:tc>
        <w:tc>
          <w:tcPr>
            <w:tcW w:w="0" w:type="dxa"/>
            <w:vAlign w:val="bottom"/>
          </w:tcPr>
          <w:p w:rsidR="000728AD" w:rsidRDefault="000728AD">
            <w:pPr>
              <w:rPr>
                <w:sz w:val="1"/>
                <w:szCs w:val="1"/>
              </w:rPr>
            </w:pPr>
          </w:p>
        </w:tc>
      </w:tr>
      <w:tr w:rsidR="000728AD">
        <w:trPr>
          <w:trHeight w:val="243"/>
        </w:trPr>
        <w:tc>
          <w:tcPr>
            <w:tcW w:w="6480" w:type="dxa"/>
            <w:tcBorders>
              <w:bottom w:val="single" w:sz="8" w:space="0" w:color="CCEEFF"/>
            </w:tcBorders>
            <w:vAlign w:val="bottom"/>
          </w:tcPr>
          <w:p w:rsidR="000728AD" w:rsidRDefault="000561BE">
            <w:pPr>
              <w:ind w:left="260"/>
              <w:rPr>
                <w:sz w:val="20"/>
                <w:szCs w:val="20"/>
              </w:rPr>
            </w:pPr>
            <w:r>
              <w:rPr>
                <w:rFonts w:ascii="Arial" w:eastAsia="Arial" w:hAnsi="Arial" w:cs="Arial"/>
                <w:sz w:val="20"/>
                <w:szCs w:val="20"/>
              </w:rPr>
              <w:t>Other income (expense), net</w:t>
            </w:r>
          </w:p>
        </w:tc>
        <w:tc>
          <w:tcPr>
            <w:tcW w:w="340" w:type="dxa"/>
            <w:tcBorders>
              <w:bottom w:val="single" w:sz="8" w:space="0" w:color="auto"/>
            </w:tcBorders>
            <w:vAlign w:val="bottom"/>
          </w:tcPr>
          <w:p w:rsidR="000728AD" w:rsidRDefault="000728AD">
            <w:pPr>
              <w:rPr>
                <w:sz w:val="21"/>
                <w:szCs w:val="21"/>
              </w:rPr>
            </w:pPr>
          </w:p>
        </w:tc>
        <w:tc>
          <w:tcPr>
            <w:tcW w:w="116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(691)</w:t>
            </w:r>
          </w:p>
        </w:tc>
        <w:tc>
          <w:tcPr>
            <w:tcW w:w="120" w:type="dxa"/>
            <w:tcBorders>
              <w:bottom w:val="single" w:sz="8" w:space="0" w:color="CCEEFF"/>
            </w:tcBorders>
            <w:vAlign w:val="bottom"/>
          </w:tcPr>
          <w:p w:rsidR="000728AD" w:rsidRDefault="000728AD">
            <w:pPr>
              <w:rPr>
                <w:sz w:val="21"/>
                <w:szCs w:val="21"/>
              </w:rPr>
            </w:pPr>
          </w:p>
        </w:tc>
        <w:tc>
          <w:tcPr>
            <w:tcW w:w="420" w:type="dxa"/>
            <w:tcBorders>
              <w:bottom w:val="single" w:sz="8" w:space="0" w:color="auto"/>
            </w:tcBorders>
            <w:vAlign w:val="bottom"/>
          </w:tcPr>
          <w:p w:rsidR="000728AD" w:rsidRDefault="000728AD">
            <w:pPr>
              <w:rPr>
                <w:sz w:val="21"/>
                <w:szCs w:val="21"/>
              </w:rPr>
            </w:pPr>
          </w:p>
        </w:tc>
        <w:tc>
          <w:tcPr>
            <w:tcW w:w="110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(708)</w:t>
            </w:r>
          </w:p>
        </w:tc>
        <w:tc>
          <w:tcPr>
            <w:tcW w:w="100" w:type="dxa"/>
            <w:tcBorders>
              <w:bottom w:val="single" w:sz="8" w:space="0" w:color="CCEEFF"/>
            </w:tcBorders>
            <w:vAlign w:val="bottom"/>
          </w:tcPr>
          <w:p w:rsidR="000728AD" w:rsidRDefault="000728AD">
            <w:pPr>
              <w:rPr>
                <w:sz w:val="21"/>
                <w:szCs w:val="21"/>
              </w:rPr>
            </w:pPr>
          </w:p>
        </w:tc>
        <w:tc>
          <w:tcPr>
            <w:tcW w:w="300" w:type="dxa"/>
            <w:tcBorders>
              <w:bottom w:val="single" w:sz="8" w:space="0" w:color="auto"/>
            </w:tcBorders>
            <w:vAlign w:val="bottom"/>
          </w:tcPr>
          <w:p w:rsidR="000728AD" w:rsidRDefault="000728AD">
            <w:pPr>
              <w:rPr>
                <w:sz w:val="21"/>
                <w:szCs w:val="21"/>
              </w:rPr>
            </w:pPr>
          </w:p>
        </w:tc>
        <w:tc>
          <w:tcPr>
            <w:tcW w:w="122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17</w:t>
            </w:r>
          </w:p>
        </w:tc>
        <w:tc>
          <w:tcPr>
            <w:tcW w:w="0" w:type="dxa"/>
            <w:vAlign w:val="bottom"/>
          </w:tcPr>
          <w:p w:rsidR="000728AD" w:rsidRDefault="000728AD">
            <w:pPr>
              <w:rPr>
                <w:sz w:val="1"/>
                <w:szCs w:val="1"/>
              </w:rPr>
            </w:pPr>
          </w:p>
        </w:tc>
      </w:tr>
      <w:tr w:rsidR="000728AD">
        <w:trPr>
          <w:trHeight w:val="237"/>
        </w:trPr>
        <w:tc>
          <w:tcPr>
            <w:tcW w:w="6480" w:type="dxa"/>
            <w:shd w:val="clear" w:color="auto" w:fill="CCEEFF"/>
            <w:vAlign w:val="bottom"/>
          </w:tcPr>
          <w:p w:rsidR="000728AD" w:rsidRDefault="000561BE">
            <w:pPr>
              <w:ind w:left="60"/>
              <w:rPr>
                <w:sz w:val="20"/>
                <w:szCs w:val="20"/>
              </w:rPr>
            </w:pPr>
            <w:r>
              <w:rPr>
                <w:rFonts w:ascii="Arial" w:eastAsia="Arial" w:hAnsi="Arial" w:cs="Arial"/>
                <w:sz w:val="20"/>
                <w:szCs w:val="20"/>
              </w:rPr>
              <w:t xml:space="preserve">Total other income </w:t>
            </w:r>
            <w:r>
              <w:rPr>
                <w:rFonts w:ascii="Arial" w:eastAsia="Arial" w:hAnsi="Arial" w:cs="Arial"/>
                <w:sz w:val="20"/>
                <w:szCs w:val="20"/>
              </w:rPr>
              <w:t>(expense), net</w:t>
            </w:r>
          </w:p>
        </w:tc>
        <w:tc>
          <w:tcPr>
            <w:tcW w:w="340" w:type="dxa"/>
            <w:tcBorders>
              <w:bottom w:val="single" w:sz="8" w:space="0" w:color="auto"/>
            </w:tcBorders>
            <w:shd w:val="clear" w:color="auto" w:fill="CCEEFF"/>
            <w:vAlign w:val="bottom"/>
          </w:tcPr>
          <w:p w:rsidR="000728AD" w:rsidRDefault="000728AD">
            <w:pPr>
              <w:rPr>
                <w:sz w:val="20"/>
                <w:szCs w:val="20"/>
              </w:rPr>
            </w:pPr>
          </w:p>
        </w:tc>
        <w:tc>
          <w:tcPr>
            <w:tcW w:w="116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(691)</w:t>
            </w:r>
          </w:p>
        </w:tc>
        <w:tc>
          <w:tcPr>
            <w:tcW w:w="120" w:type="dxa"/>
            <w:shd w:val="clear" w:color="auto" w:fill="CCEEFF"/>
            <w:vAlign w:val="bottom"/>
          </w:tcPr>
          <w:p w:rsidR="000728AD" w:rsidRDefault="000728AD">
            <w:pPr>
              <w:rPr>
                <w:sz w:val="20"/>
                <w:szCs w:val="20"/>
              </w:rPr>
            </w:pPr>
          </w:p>
        </w:tc>
        <w:tc>
          <w:tcPr>
            <w:tcW w:w="420" w:type="dxa"/>
            <w:tcBorders>
              <w:bottom w:val="single" w:sz="8" w:space="0" w:color="auto"/>
            </w:tcBorders>
            <w:shd w:val="clear" w:color="auto" w:fill="CCEEFF"/>
            <w:vAlign w:val="bottom"/>
          </w:tcPr>
          <w:p w:rsidR="000728AD" w:rsidRDefault="000728AD">
            <w:pPr>
              <w:rPr>
                <w:sz w:val="20"/>
                <w:szCs w:val="20"/>
              </w:rPr>
            </w:pPr>
          </w:p>
        </w:tc>
        <w:tc>
          <w:tcPr>
            <w:tcW w:w="110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(708)</w:t>
            </w:r>
          </w:p>
        </w:tc>
        <w:tc>
          <w:tcPr>
            <w:tcW w:w="100" w:type="dxa"/>
            <w:shd w:val="clear" w:color="auto" w:fill="CCEEFF"/>
            <w:vAlign w:val="bottom"/>
          </w:tcPr>
          <w:p w:rsidR="000728AD" w:rsidRDefault="000728AD">
            <w:pPr>
              <w:rPr>
                <w:sz w:val="20"/>
                <w:szCs w:val="20"/>
              </w:rPr>
            </w:pPr>
          </w:p>
        </w:tc>
        <w:tc>
          <w:tcPr>
            <w:tcW w:w="300" w:type="dxa"/>
            <w:tcBorders>
              <w:bottom w:val="single" w:sz="8" w:space="0" w:color="auto"/>
            </w:tcBorders>
            <w:shd w:val="clear" w:color="auto" w:fill="CCEEFF"/>
            <w:vAlign w:val="bottom"/>
          </w:tcPr>
          <w:p w:rsidR="000728AD" w:rsidRDefault="000728AD">
            <w:pPr>
              <w:rPr>
                <w:sz w:val="20"/>
                <w:szCs w:val="20"/>
              </w:rPr>
            </w:pPr>
          </w:p>
        </w:tc>
        <w:tc>
          <w:tcPr>
            <w:tcW w:w="122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17</w:t>
            </w:r>
          </w:p>
        </w:tc>
        <w:tc>
          <w:tcPr>
            <w:tcW w:w="0" w:type="dxa"/>
            <w:vAlign w:val="bottom"/>
          </w:tcPr>
          <w:p w:rsidR="000728AD" w:rsidRDefault="000728AD">
            <w:pPr>
              <w:rPr>
                <w:sz w:val="1"/>
                <w:szCs w:val="1"/>
              </w:rPr>
            </w:pPr>
          </w:p>
        </w:tc>
      </w:tr>
      <w:tr w:rsidR="000728AD">
        <w:trPr>
          <w:trHeight w:val="236"/>
        </w:trPr>
        <w:tc>
          <w:tcPr>
            <w:tcW w:w="6480" w:type="dxa"/>
            <w:vAlign w:val="bottom"/>
          </w:tcPr>
          <w:p w:rsidR="000728AD" w:rsidRDefault="000561BE">
            <w:pPr>
              <w:ind w:left="180"/>
              <w:rPr>
                <w:sz w:val="20"/>
                <w:szCs w:val="20"/>
              </w:rPr>
            </w:pPr>
            <w:r>
              <w:rPr>
                <w:rFonts w:ascii="Arial" w:eastAsia="Arial" w:hAnsi="Arial" w:cs="Arial"/>
                <w:sz w:val="20"/>
                <w:szCs w:val="20"/>
              </w:rPr>
              <w:t>Net loss</w:t>
            </w:r>
          </w:p>
        </w:tc>
        <w:tc>
          <w:tcPr>
            <w:tcW w:w="340" w:type="dxa"/>
            <w:tcBorders>
              <w:bottom w:val="single" w:sz="8" w:space="0" w:color="auto"/>
            </w:tcBorders>
            <w:vAlign w:val="bottom"/>
          </w:tcPr>
          <w:p w:rsidR="000728AD" w:rsidRDefault="000561BE">
            <w:pPr>
              <w:ind w:right="12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(15,935)</w:t>
            </w:r>
          </w:p>
        </w:tc>
        <w:tc>
          <w:tcPr>
            <w:tcW w:w="120" w:type="dxa"/>
            <w:vAlign w:val="bottom"/>
          </w:tcPr>
          <w:p w:rsidR="000728AD" w:rsidRDefault="000728AD">
            <w:pPr>
              <w:rPr>
                <w:sz w:val="20"/>
                <w:szCs w:val="20"/>
              </w:rPr>
            </w:pPr>
          </w:p>
        </w:tc>
        <w:tc>
          <w:tcPr>
            <w:tcW w:w="420" w:type="dxa"/>
            <w:tcBorders>
              <w:bottom w:val="single" w:sz="8" w:space="0" w:color="auto"/>
            </w:tcBorders>
            <w:vAlign w:val="bottom"/>
          </w:tcPr>
          <w:p w:rsidR="000728AD" w:rsidRDefault="000561BE">
            <w:pPr>
              <w:ind w:right="201"/>
              <w:jc w:val="right"/>
              <w:rPr>
                <w:sz w:val="20"/>
                <w:szCs w:val="20"/>
              </w:rPr>
            </w:pPr>
            <w:r>
              <w:rPr>
                <w:rFonts w:ascii="Arial" w:eastAsia="Arial" w:hAnsi="Arial" w:cs="Arial"/>
                <w:w w:val="89"/>
                <w:sz w:val="20"/>
                <w:szCs w:val="20"/>
              </w:rPr>
              <w:t>$</w:t>
            </w:r>
          </w:p>
        </w:tc>
        <w:tc>
          <w:tcPr>
            <w:tcW w:w="110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(13,892)</w:t>
            </w:r>
          </w:p>
        </w:tc>
        <w:tc>
          <w:tcPr>
            <w:tcW w:w="100" w:type="dxa"/>
            <w:vAlign w:val="bottom"/>
          </w:tcPr>
          <w:p w:rsidR="000728AD" w:rsidRDefault="000728AD">
            <w:pPr>
              <w:rPr>
                <w:sz w:val="20"/>
                <w:szCs w:val="20"/>
              </w:rPr>
            </w:pPr>
          </w:p>
        </w:tc>
        <w:tc>
          <w:tcPr>
            <w:tcW w:w="300" w:type="dxa"/>
            <w:tcBorders>
              <w:bottom w:val="single" w:sz="8" w:space="0" w:color="auto"/>
            </w:tcBorders>
            <w:vAlign w:val="bottom"/>
          </w:tcPr>
          <w:p w:rsidR="000728AD" w:rsidRDefault="000561BE">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(2,043)</w:t>
            </w:r>
          </w:p>
        </w:tc>
        <w:tc>
          <w:tcPr>
            <w:tcW w:w="0" w:type="dxa"/>
            <w:vAlign w:val="bottom"/>
          </w:tcPr>
          <w:p w:rsidR="000728AD" w:rsidRDefault="000728AD">
            <w:pPr>
              <w:rPr>
                <w:sz w:val="1"/>
                <w:szCs w:val="1"/>
              </w:rPr>
            </w:pPr>
          </w:p>
        </w:tc>
      </w:tr>
      <w:tr w:rsidR="000728AD">
        <w:trPr>
          <w:trHeight w:val="21"/>
        </w:trPr>
        <w:tc>
          <w:tcPr>
            <w:tcW w:w="6480" w:type="dxa"/>
            <w:vAlign w:val="bottom"/>
          </w:tcPr>
          <w:p w:rsidR="000728AD" w:rsidRDefault="000728AD">
            <w:pPr>
              <w:spacing w:line="20" w:lineRule="exact"/>
              <w:rPr>
                <w:sz w:val="1"/>
                <w:szCs w:val="1"/>
              </w:rPr>
            </w:pPr>
          </w:p>
        </w:tc>
        <w:tc>
          <w:tcPr>
            <w:tcW w:w="340" w:type="dxa"/>
            <w:tcBorders>
              <w:bottom w:val="single" w:sz="8" w:space="0" w:color="auto"/>
            </w:tcBorders>
            <w:vAlign w:val="bottom"/>
          </w:tcPr>
          <w:p w:rsidR="000728AD" w:rsidRDefault="000728AD">
            <w:pPr>
              <w:spacing w:line="20" w:lineRule="exact"/>
              <w:rPr>
                <w:sz w:val="1"/>
                <w:szCs w:val="1"/>
              </w:rPr>
            </w:pPr>
          </w:p>
        </w:tc>
        <w:tc>
          <w:tcPr>
            <w:tcW w:w="1160" w:type="dxa"/>
            <w:tcBorders>
              <w:bottom w:val="single" w:sz="8" w:space="0" w:color="auto"/>
            </w:tcBorders>
            <w:vAlign w:val="bottom"/>
          </w:tcPr>
          <w:p w:rsidR="000728AD" w:rsidRDefault="000728AD">
            <w:pPr>
              <w:spacing w:line="20" w:lineRule="exact"/>
              <w:rPr>
                <w:sz w:val="1"/>
                <w:szCs w:val="1"/>
              </w:rPr>
            </w:pPr>
          </w:p>
        </w:tc>
        <w:tc>
          <w:tcPr>
            <w:tcW w:w="120" w:type="dxa"/>
            <w:vAlign w:val="bottom"/>
          </w:tcPr>
          <w:p w:rsidR="000728AD" w:rsidRDefault="000728AD">
            <w:pPr>
              <w:spacing w:line="20" w:lineRule="exact"/>
              <w:rPr>
                <w:sz w:val="1"/>
                <w:szCs w:val="1"/>
              </w:rPr>
            </w:pPr>
          </w:p>
        </w:tc>
        <w:tc>
          <w:tcPr>
            <w:tcW w:w="420" w:type="dxa"/>
            <w:tcBorders>
              <w:bottom w:val="single" w:sz="8" w:space="0" w:color="auto"/>
            </w:tcBorders>
            <w:vAlign w:val="bottom"/>
          </w:tcPr>
          <w:p w:rsidR="000728AD" w:rsidRDefault="000728AD">
            <w:pPr>
              <w:spacing w:line="20" w:lineRule="exact"/>
              <w:rPr>
                <w:sz w:val="1"/>
                <w:szCs w:val="1"/>
              </w:rPr>
            </w:pPr>
          </w:p>
        </w:tc>
        <w:tc>
          <w:tcPr>
            <w:tcW w:w="1100" w:type="dxa"/>
            <w:tcBorders>
              <w:bottom w:val="single" w:sz="8" w:space="0" w:color="auto"/>
            </w:tcBorders>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300" w:type="dxa"/>
            <w:tcBorders>
              <w:bottom w:val="single" w:sz="8" w:space="0" w:color="auto"/>
            </w:tcBorders>
            <w:vAlign w:val="bottom"/>
          </w:tcPr>
          <w:p w:rsidR="000728AD" w:rsidRDefault="000728AD">
            <w:pPr>
              <w:spacing w:line="20" w:lineRule="exact"/>
              <w:rPr>
                <w:sz w:val="1"/>
                <w:szCs w:val="1"/>
              </w:rPr>
            </w:pPr>
          </w:p>
        </w:tc>
        <w:tc>
          <w:tcPr>
            <w:tcW w:w="1220" w:type="dxa"/>
            <w:tcBorders>
              <w:bottom w:val="single" w:sz="8" w:space="0" w:color="auto"/>
            </w:tcBorders>
            <w:vAlign w:val="bottom"/>
          </w:tcPr>
          <w:p w:rsidR="000728AD" w:rsidRDefault="000728AD">
            <w:pPr>
              <w:spacing w:line="20" w:lineRule="exact"/>
              <w:rPr>
                <w:sz w:val="1"/>
                <w:szCs w:val="1"/>
              </w:rPr>
            </w:pPr>
          </w:p>
        </w:tc>
        <w:tc>
          <w:tcPr>
            <w:tcW w:w="0" w:type="dxa"/>
            <w:vAlign w:val="bottom"/>
          </w:tcPr>
          <w:p w:rsidR="000728AD" w:rsidRDefault="000728AD">
            <w:pPr>
              <w:rPr>
                <w:sz w:val="1"/>
                <w:szCs w:val="1"/>
              </w:rPr>
            </w:pPr>
          </w:p>
        </w:tc>
      </w:tr>
    </w:tbl>
    <w:p w:rsidR="000728AD" w:rsidRDefault="000728AD">
      <w:pPr>
        <w:spacing w:line="240" w:lineRule="exact"/>
        <w:rPr>
          <w:sz w:val="20"/>
          <w:szCs w:val="20"/>
        </w:rPr>
      </w:pPr>
    </w:p>
    <w:p w:rsidR="000728AD" w:rsidRDefault="000561BE">
      <w:pPr>
        <w:rPr>
          <w:sz w:val="20"/>
          <w:szCs w:val="20"/>
        </w:rPr>
      </w:pPr>
      <w:r>
        <w:rPr>
          <w:rFonts w:ascii="Arial" w:eastAsia="Arial" w:hAnsi="Arial" w:cs="Arial"/>
          <w:i/>
          <w:iCs/>
          <w:sz w:val="20"/>
          <w:szCs w:val="20"/>
        </w:rPr>
        <w:t>Research and Development Expenses</w:t>
      </w:r>
    </w:p>
    <w:p w:rsidR="000728AD" w:rsidRDefault="000728AD">
      <w:pPr>
        <w:spacing w:line="216" w:lineRule="exact"/>
        <w:rPr>
          <w:sz w:val="20"/>
          <w:szCs w:val="20"/>
        </w:rPr>
      </w:pPr>
    </w:p>
    <w:p w:rsidR="000728AD" w:rsidRDefault="000561BE">
      <w:pPr>
        <w:spacing w:line="260" w:lineRule="auto"/>
        <w:ind w:right="120"/>
        <w:rPr>
          <w:sz w:val="20"/>
          <w:szCs w:val="20"/>
        </w:rPr>
      </w:pPr>
      <w:r>
        <w:rPr>
          <w:rFonts w:ascii="Arial" w:eastAsia="Arial" w:hAnsi="Arial" w:cs="Arial"/>
          <w:sz w:val="20"/>
          <w:szCs w:val="20"/>
        </w:rPr>
        <w:t xml:space="preserve">The following table summarizes our research and development expenses incurred during the three months ended June 30, 2021 </w:t>
      </w:r>
      <w:r>
        <w:rPr>
          <w:rFonts w:ascii="Arial" w:eastAsia="Arial" w:hAnsi="Arial" w:cs="Arial"/>
          <w:sz w:val="20"/>
          <w:szCs w:val="20"/>
        </w:rPr>
        <w:t>and 2020 (in thousands):</w:t>
      </w:r>
    </w:p>
    <w:p w:rsidR="000728AD" w:rsidRDefault="000728AD">
      <w:pPr>
        <w:spacing w:line="1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80"/>
        <w:gridCol w:w="360"/>
        <w:gridCol w:w="1160"/>
        <w:gridCol w:w="100"/>
        <w:gridCol w:w="420"/>
        <w:gridCol w:w="1100"/>
        <w:gridCol w:w="100"/>
        <w:gridCol w:w="300"/>
        <w:gridCol w:w="1220"/>
      </w:tblGrid>
      <w:tr w:rsidR="000728AD">
        <w:trPr>
          <w:trHeight w:val="207"/>
        </w:trPr>
        <w:tc>
          <w:tcPr>
            <w:tcW w:w="6480" w:type="dxa"/>
            <w:vAlign w:val="bottom"/>
          </w:tcPr>
          <w:p w:rsidR="000728AD" w:rsidRDefault="000728AD">
            <w:pPr>
              <w:rPr>
                <w:sz w:val="18"/>
                <w:szCs w:val="18"/>
              </w:rPr>
            </w:pPr>
          </w:p>
        </w:tc>
        <w:tc>
          <w:tcPr>
            <w:tcW w:w="360" w:type="dxa"/>
            <w:vAlign w:val="bottom"/>
          </w:tcPr>
          <w:p w:rsidR="000728AD" w:rsidRDefault="000728AD">
            <w:pPr>
              <w:rPr>
                <w:sz w:val="18"/>
                <w:szCs w:val="18"/>
              </w:rPr>
            </w:pPr>
          </w:p>
        </w:tc>
        <w:tc>
          <w:tcPr>
            <w:tcW w:w="2880" w:type="dxa"/>
            <w:gridSpan w:val="5"/>
            <w:vAlign w:val="bottom"/>
          </w:tcPr>
          <w:p w:rsidR="000728AD" w:rsidRDefault="000561BE">
            <w:pPr>
              <w:ind w:left="400"/>
              <w:rPr>
                <w:sz w:val="20"/>
                <w:szCs w:val="20"/>
              </w:rPr>
            </w:pPr>
            <w:r>
              <w:rPr>
                <w:rFonts w:ascii="Arial" w:eastAsia="Arial" w:hAnsi="Arial" w:cs="Arial"/>
                <w:b/>
                <w:bCs/>
                <w:sz w:val="18"/>
                <w:szCs w:val="18"/>
              </w:rPr>
              <w:t>Three Months Ended</w:t>
            </w:r>
          </w:p>
        </w:tc>
        <w:tc>
          <w:tcPr>
            <w:tcW w:w="300" w:type="dxa"/>
            <w:vAlign w:val="bottom"/>
          </w:tcPr>
          <w:p w:rsidR="000728AD" w:rsidRDefault="000728AD">
            <w:pPr>
              <w:rPr>
                <w:sz w:val="18"/>
                <w:szCs w:val="18"/>
              </w:rPr>
            </w:pPr>
          </w:p>
        </w:tc>
        <w:tc>
          <w:tcPr>
            <w:tcW w:w="1220" w:type="dxa"/>
            <w:vAlign w:val="bottom"/>
          </w:tcPr>
          <w:p w:rsidR="000728AD" w:rsidRDefault="000728AD">
            <w:pPr>
              <w:rPr>
                <w:sz w:val="18"/>
                <w:szCs w:val="18"/>
              </w:rPr>
            </w:pPr>
          </w:p>
        </w:tc>
      </w:tr>
      <w:tr w:rsidR="000728AD">
        <w:trPr>
          <w:trHeight w:val="230"/>
        </w:trPr>
        <w:tc>
          <w:tcPr>
            <w:tcW w:w="6480" w:type="dxa"/>
            <w:vAlign w:val="bottom"/>
          </w:tcPr>
          <w:p w:rsidR="000728AD" w:rsidRDefault="000728AD">
            <w:pPr>
              <w:rPr>
                <w:sz w:val="19"/>
                <w:szCs w:val="19"/>
              </w:rPr>
            </w:pPr>
          </w:p>
        </w:tc>
        <w:tc>
          <w:tcPr>
            <w:tcW w:w="360" w:type="dxa"/>
            <w:tcBorders>
              <w:bottom w:val="single" w:sz="8" w:space="0" w:color="auto"/>
            </w:tcBorders>
            <w:vAlign w:val="bottom"/>
          </w:tcPr>
          <w:p w:rsidR="000728AD" w:rsidRDefault="000728AD">
            <w:pPr>
              <w:rPr>
                <w:sz w:val="19"/>
                <w:szCs w:val="19"/>
              </w:rPr>
            </w:pPr>
          </w:p>
        </w:tc>
        <w:tc>
          <w:tcPr>
            <w:tcW w:w="1680" w:type="dxa"/>
            <w:gridSpan w:val="3"/>
            <w:tcBorders>
              <w:bottom w:val="single" w:sz="8" w:space="0" w:color="auto"/>
            </w:tcBorders>
            <w:vAlign w:val="bottom"/>
          </w:tcPr>
          <w:p w:rsidR="000728AD" w:rsidRDefault="000561BE">
            <w:pPr>
              <w:ind w:right="41"/>
              <w:jc w:val="right"/>
              <w:rPr>
                <w:sz w:val="20"/>
                <w:szCs w:val="20"/>
              </w:rPr>
            </w:pPr>
            <w:r>
              <w:rPr>
                <w:rFonts w:ascii="Arial" w:eastAsia="Arial" w:hAnsi="Arial" w:cs="Arial"/>
                <w:b/>
                <w:bCs/>
                <w:sz w:val="18"/>
                <w:szCs w:val="18"/>
              </w:rPr>
              <w:t>June 30,</w:t>
            </w:r>
          </w:p>
        </w:tc>
        <w:tc>
          <w:tcPr>
            <w:tcW w:w="1100" w:type="dxa"/>
            <w:tcBorders>
              <w:bottom w:val="single" w:sz="8" w:space="0" w:color="auto"/>
            </w:tcBorders>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300" w:type="dxa"/>
            <w:tcBorders>
              <w:bottom w:val="single" w:sz="8" w:space="0" w:color="auto"/>
            </w:tcBorders>
            <w:vAlign w:val="bottom"/>
          </w:tcPr>
          <w:p w:rsidR="000728AD" w:rsidRDefault="000728AD">
            <w:pPr>
              <w:rPr>
                <w:sz w:val="19"/>
                <w:szCs w:val="19"/>
              </w:rPr>
            </w:pPr>
          </w:p>
        </w:tc>
        <w:tc>
          <w:tcPr>
            <w:tcW w:w="1220" w:type="dxa"/>
            <w:tcBorders>
              <w:bottom w:val="single" w:sz="8" w:space="0" w:color="auto"/>
            </w:tcBorders>
            <w:vAlign w:val="bottom"/>
          </w:tcPr>
          <w:p w:rsidR="000728AD" w:rsidRDefault="000728AD">
            <w:pPr>
              <w:rPr>
                <w:sz w:val="19"/>
                <w:szCs w:val="19"/>
              </w:rPr>
            </w:pPr>
          </w:p>
        </w:tc>
      </w:tr>
      <w:tr w:rsidR="000728AD">
        <w:trPr>
          <w:trHeight w:val="223"/>
        </w:trPr>
        <w:tc>
          <w:tcPr>
            <w:tcW w:w="6480" w:type="dxa"/>
            <w:tcBorders>
              <w:bottom w:val="single" w:sz="8" w:space="0" w:color="CCEEFF"/>
            </w:tcBorders>
            <w:vAlign w:val="bottom"/>
          </w:tcPr>
          <w:p w:rsidR="000728AD" w:rsidRDefault="000728AD">
            <w:pPr>
              <w:rPr>
                <w:sz w:val="19"/>
                <w:szCs w:val="19"/>
              </w:rPr>
            </w:pPr>
          </w:p>
        </w:tc>
        <w:tc>
          <w:tcPr>
            <w:tcW w:w="360" w:type="dxa"/>
            <w:tcBorders>
              <w:bottom w:val="single" w:sz="8" w:space="0" w:color="auto"/>
            </w:tcBorders>
            <w:vAlign w:val="bottom"/>
          </w:tcPr>
          <w:p w:rsidR="000728AD" w:rsidRDefault="000728AD">
            <w:pPr>
              <w:rPr>
                <w:sz w:val="19"/>
                <w:szCs w:val="19"/>
              </w:rPr>
            </w:pPr>
          </w:p>
        </w:tc>
        <w:tc>
          <w:tcPr>
            <w:tcW w:w="1160" w:type="dxa"/>
            <w:tcBorders>
              <w:bottom w:val="single" w:sz="8" w:space="0" w:color="auto"/>
            </w:tcBorders>
            <w:vAlign w:val="bottom"/>
          </w:tcPr>
          <w:p w:rsidR="000728AD" w:rsidRDefault="000561BE">
            <w:pPr>
              <w:ind w:right="485"/>
              <w:jc w:val="right"/>
              <w:rPr>
                <w:sz w:val="20"/>
                <w:szCs w:val="20"/>
              </w:rPr>
            </w:pPr>
            <w:r>
              <w:rPr>
                <w:rFonts w:ascii="Arial" w:eastAsia="Arial" w:hAnsi="Arial" w:cs="Arial"/>
                <w:b/>
                <w:bCs/>
                <w:sz w:val="18"/>
                <w:szCs w:val="18"/>
              </w:rPr>
              <w:t>2021</w:t>
            </w:r>
          </w:p>
        </w:tc>
        <w:tc>
          <w:tcPr>
            <w:tcW w:w="100" w:type="dxa"/>
            <w:tcBorders>
              <w:bottom w:val="single" w:sz="8" w:space="0" w:color="CCEEFF"/>
            </w:tcBorders>
            <w:vAlign w:val="bottom"/>
          </w:tcPr>
          <w:p w:rsidR="000728AD" w:rsidRDefault="000728AD">
            <w:pPr>
              <w:rPr>
                <w:sz w:val="19"/>
                <w:szCs w:val="19"/>
              </w:rPr>
            </w:pPr>
          </w:p>
        </w:tc>
        <w:tc>
          <w:tcPr>
            <w:tcW w:w="420" w:type="dxa"/>
            <w:tcBorders>
              <w:bottom w:val="single" w:sz="8" w:space="0" w:color="auto"/>
            </w:tcBorders>
            <w:vAlign w:val="bottom"/>
          </w:tcPr>
          <w:p w:rsidR="000728AD" w:rsidRDefault="000728AD">
            <w:pPr>
              <w:rPr>
                <w:sz w:val="19"/>
                <w:szCs w:val="19"/>
              </w:rPr>
            </w:pPr>
          </w:p>
        </w:tc>
        <w:tc>
          <w:tcPr>
            <w:tcW w:w="1100" w:type="dxa"/>
            <w:tcBorders>
              <w:bottom w:val="single" w:sz="8" w:space="0" w:color="auto"/>
            </w:tcBorders>
            <w:vAlign w:val="bottom"/>
          </w:tcPr>
          <w:p w:rsidR="000728AD" w:rsidRDefault="000561BE">
            <w:pPr>
              <w:ind w:right="483"/>
              <w:jc w:val="right"/>
              <w:rPr>
                <w:sz w:val="20"/>
                <w:szCs w:val="20"/>
              </w:rPr>
            </w:pPr>
            <w:r>
              <w:rPr>
                <w:rFonts w:ascii="Arial" w:eastAsia="Arial" w:hAnsi="Arial" w:cs="Arial"/>
                <w:b/>
                <w:bCs/>
                <w:sz w:val="18"/>
                <w:szCs w:val="18"/>
              </w:rPr>
              <w:t>2020</w:t>
            </w:r>
          </w:p>
        </w:tc>
        <w:tc>
          <w:tcPr>
            <w:tcW w:w="100" w:type="dxa"/>
            <w:tcBorders>
              <w:bottom w:val="single" w:sz="8" w:space="0" w:color="CCEEFF"/>
            </w:tcBorders>
            <w:vAlign w:val="bottom"/>
          </w:tcPr>
          <w:p w:rsidR="000728AD" w:rsidRDefault="000728AD">
            <w:pPr>
              <w:rPr>
                <w:sz w:val="19"/>
                <w:szCs w:val="19"/>
              </w:rPr>
            </w:pPr>
          </w:p>
        </w:tc>
        <w:tc>
          <w:tcPr>
            <w:tcW w:w="300" w:type="dxa"/>
            <w:tcBorders>
              <w:bottom w:val="single" w:sz="8" w:space="0" w:color="auto"/>
            </w:tcBorders>
            <w:vAlign w:val="bottom"/>
          </w:tcPr>
          <w:p w:rsidR="000728AD" w:rsidRDefault="000728AD">
            <w:pPr>
              <w:rPr>
                <w:sz w:val="19"/>
                <w:szCs w:val="19"/>
              </w:rPr>
            </w:pPr>
          </w:p>
        </w:tc>
        <w:tc>
          <w:tcPr>
            <w:tcW w:w="1220" w:type="dxa"/>
            <w:tcBorders>
              <w:bottom w:val="single" w:sz="8" w:space="0" w:color="auto"/>
            </w:tcBorders>
            <w:vAlign w:val="bottom"/>
          </w:tcPr>
          <w:p w:rsidR="000728AD" w:rsidRDefault="000561BE">
            <w:pPr>
              <w:ind w:right="363"/>
              <w:jc w:val="right"/>
              <w:rPr>
                <w:sz w:val="20"/>
                <w:szCs w:val="20"/>
              </w:rPr>
            </w:pPr>
            <w:r>
              <w:rPr>
                <w:rFonts w:ascii="Arial" w:eastAsia="Arial" w:hAnsi="Arial" w:cs="Arial"/>
                <w:b/>
                <w:bCs/>
                <w:sz w:val="18"/>
                <w:szCs w:val="18"/>
              </w:rPr>
              <w:t>Change</w:t>
            </w:r>
          </w:p>
        </w:tc>
      </w:tr>
      <w:tr w:rsidR="000728AD">
        <w:trPr>
          <w:trHeight w:val="236"/>
        </w:trPr>
        <w:tc>
          <w:tcPr>
            <w:tcW w:w="6480" w:type="dxa"/>
            <w:shd w:val="clear" w:color="auto" w:fill="CCEEFF"/>
            <w:vAlign w:val="bottom"/>
          </w:tcPr>
          <w:p w:rsidR="000728AD" w:rsidRDefault="000561BE">
            <w:pPr>
              <w:ind w:left="20"/>
              <w:rPr>
                <w:sz w:val="20"/>
                <w:szCs w:val="20"/>
              </w:rPr>
            </w:pPr>
            <w:r>
              <w:rPr>
                <w:rFonts w:ascii="Arial" w:eastAsia="Arial" w:hAnsi="Arial" w:cs="Arial"/>
                <w:sz w:val="20"/>
                <w:szCs w:val="20"/>
              </w:rPr>
              <w:t>Salary and benefits-related</w:t>
            </w:r>
          </w:p>
        </w:tc>
        <w:tc>
          <w:tcPr>
            <w:tcW w:w="360" w:type="dxa"/>
            <w:shd w:val="clear" w:color="auto" w:fill="CCEEFF"/>
            <w:vAlign w:val="bottom"/>
          </w:tcPr>
          <w:p w:rsidR="000728AD" w:rsidRDefault="000561BE">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rsidR="000728AD" w:rsidRDefault="000561BE">
            <w:pPr>
              <w:jc w:val="right"/>
              <w:rPr>
                <w:sz w:val="20"/>
                <w:szCs w:val="20"/>
              </w:rPr>
            </w:pPr>
            <w:r>
              <w:rPr>
                <w:rFonts w:ascii="Arial" w:eastAsia="Arial" w:hAnsi="Arial" w:cs="Arial"/>
                <w:sz w:val="20"/>
                <w:szCs w:val="20"/>
              </w:rPr>
              <w:t>3,437</w:t>
            </w:r>
          </w:p>
        </w:tc>
        <w:tc>
          <w:tcPr>
            <w:tcW w:w="100" w:type="dxa"/>
            <w:shd w:val="clear" w:color="auto" w:fill="CCEEFF"/>
            <w:vAlign w:val="bottom"/>
          </w:tcPr>
          <w:p w:rsidR="000728AD" w:rsidRDefault="000728AD">
            <w:pPr>
              <w:rPr>
                <w:sz w:val="20"/>
                <w:szCs w:val="20"/>
              </w:rPr>
            </w:pPr>
          </w:p>
        </w:tc>
        <w:tc>
          <w:tcPr>
            <w:tcW w:w="420" w:type="dxa"/>
            <w:shd w:val="clear" w:color="auto" w:fill="CCEEFF"/>
            <w:vAlign w:val="bottom"/>
          </w:tcPr>
          <w:p w:rsidR="000728AD" w:rsidRDefault="000561BE">
            <w:pPr>
              <w:ind w:right="201"/>
              <w:jc w:val="right"/>
              <w:rPr>
                <w:sz w:val="20"/>
                <w:szCs w:val="20"/>
              </w:rPr>
            </w:pPr>
            <w:r>
              <w:rPr>
                <w:rFonts w:ascii="Arial" w:eastAsia="Arial" w:hAnsi="Arial" w:cs="Arial"/>
                <w:w w:val="89"/>
                <w:sz w:val="20"/>
                <w:szCs w:val="20"/>
              </w:rPr>
              <w:t>$</w:t>
            </w:r>
          </w:p>
        </w:tc>
        <w:tc>
          <w:tcPr>
            <w:tcW w:w="1100" w:type="dxa"/>
            <w:shd w:val="clear" w:color="auto" w:fill="CCEEFF"/>
            <w:vAlign w:val="bottom"/>
          </w:tcPr>
          <w:p w:rsidR="000728AD" w:rsidRDefault="000561BE">
            <w:pPr>
              <w:jc w:val="right"/>
              <w:rPr>
                <w:sz w:val="20"/>
                <w:szCs w:val="20"/>
              </w:rPr>
            </w:pPr>
            <w:r>
              <w:rPr>
                <w:rFonts w:ascii="Arial" w:eastAsia="Arial" w:hAnsi="Arial" w:cs="Arial"/>
                <w:sz w:val="20"/>
                <w:szCs w:val="20"/>
              </w:rPr>
              <w:t>4,142</w:t>
            </w:r>
          </w:p>
        </w:tc>
        <w:tc>
          <w:tcPr>
            <w:tcW w:w="100" w:type="dxa"/>
            <w:shd w:val="clear" w:color="auto" w:fill="CCEEFF"/>
            <w:vAlign w:val="bottom"/>
          </w:tcPr>
          <w:p w:rsidR="000728AD" w:rsidRDefault="000728AD">
            <w:pPr>
              <w:rPr>
                <w:sz w:val="20"/>
                <w:szCs w:val="20"/>
              </w:rPr>
            </w:pPr>
          </w:p>
        </w:tc>
        <w:tc>
          <w:tcPr>
            <w:tcW w:w="300" w:type="dxa"/>
            <w:shd w:val="clear" w:color="auto" w:fill="CCEEFF"/>
            <w:vAlign w:val="bottom"/>
          </w:tcPr>
          <w:p w:rsidR="000728AD" w:rsidRDefault="000561BE">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rsidR="000728AD" w:rsidRDefault="000561BE">
            <w:pPr>
              <w:jc w:val="right"/>
              <w:rPr>
                <w:sz w:val="20"/>
                <w:szCs w:val="20"/>
              </w:rPr>
            </w:pPr>
            <w:r>
              <w:rPr>
                <w:rFonts w:ascii="Arial" w:eastAsia="Arial" w:hAnsi="Arial" w:cs="Arial"/>
                <w:sz w:val="20"/>
                <w:szCs w:val="20"/>
              </w:rPr>
              <w:t>(705)</w:t>
            </w:r>
          </w:p>
        </w:tc>
      </w:tr>
      <w:tr w:rsidR="000728AD">
        <w:trPr>
          <w:trHeight w:val="243"/>
        </w:trPr>
        <w:tc>
          <w:tcPr>
            <w:tcW w:w="6480" w:type="dxa"/>
            <w:vAlign w:val="bottom"/>
          </w:tcPr>
          <w:p w:rsidR="000728AD" w:rsidRDefault="000561BE">
            <w:pPr>
              <w:ind w:left="20"/>
              <w:rPr>
                <w:sz w:val="20"/>
                <w:szCs w:val="20"/>
              </w:rPr>
            </w:pPr>
            <w:r>
              <w:rPr>
                <w:rFonts w:ascii="Arial" w:eastAsia="Arial" w:hAnsi="Arial" w:cs="Arial"/>
                <w:sz w:val="20"/>
                <w:szCs w:val="20"/>
              </w:rPr>
              <w:t>Clinical research and outside services</w:t>
            </w:r>
          </w:p>
        </w:tc>
        <w:tc>
          <w:tcPr>
            <w:tcW w:w="360" w:type="dxa"/>
            <w:vAlign w:val="bottom"/>
          </w:tcPr>
          <w:p w:rsidR="000728AD" w:rsidRDefault="000728AD">
            <w:pPr>
              <w:rPr>
                <w:sz w:val="21"/>
                <w:szCs w:val="21"/>
              </w:rPr>
            </w:pPr>
          </w:p>
        </w:tc>
        <w:tc>
          <w:tcPr>
            <w:tcW w:w="1160" w:type="dxa"/>
            <w:vAlign w:val="bottom"/>
          </w:tcPr>
          <w:p w:rsidR="000728AD" w:rsidRDefault="000561BE">
            <w:pPr>
              <w:jc w:val="right"/>
              <w:rPr>
                <w:sz w:val="20"/>
                <w:szCs w:val="20"/>
              </w:rPr>
            </w:pPr>
            <w:r>
              <w:rPr>
                <w:rFonts w:ascii="Arial" w:eastAsia="Arial" w:hAnsi="Arial" w:cs="Arial"/>
                <w:sz w:val="20"/>
                <w:szCs w:val="20"/>
              </w:rPr>
              <w:t>5,729</w:t>
            </w:r>
          </w:p>
        </w:tc>
        <w:tc>
          <w:tcPr>
            <w:tcW w:w="100" w:type="dxa"/>
            <w:vAlign w:val="bottom"/>
          </w:tcPr>
          <w:p w:rsidR="000728AD" w:rsidRDefault="000728AD">
            <w:pPr>
              <w:rPr>
                <w:sz w:val="21"/>
                <w:szCs w:val="21"/>
              </w:rPr>
            </w:pPr>
          </w:p>
        </w:tc>
        <w:tc>
          <w:tcPr>
            <w:tcW w:w="420" w:type="dxa"/>
            <w:vAlign w:val="bottom"/>
          </w:tcPr>
          <w:p w:rsidR="000728AD" w:rsidRDefault="000728AD">
            <w:pPr>
              <w:rPr>
                <w:sz w:val="21"/>
                <w:szCs w:val="21"/>
              </w:rPr>
            </w:pPr>
          </w:p>
        </w:tc>
        <w:tc>
          <w:tcPr>
            <w:tcW w:w="1100" w:type="dxa"/>
            <w:vAlign w:val="bottom"/>
          </w:tcPr>
          <w:p w:rsidR="000728AD" w:rsidRDefault="000561BE">
            <w:pPr>
              <w:jc w:val="right"/>
              <w:rPr>
                <w:sz w:val="20"/>
                <w:szCs w:val="20"/>
              </w:rPr>
            </w:pPr>
            <w:r>
              <w:rPr>
                <w:rFonts w:ascii="Arial" w:eastAsia="Arial" w:hAnsi="Arial" w:cs="Arial"/>
                <w:sz w:val="20"/>
                <w:szCs w:val="20"/>
              </w:rPr>
              <w:t>3,249</w:t>
            </w:r>
          </w:p>
        </w:tc>
        <w:tc>
          <w:tcPr>
            <w:tcW w:w="100" w:type="dxa"/>
            <w:vAlign w:val="bottom"/>
          </w:tcPr>
          <w:p w:rsidR="000728AD" w:rsidRDefault="000728AD">
            <w:pPr>
              <w:rPr>
                <w:sz w:val="21"/>
                <w:szCs w:val="21"/>
              </w:rPr>
            </w:pPr>
          </w:p>
        </w:tc>
        <w:tc>
          <w:tcPr>
            <w:tcW w:w="300" w:type="dxa"/>
            <w:vAlign w:val="bottom"/>
          </w:tcPr>
          <w:p w:rsidR="000728AD" w:rsidRDefault="000728AD">
            <w:pPr>
              <w:rPr>
                <w:sz w:val="21"/>
                <w:szCs w:val="21"/>
              </w:rPr>
            </w:pPr>
          </w:p>
        </w:tc>
        <w:tc>
          <w:tcPr>
            <w:tcW w:w="1220" w:type="dxa"/>
            <w:vAlign w:val="bottom"/>
          </w:tcPr>
          <w:p w:rsidR="000728AD" w:rsidRDefault="000561BE">
            <w:pPr>
              <w:jc w:val="right"/>
              <w:rPr>
                <w:sz w:val="20"/>
                <w:szCs w:val="20"/>
              </w:rPr>
            </w:pPr>
            <w:r>
              <w:rPr>
                <w:rFonts w:ascii="Arial" w:eastAsia="Arial" w:hAnsi="Arial" w:cs="Arial"/>
                <w:sz w:val="20"/>
                <w:szCs w:val="20"/>
              </w:rPr>
              <w:t>2,480</w:t>
            </w:r>
          </w:p>
        </w:tc>
      </w:tr>
      <w:tr w:rsidR="000728AD">
        <w:trPr>
          <w:trHeight w:val="284"/>
        </w:trPr>
        <w:tc>
          <w:tcPr>
            <w:tcW w:w="6480" w:type="dxa"/>
            <w:shd w:val="clear" w:color="auto" w:fill="CCEEFF"/>
            <w:vAlign w:val="bottom"/>
          </w:tcPr>
          <w:p w:rsidR="000728AD" w:rsidRDefault="000561BE">
            <w:pPr>
              <w:ind w:left="20"/>
              <w:rPr>
                <w:sz w:val="20"/>
                <w:szCs w:val="20"/>
              </w:rPr>
            </w:pPr>
            <w:r>
              <w:rPr>
                <w:rFonts w:ascii="Arial" w:eastAsia="Arial" w:hAnsi="Arial" w:cs="Arial"/>
                <w:sz w:val="20"/>
                <w:szCs w:val="20"/>
              </w:rPr>
              <w:t>Facility-related and other</w:t>
            </w:r>
          </w:p>
        </w:tc>
        <w:tc>
          <w:tcPr>
            <w:tcW w:w="360" w:type="dxa"/>
            <w:tcBorders>
              <w:bottom w:val="single" w:sz="8" w:space="0" w:color="auto"/>
            </w:tcBorders>
            <w:shd w:val="clear" w:color="auto" w:fill="CCEEFF"/>
            <w:vAlign w:val="bottom"/>
          </w:tcPr>
          <w:p w:rsidR="000728AD" w:rsidRDefault="000728AD">
            <w:pPr>
              <w:rPr>
                <w:sz w:val="24"/>
                <w:szCs w:val="24"/>
              </w:rPr>
            </w:pPr>
          </w:p>
        </w:tc>
        <w:tc>
          <w:tcPr>
            <w:tcW w:w="116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1,132</w:t>
            </w:r>
          </w:p>
        </w:tc>
        <w:tc>
          <w:tcPr>
            <w:tcW w:w="100" w:type="dxa"/>
            <w:shd w:val="clear" w:color="auto" w:fill="CCEEFF"/>
            <w:vAlign w:val="bottom"/>
          </w:tcPr>
          <w:p w:rsidR="000728AD" w:rsidRDefault="000728AD">
            <w:pPr>
              <w:rPr>
                <w:sz w:val="24"/>
                <w:szCs w:val="24"/>
              </w:rPr>
            </w:pPr>
          </w:p>
        </w:tc>
        <w:tc>
          <w:tcPr>
            <w:tcW w:w="420" w:type="dxa"/>
            <w:tcBorders>
              <w:bottom w:val="single" w:sz="8" w:space="0" w:color="auto"/>
            </w:tcBorders>
            <w:shd w:val="clear" w:color="auto" w:fill="CCEEFF"/>
            <w:vAlign w:val="bottom"/>
          </w:tcPr>
          <w:p w:rsidR="000728AD" w:rsidRDefault="000728AD">
            <w:pPr>
              <w:rPr>
                <w:sz w:val="24"/>
                <w:szCs w:val="24"/>
              </w:rPr>
            </w:pPr>
          </w:p>
        </w:tc>
        <w:tc>
          <w:tcPr>
            <w:tcW w:w="110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1,174</w:t>
            </w:r>
          </w:p>
        </w:tc>
        <w:tc>
          <w:tcPr>
            <w:tcW w:w="100" w:type="dxa"/>
            <w:shd w:val="clear" w:color="auto" w:fill="CCEEFF"/>
            <w:vAlign w:val="bottom"/>
          </w:tcPr>
          <w:p w:rsidR="000728AD" w:rsidRDefault="000728AD">
            <w:pPr>
              <w:rPr>
                <w:sz w:val="24"/>
                <w:szCs w:val="24"/>
              </w:rPr>
            </w:pPr>
          </w:p>
        </w:tc>
        <w:tc>
          <w:tcPr>
            <w:tcW w:w="300" w:type="dxa"/>
            <w:tcBorders>
              <w:bottom w:val="single" w:sz="8" w:space="0" w:color="auto"/>
            </w:tcBorders>
            <w:shd w:val="clear" w:color="auto" w:fill="CCEEFF"/>
            <w:vAlign w:val="bottom"/>
          </w:tcPr>
          <w:p w:rsidR="000728AD" w:rsidRDefault="000728AD">
            <w:pPr>
              <w:rPr>
                <w:sz w:val="24"/>
                <w:szCs w:val="24"/>
              </w:rPr>
            </w:pPr>
          </w:p>
        </w:tc>
        <w:tc>
          <w:tcPr>
            <w:tcW w:w="122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(42)</w:t>
            </w:r>
          </w:p>
        </w:tc>
      </w:tr>
      <w:tr w:rsidR="000728AD">
        <w:trPr>
          <w:trHeight w:val="236"/>
        </w:trPr>
        <w:tc>
          <w:tcPr>
            <w:tcW w:w="6480" w:type="dxa"/>
            <w:vAlign w:val="bottom"/>
          </w:tcPr>
          <w:p w:rsidR="000728AD" w:rsidRDefault="000561BE">
            <w:pPr>
              <w:ind w:left="360"/>
              <w:rPr>
                <w:sz w:val="20"/>
                <w:szCs w:val="20"/>
              </w:rPr>
            </w:pPr>
            <w:r>
              <w:rPr>
                <w:rFonts w:ascii="Arial" w:eastAsia="Arial" w:hAnsi="Arial" w:cs="Arial"/>
                <w:sz w:val="20"/>
                <w:szCs w:val="20"/>
              </w:rPr>
              <w:t>Total research and development expenses</w:t>
            </w:r>
          </w:p>
        </w:tc>
        <w:tc>
          <w:tcPr>
            <w:tcW w:w="360" w:type="dxa"/>
            <w:tcBorders>
              <w:bottom w:val="single" w:sz="8" w:space="0" w:color="auto"/>
            </w:tcBorders>
            <w:vAlign w:val="bottom"/>
          </w:tcPr>
          <w:p w:rsidR="000728AD" w:rsidRDefault="000561BE">
            <w:pPr>
              <w:ind w:right="14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10,298</w:t>
            </w:r>
          </w:p>
        </w:tc>
        <w:tc>
          <w:tcPr>
            <w:tcW w:w="100" w:type="dxa"/>
            <w:vAlign w:val="bottom"/>
          </w:tcPr>
          <w:p w:rsidR="000728AD" w:rsidRDefault="000728AD">
            <w:pPr>
              <w:rPr>
                <w:sz w:val="20"/>
                <w:szCs w:val="20"/>
              </w:rPr>
            </w:pPr>
          </w:p>
        </w:tc>
        <w:tc>
          <w:tcPr>
            <w:tcW w:w="420" w:type="dxa"/>
            <w:tcBorders>
              <w:bottom w:val="single" w:sz="8" w:space="0" w:color="auto"/>
            </w:tcBorders>
            <w:vAlign w:val="bottom"/>
          </w:tcPr>
          <w:p w:rsidR="000728AD" w:rsidRDefault="000561BE">
            <w:pPr>
              <w:ind w:right="201"/>
              <w:jc w:val="right"/>
              <w:rPr>
                <w:sz w:val="20"/>
                <w:szCs w:val="20"/>
              </w:rPr>
            </w:pPr>
            <w:r>
              <w:rPr>
                <w:rFonts w:ascii="Arial" w:eastAsia="Arial" w:hAnsi="Arial" w:cs="Arial"/>
                <w:w w:val="89"/>
                <w:sz w:val="20"/>
                <w:szCs w:val="20"/>
              </w:rPr>
              <w:t>$</w:t>
            </w:r>
          </w:p>
        </w:tc>
        <w:tc>
          <w:tcPr>
            <w:tcW w:w="110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8,565</w:t>
            </w:r>
          </w:p>
        </w:tc>
        <w:tc>
          <w:tcPr>
            <w:tcW w:w="100" w:type="dxa"/>
            <w:vAlign w:val="bottom"/>
          </w:tcPr>
          <w:p w:rsidR="000728AD" w:rsidRDefault="000728AD">
            <w:pPr>
              <w:rPr>
                <w:sz w:val="20"/>
                <w:szCs w:val="20"/>
              </w:rPr>
            </w:pPr>
          </w:p>
        </w:tc>
        <w:tc>
          <w:tcPr>
            <w:tcW w:w="300" w:type="dxa"/>
            <w:tcBorders>
              <w:bottom w:val="single" w:sz="8" w:space="0" w:color="auto"/>
            </w:tcBorders>
            <w:vAlign w:val="bottom"/>
          </w:tcPr>
          <w:p w:rsidR="000728AD" w:rsidRDefault="000561BE">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1,733</w:t>
            </w:r>
          </w:p>
        </w:tc>
      </w:tr>
      <w:tr w:rsidR="000728AD">
        <w:trPr>
          <w:trHeight w:val="21"/>
        </w:trPr>
        <w:tc>
          <w:tcPr>
            <w:tcW w:w="6480" w:type="dxa"/>
            <w:vAlign w:val="bottom"/>
          </w:tcPr>
          <w:p w:rsidR="000728AD" w:rsidRDefault="000728AD">
            <w:pPr>
              <w:spacing w:line="20" w:lineRule="exact"/>
              <w:rPr>
                <w:sz w:val="1"/>
                <w:szCs w:val="1"/>
              </w:rPr>
            </w:pPr>
          </w:p>
        </w:tc>
        <w:tc>
          <w:tcPr>
            <w:tcW w:w="360" w:type="dxa"/>
            <w:tcBorders>
              <w:bottom w:val="single" w:sz="8" w:space="0" w:color="auto"/>
            </w:tcBorders>
            <w:vAlign w:val="bottom"/>
          </w:tcPr>
          <w:p w:rsidR="000728AD" w:rsidRDefault="000728AD">
            <w:pPr>
              <w:spacing w:line="20" w:lineRule="exact"/>
              <w:rPr>
                <w:sz w:val="1"/>
                <w:szCs w:val="1"/>
              </w:rPr>
            </w:pPr>
          </w:p>
        </w:tc>
        <w:tc>
          <w:tcPr>
            <w:tcW w:w="1160" w:type="dxa"/>
            <w:tcBorders>
              <w:bottom w:val="single" w:sz="8" w:space="0" w:color="auto"/>
            </w:tcBorders>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420" w:type="dxa"/>
            <w:tcBorders>
              <w:bottom w:val="single" w:sz="8" w:space="0" w:color="auto"/>
            </w:tcBorders>
            <w:vAlign w:val="bottom"/>
          </w:tcPr>
          <w:p w:rsidR="000728AD" w:rsidRDefault="000728AD">
            <w:pPr>
              <w:spacing w:line="20" w:lineRule="exact"/>
              <w:rPr>
                <w:sz w:val="1"/>
                <w:szCs w:val="1"/>
              </w:rPr>
            </w:pPr>
          </w:p>
        </w:tc>
        <w:tc>
          <w:tcPr>
            <w:tcW w:w="1100" w:type="dxa"/>
            <w:tcBorders>
              <w:bottom w:val="single" w:sz="8" w:space="0" w:color="auto"/>
            </w:tcBorders>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300" w:type="dxa"/>
            <w:tcBorders>
              <w:bottom w:val="single" w:sz="8" w:space="0" w:color="auto"/>
            </w:tcBorders>
            <w:vAlign w:val="bottom"/>
          </w:tcPr>
          <w:p w:rsidR="000728AD" w:rsidRDefault="000728AD">
            <w:pPr>
              <w:spacing w:line="20" w:lineRule="exact"/>
              <w:rPr>
                <w:sz w:val="1"/>
                <w:szCs w:val="1"/>
              </w:rPr>
            </w:pPr>
          </w:p>
        </w:tc>
        <w:tc>
          <w:tcPr>
            <w:tcW w:w="1220" w:type="dxa"/>
            <w:tcBorders>
              <w:bottom w:val="single" w:sz="8" w:space="0" w:color="auto"/>
            </w:tcBorders>
            <w:vAlign w:val="bottom"/>
          </w:tcPr>
          <w:p w:rsidR="000728AD" w:rsidRDefault="000728AD">
            <w:pPr>
              <w:spacing w:line="20" w:lineRule="exact"/>
              <w:rPr>
                <w:sz w:val="1"/>
                <w:szCs w:val="1"/>
              </w:rPr>
            </w:pPr>
          </w:p>
        </w:tc>
      </w:tr>
    </w:tbl>
    <w:p w:rsidR="000728AD" w:rsidRDefault="000728AD">
      <w:pPr>
        <w:spacing w:line="226" w:lineRule="exact"/>
        <w:rPr>
          <w:sz w:val="20"/>
          <w:szCs w:val="20"/>
        </w:rPr>
      </w:pPr>
    </w:p>
    <w:p w:rsidR="000728AD" w:rsidRDefault="000561BE">
      <w:pPr>
        <w:spacing w:line="250" w:lineRule="auto"/>
        <w:ind w:right="100"/>
        <w:rPr>
          <w:sz w:val="20"/>
          <w:szCs w:val="20"/>
        </w:rPr>
      </w:pPr>
      <w:r>
        <w:rPr>
          <w:rFonts w:ascii="Arial" w:eastAsia="Arial" w:hAnsi="Arial" w:cs="Arial"/>
          <w:sz w:val="20"/>
          <w:szCs w:val="20"/>
        </w:rPr>
        <w:t xml:space="preserve">Salary and benefits-related costs decreased by $0.7 million due to lower headcount. Clinical research and outside services costs increased by $2.5 million due to </w:t>
      </w:r>
      <w:r>
        <w:rPr>
          <w:rFonts w:ascii="Arial" w:eastAsia="Arial" w:hAnsi="Arial" w:cs="Arial"/>
          <w:sz w:val="20"/>
          <w:szCs w:val="20"/>
        </w:rPr>
        <w:t>expenses incurred for the initiation of our AXA1665 EMMPOWER Phase 2 Clinical Trial and AXA1125 EMMPACT Phase 2b Clinical Trial.</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2" w:lineRule="exact"/>
        <w:rPr>
          <w:sz w:val="20"/>
          <w:szCs w:val="20"/>
        </w:rPr>
      </w:pPr>
    </w:p>
    <w:p w:rsidR="000728AD" w:rsidRDefault="000561BE">
      <w:pPr>
        <w:jc w:val="center"/>
        <w:rPr>
          <w:sz w:val="20"/>
          <w:szCs w:val="20"/>
        </w:rPr>
      </w:pPr>
      <w:r>
        <w:rPr>
          <w:rFonts w:ascii="Arial" w:eastAsia="Arial" w:hAnsi="Arial" w:cs="Arial"/>
          <w:sz w:val="18"/>
          <w:szCs w:val="18"/>
        </w:rPr>
        <w:t>25</w:t>
      </w:r>
    </w:p>
    <w:p w:rsidR="000728AD" w:rsidRDefault="000561BE">
      <w:pPr>
        <w:spacing w:line="20" w:lineRule="exact"/>
        <w:rPr>
          <w:sz w:val="20"/>
          <w:szCs w:val="20"/>
        </w:rPr>
      </w:pPr>
      <w:r>
        <w:rPr>
          <w:noProof/>
          <w:sz w:val="20"/>
          <w:szCs w:val="20"/>
        </w:rPr>
        <w:drawing>
          <wp:anchor distT="0" distB="0" distL="114300" distR="114300" simplePos="0" relativeHeight="251633664"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26" w:name="page26"/>
    <w:bookmarkEnd w:id="26"/>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rPr>
          <w:sz w:val="20"/>
          <w:szCs w:val="20"/>
        </w:rPr>
      </w:pPr>
      <w:r>
        <w:rPr>
          <w:rFonts w:ascii="Arial" w:eastAsia="Arial" w:hAnsi="Arial" w:cs="Arial"/>
          <w:i/>
          <w:iCs/>
          <w:sz w:val="20"/>
          <w:szCs w:val="20"/>
        </w:rPr>
        <w:t>General and Administrative Expenses</w:t>
      </w:r>
    </w:p>
    <w:p w:rsidR="000728AD" w:rsidRDefault="000728AD">
      <w:pPr>
        <w:spacing w:line="216" w:lineRule="exact"/>
        <w:rPr>
          <w:sz w:val="20"/>
          <w:szCs w:val="20"/>
        </w:rPr>
      </w:pPr>
    </w:p>
    <w:p w:rsidR="000728AD" w:rsidRDefault="000561BE">
      <w:pPr>
        <w:spacing w:line="260" w:lineRule="auto"/>
        <w:ind w:right="80"/>
        <w:rPr>
          <w:sz w:val="20"/>
          <w:szCs w:val="20"/>
        </w:rPr>
      </w:pPr>
      <w:r>
        <w:rPr>
          <w:rFonts w:ascii="Arial" w:eastAsia="Arial" w:hAnsi="Arial" w:cs="Arial"/>
          <w:sz w:val="20"/>
          <w:szCs w:val="20"/>
        </w:rPr>
        <w:t xml:space="preserve">The </w:t>
      </w:r>
      <w:r>
        <w:rPr>
          <w:rFonts w:ascii="Arial" w:eastAsia="Arial" w:hAnsi="Arial" w:cs="Arial"/>
          <w:sz w:val="20"/>
          <w:szCs w:val="20"/>
        </w:rPr>
        <w:t>following table summarizes our general and administrative expenses incurred during the three months ended June 30, 2021 and 2020 (in thousands):</w:t>
      </w:r>
    </w:p>
    <w:p w:rsidR="000728AD" w:rsidRDefault="000728AD">
      <w:pPr>
        <w:spacing w:line="1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80"/>
        <w:gridCol w:w="980"/>
        <w:gridCol w:w="540"/>
        <w:gridCol w:w="100"/>
        <w:gridCol w:w="980"/>
        <w:gridCol w:w="540"/>
        <w:gridCol w:w="100"/>
        <w:gridCol w:w="300"/>
        <w:gridCol w:w="1220"/>
      </w:tblGrid>
      <w:tr w:rsidR="000728AD">
        <w:trPr>
          <w:trHeight w:val="207"/>
        </w:trPr>
        <w:tc>
          <w:tcPr>
            <w:tcW w:w="6480" w:type="dxa"/>
            <w:vAlign w:val="bottom"/>
          </w:tcPr>
          <w:p w:rsidR="000728AD" w:rsidRDefault="000728AD">
            <w:pPr>
              <w:rPr>
                <w:sz w:val="17"/>
                <w:szCs w:val="17"/>
              </w:rPr>
            </w:pPr>
          </w:p>
        </w:tc>
        <w:tc>
          <w:tcPr>
            <w:tcW w:w="2600" w:type="dxa"/>
            <w:gridSpan w:val="4"/>
            <w:vAlign w:val="bottom"/>
          </w:tcPr>
          <w:p w:rsidR="000728AD" w:rsidRDefault="000561BE">
            <w:pPr>
              <w:ind w:right="104"/>
              <w:jc w:val="right"/>
              <w:rPr>
                <w:sz w:val="20"/>
                <w:szCs w:val="20"/>
              </w:rPr>
            </w:pPr>
            <w:r>
              <w:rPr>
                <w:rFonts w:ascii="Arial" w:eastAsia="Arial" w:hAnsi="Arial" w:cs="Arial"/>
                <w:b/>
                <w:bCs/>
                <w:sz w:val="18"/>
                <w:szCs w:val="18"/>
              </w:rPr>
              <w:t>Three Months Ended</w:t>
            </w:r>
          </w:p>
        </w:tc>
        <w:tc>
          <w:tcPr>
            <w:tcW w:w="540" w:type="dxa"/>
            <w:vAlign w:val="bottom"/>
          </w:tcPr>
          <w:p w:rsidR="000728AD" w:rsidRDefault="000728AD">
            <w:pPr>
              <w:rPr>
                <w:sz w:val="17"/>
                <w:szCs w:val="17"/>
              </w:rPr>
            </w:pPr>
          </w:p>
        </w:tc>
        <w:tc>
          <w:tcPr>
            <w:tcW w:w="100" w:type="dxa"/>
            <w:vAlign w:val="bottom"/>
          </w:tcPr>
          <w:p w:rsidR="000728AD" w:rsidRDefault="000728AD">
            <w:pPr>
              <w:rPr>
                <w:sz w:val="17"/>
                <w:szCs w:val="17"/>
              </w:rPr>
            </w:pPr>
          </w:p>
        </w:tc>
        <w:tc>
          <w:tcPr>
            <w:tcW w:w="300" w:type="dxa"/>
            <w:vAlign w:val="bottom"/>
          </w:tcPr>
          <w:p w:rsidR="000728AD" w:rsidRDefault="000728AD">
            <w:pPr>
              <w:rPr>
                <w:sz w:val="17"/>
                <w:szCs w:val="17"/>
              </w:rPr>
            </w:pPr>
          </w:p>
        </w:tc>
        <w:tc>
          <w:tcPr>
            <w:tcW w:w="1220" w:type="dxa"/>
            <w:vAlign w:val="bottom"/>
          </w:tcPr>
          <w:p w:rsidR="000728AD" w:rsidRDefault="000728AD">
            <w:pPr>
              <w:rPr>
                <w:sz w:val="17"/>
                <w:szCs w:val="17"/>
              </w:rPr>
            </w:pPr>
          </w:p>
        </w:tc>
      </w:tr>
      <w:tr w:rsidR="000728AD">
        <w:trPr>
          <w:trHeight w:val="230"/>
        </w:trPr>
        <w:tc>
          <w:tcPr>
            <w:tcW w:w="6480" w:type="dxa"/>
            <w:vAlign w:val="bottom"/>
          </w:tcPr>
          <w:p w:rsidR="000728AD" w:rsidRDefault="000728AD">
            <w:pPr>
              <w:rPr>
                <w:sz w:val="19"/>
                <w:szCs w:val="19"/>
              </w:rPr>
            </w:pPr>
          </w:p>
        </w:tc>
        <w:tc>
          <w:tcPr>
            <w:tcW w:w="980" w:type="dxa"/>
            <w:tcBorders>
              <w:bottom w:val="single" w:sz="8" w:space="0" w:color="auto"/>
            </w:tcBorders>
            <w:vAlign w:val="bottom"/>
          </w:tcPr>
          <w:p w:rsidR="000728AD" w:rsidRDefault="000728AD">
            <w:pPr>
              <w:rPr>
                <w:sz w:val="19"/>
                <w:szCs w:val="19"/>
              </w:rPr>
            </w:pPr>
          </w:p>
        </w:tc>
        <w:tc>
          <w:tcPr>
            <w:tcW w:w="1620" w:type="dxa"/>
            <w:gridSpan w:val="3"/>
            <w:tcBorders>
              <w:bottom w:val="single" w:sz="8" w:space="0" w:color="auto"/>
            </w:tcBorders>
            <w:vAlign w:val="bottom"/>
          </w:tcPr>
          <w:p w:rsidR="000728AD" w:rsidRDefault="000561BE">
            <w:pPr>
              <w:ind w:right="604"/>
              <w:jc w:val="right"/>
              <w:rPr>
                <w:sz w:val="20"/>
                <w:szCs w:val="20"/>
              </w:rPr>
            </w:pPr>
            <w:r>
              <w:rPr>
                <w:rFonts w:ascii="Arial" w:eastAsia="Arial" w:hAnsi="Arial" w:cs="Arial"/>
                <w:b/>
                <w:bCs/>
                <w:sz w:val="18"/>
                <w:szCs w:val="18"/>
              </w:rPr>
              <w:t>June 30,</w:t>
            </w:r>
          </w:p>
        </w:tc>
        <w:tc>
          <w:tcPr>
            <w:tcW w:w="540" w:type="dxa"/>
            <w:tcBorders>
              <w:bottom w:val="single" w:sz="8" w:space="0" w:color="auto"/>
            </w:tcBorders>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300" w:type="dxa"/>
            <w:tcBorders>
              <w:bottom w:val="single" w:sz="8" w:space="0" w:color="auto"/>
            </w:tcBorders>
            <w:vAlign w:val="bottom"/>
          </w:tcPr>
          <w:p w:rsidR="000728AD" w:rsidRDefault="000728AD">
            <w:pPr>
              <w:rPr>
                <w:sz w:val="19"/>
                <w:szCs w:val="19"/>
              </w:rPr>
            </w:pPr>
          </w:p>
        </w:tc>
        <w:tc>
          <w:tcPr>
            <w:tcW w:w="1220" w:type="dxa"/>
            <w:tcBorders>
              <w:bottom w:val="single" w:sz="8" w:space="0" w:color="auto"/>
            </w:tcBorders>
            <w:vAlign w:val="bottom"/>
          </w:tcPr>
          <w:p w:rsidR="000728AD" w:rsidRDefault="000728AD">
            <w:pPr>
              <w:rPr>
                <w:sz w:val="19"/>
                <w:szCs w:val="19"/>
              </w:rPr>
            </w:pPr>
          </w:p>
        </w:tc>
      </w:tr>
      <w:tr w:rsidR="000728AD">
        <w:trPr>
          <w:trHeight w:val="223"/>
        </w:trPr>
        <w:tc>
          <w:tcPr>
            <w:tcW w:w="6480" w:type="dxa"/>
            <w:tcBorders>
              <w:bottom w:val="single" w:sz="8" w:space="0" w:color="CCEEFF"/>
            </w:tcBorders>
            <w:vAlign w:val="bottom"/>
          </w:tcPr>
          <w:p w:rsidR="000728AD" w:rsidRDefault="000728AD">
            <w:pPr>
              <w:rPr>
                <w:sz w:val="19"/>
                <w:szCs w:val="19"/>
              </w:rPr>
            </w:pPr>
          </w:p>
        </w:tc>
        <w:tc>
          <w:tcPr>
            <w:tcW w:w="980" w:type="dxa"/>
            <w:tcBorders>
              <w:bottom w:val="single" w:sz="8" w:space="0" w:color="auto"/>
            </w:tcBorders>
            <w:vAlign w:val="bottom"/>
          </w:tcPr>
          <w:p w:rsidR="000728AD" w:rsidRDefault="000561BE">
            <w:pPr>
              <w:jc w:val="right"/>
              <w:rPr>
                <w:sz w:val="20"/>
                <w:szCs w:val="20"/>
              </w:rPr>
            </w:pPr>
            <w:r>
              <w:rPr>
                <w:rFonts w:ascii="Arial" w:eastAsia="Arial" w:hAnsi="Arial" w:cs="Arial"/>
                <w:b/>
                <w:bCs/>
                <w:sz w:val="18"/>
                <w:szCs w:val="18"/>
              </w:rPr>
              <w:t>2021</w:t>
            </w:r>
          </w:p>
        </w:tc>
        <w:tc>
          <w:tcPr>
            <w:tcW w:w="540" w:type="dxa"/>
            <w:tcBorders>
              <w:bottom w:val="single" w:sz="8" w:space="0" w:color="auto"/>
            </w:tcBorders>
            <w:vAlign w:val="bottom"/>
          </w:tcPr>
          <w:p w:rsidR="000728AD" w:rsidRDefault="000728AD">
            <w:pPr>
              <w:rPr>
                <w:sz w:val="19"/>
                <w:szCs w:val="19"/>
              </w:rPr>
            </w:pPr>
          </w:p>
        </w:tc>
        <w:tc>
          <w:tcPr>
            <w:tcW w:w="100" w:type="dxa"/>
            <w:tcBorders>
              <w:bottom w:val="single" w:sz="8" w:space="0" w:color="CCEEFF"/>
            </w:tcBorders>
            <w:vAlign w:val="bottom"/>
          </w:tcPr>
          <w:p w:rsidR="000728AD" w:rsidRDefault="000728AD">
            <w:pPr>
              <w:rPr>
                <w:sz w:val="19"/>
                <w:szCs w:val="19"/>
              </w:rPr>
            </w:pPr>
          </w:p>
        </w:tc>
        <w:tc>
          <w:tcPr>
            <w:tcW w:w="980" w:type="dxa"/>
            <w:tcBorders>
              <w:bottom w:val="single" w:sz="8" w:space="0" w:color="auto"/>
            </w:tcBorders>
            <w:vAlign w:val="bottom"/>
          </w:tcPr>
          <w:p w:rsidR="000728AD" w:rsidRDefault="000561BE">
            <w:pPr>
              <w:jc w:val="right"/>
              <w:rPr>
                <w:sz w:val="20"/>
                <w:szCs w:val="20"/>
              </w:rPr>
            </w:pPr>
            <w:r>
              <w:rPr>
                <w:rFonts w:ascii="Arial" w:eastAsia="Arial" w:hAnsi="Arial" w:cs="Arial"/>
                <w:b/>
                <w:bCs/>
                <w:sz w:val="18"/>
                <w:szCs w:val="18"/>
              </w:rPr>
              <w:t>2020</w:t>
            </w:r>
          </w:p>
        </w:tc>
        <w:tc>
          <w:tcPr>
            <w:tcW w:w="540" w:type="dxa"/>
            <w:tcBorders>
              <w:bottom w:val="single" w:sz="8" w:space="0" w:color="auto"/>
            </w:tcBorders>
            <w:vAlign w:val="bottom"/>
          </w:tcPr>
          <w:p w:rsidR="000728AD" w:rsidRDefault="000728AD">
            <w:pPr>
              <w:rPr>
                <w:sz w:val="19"/>
                <w:szCs w:val="19"/>
              </w:rPr>
            </w:pPr>
          </w:p>
        </w:tc>
        <w:tc>
          <w:tcPr>
            <w:tcW w:w="100" w:type="dxa"/>
            <w:tcBorders>
              <w:bottom w:val="single" w:sz="8" w:space="0" w:color="CCEEFF"/>
            </w:tcBorders>
            <w:vAlign w:val="bottom"/>
          </w:tcPr>
          <w:p w:rsidR="000728AD" w:rsidRDefault="000728AD">
            <w:pPr>
              <w:rPr>
                <w:sz w:val="19"/>
                <w:szCs w:val="19"/>
              </w:rPr>
            </w:pPr>
          </w:p>
        </w:tc>
        <w:tc>
          <w:tcPr>
            <w:tcW w:w="300" w:type="dxa"/>
            <w:tcBorders>
              <w:bottom w:val="single" w:sz="8" w:space="0" w:color="auto"/>
            </w:tcBorders>
            <w:vAlign w:val="bottom"/>
          </w:tcPr>
          <w:p w:rsidR="000728AD" w:rsidRDefault="000728AD">
            <w:pPr>
              <w:rPr>
                <w:sz w:val="19"/>
                <w:szCs w:val="19"/>
              </w:rPr>
            </w:pPr>
          </w:p>
        </w:tc>
        <w:tc>
          <w:tcPr>
            <w:tcW w:w="1220" w:type="dxa"/>
            <w:tcBorders>
              <w:bottom w:val="single" w:sz="8" w:space="0" w:color="auto"/>
            </w:tcBorders>
            <w:vAlign w:val="bottom"/>
          </w:tcPr>
          <w:p w:rsidR="000728AD" w:rsidRDefault="000561BE">
            <w:pPr>
              <w:ind w:left="160"/>
              <w:rPr>
                <w:sz w:val="20"/>
                <w:szCs w:val="20"/>
              </w:rPr>
            </w:pPr>
            <w:r>
              <w:rPr>
                <w:rFonts w:ascii="Arial" w:eastAsia="Arial" w:hAnsi="Arial" w:cs="Arial"/>
                <w:b/>
                <w:bCs/>
                <w:sz w:val="18"/>
                <w:szCs w:val="18"/>
              </w:rPr>
              <w:t>Change</w:t>
            </w:r>
          </w:p>
        </w:tc>
      </w:tr>
      <w:tr w:rsidR="000728AD">
        <w:trPr>
          <w:trHeight w:val="263"/>
        </w:trPr>
        <w:tc>
          <w:tcPr>
            <w:tcW w:w="6480" w:type="dxa"/>
            <w:shd w:val="clear" w:color="auto" w:fill="CCEEFF"/>
            <w:vAlign w:val="bottom"/>
          </w:tcPr>
          <w:p w:rsidR="000728AD" w:rsidRDefault="000561BE">
            <w:pPr>
              <w:ind w:left="20"/>
              <w:rPr>
                <w:sz w:val="20"/>
                <w:szCs w:val="20"/>
              </w:rPr>
            </w:pPr>
            <w:r>
              <w:rPr>
                <w:rFonts w:ascii="Arial" w:eastAsia="Arial" w:hAnsi="Arial" w:cs="Arial"/>
                <w:sz w:val="20"/>
                <w:szCs w:val="20"/>
              </w:rPr>
              <w:t>Salary and benefits-related</w:t>
            </w:r>
          </w:p>
        </w:tc>
        <w:tc>
          <w:tcPr>
            <w:tcW w:w="980" w:type="dxa"/>
            <w:shd w:val="clear" w:color="auto" w:fill="CCEEFF"/>
            <w:vAlign w:val="bottom"/>
          </w:tcPr>
          <w:p w:rsidR="000728AD" w:rsidRDefault="000561BE">
            <w:pPr>
              <w:ind w:right="766"/>
              <w:jc w:val="right"/>
              <w:rPr>
                <w:sz w:val="20"/>
                <w:szCs w:val="20"/>
              </w:rPr>
            </w:pPr>
            <w:r>
              <w:rPr>
                <w:rFonts w:ascii="Arial" w:eastAsia="Arial" w:hAnsi="Arial" w:cs="Arial"/>
                <w:w w:val="89"/>
                <w:sz w:val="20"/>
                <w:szCs w:val="20"/>
              </w:rPr>
              <w:t>$</w:t>
            </w:r>
          </w:p>
        </w:tc>
        <w:tc>
          <w:tcPr>
            <w:tcW w:w="540" w:type="dxa"/>
            <w:shd w:val="clear" w:color="auto" w:fill="CCEEFF"/>
            <w:vAlign w:val="bottom"/>
          </w:tcPr>
          <w:p w:rsidR="000728AD" w:rsidRDefault="000561BE">
            <w:pPr>
              <w:jc w:val="right"/>
              <w:rPr>
                <w:sz w:val="20"/>
                <w:szCs w:val="20"/>
              </w:rPr>
            </w:pPr>
            <w:r>
              <w:rPr>
                <w:rFonts w:ascii="Arial" w:eastAsia="Arial" w:hAnsi="Arial" w:cs="Arial"/>
                <w:w w:val="87"/>
                <w:sz w:val="20"/>
                <w:szCs w:val="20"/>
              </w:rPr>
              <w:t>3,193</w:t>
            </w:r>
          </w:p>
        </w:tc>
        <w:tc>
          <w:tcPr>
            <w:tcW w:w="100" w:type="dxa"/>
            <w:shd w:val="clear" w:color="auto" w:fill="CCEEFF"/>
            <w:vAlign w:val="bottom"/>
          </w:tcPr>
          <w:p w:rsidR="000728AD" w:rsidRDefault="000728AD"/>
        </w:tc>
        <w:tc>
          <w:tcPr>
            <w:tcW w:w="980" w:type="dxa"/>
            <w:shd w:val="clear" w:color="auto" w:fill="CCEEFF"/>
            <w:vAlign w:val="bottom"/>
          </w:tcPr>
          <w:p w:rsidR="000728AD" w:rsidRDefault="000561BE">
            <w:pPr>
              <w:ind w:right="764"/>
              <w:jc w:val="right"/>
              <w:rPr>
                <w:sz w:val="20"/>
                <w:szCs w:val="20"/>
              </w:rPr>
            </w:pPr>
            <w:r>
              <w:rPr>
                <w:rFonts w:ascii="Arial" w:eastAsia="Arial" w:hAnsi="Arial" w:cs="Arial"/>
                <w:w w:val="89"/>
                <w:sz w:val="20"/>
                <w:szCs w:val="20"/>
              </w:rPr>
              <w:t>$</w:t>
            </w:r>
          </w:p>
        </w:tc>
        <w:tc>
          <w:tcPr>
            <w:tcW w:w="540" w:type="dxa"/>
            <w:shd w:val="clear" w:color="auto" w:fill="CCEEFF"/>
            <w:vAlign w:val="bottom"/>
          </w:tcPr>
          <w:p w:rsidR="000728AD" w:rsidRDefault="000561BE">
            <w:pPr>
              <w:jc w:val="right"/>
              <w:rPr>
                <w:sz w:val="20"/>
                <w:szCs w:val="20"/>
              </w:rPr>
            </w:pPr>
            <w:r>
              <w:rPr>
                <w:rFonts w:ascii="Arial" w:eastAsia="Arial" w:hAnsi="Arial" w:cs="Arial"/>
                <w:w w:val="87"/>
                <w:sz w:val="20"/>
                <w:szCs w:val="20"/>
              </w:rPr>
              <w:t>2,856</w:t>
            </w:r>
          </w:p>
        </w:tc>
        <w:tc>
          <w:tcPr>
            <w:tcW w:w="100" w:type="dxa"/>
            <w:shd w:val="clear" w:color="auto" w:fill="CCEEFF"/>
            <w:vAlign w:val="bottom"/>
          </w:tcPr>
          <w:p w:rsidR="000728AD" w:rsidRDefault="000728AD"/>
        </w:tc>
        <w:tc>
          <w:tcPr>
            <w:tcW w:w="300" w:type="dxa"/>
            <w:shd w:val="clear" w:color="auto" w:fill="CCEEFF"/>
            <w:vAlign w:val="bottom"/>
          </w:tcPr>
          <w:p w:rsidR="000728AD" w:rsidRDefault="000561BE">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rsidR="000728AD" w:rsidRDefault="000561BE">
            <w:pPr>
              <w:ind w:left="663"/>
              <w:jc w:val="center"/>
              <w:rPr>
                <w:sz w:val="20"/>
                <w:szCs w:val="20"/>
              </w:rPr>
            </w:pPr>
            <w:r>
              <w:rPr>
                <w:rFonts w:ascii="Arial" w:eastAsia="Arial" w:hAnsi="Arial" w:cs="Arial"/>
                <w:w w:val="89"/>
                <w:sz w:val="20"/>
                <w:szCs w:val="20"/>
              </w:rPr>
              <w:t>337</w:t>
            </w:r>
          </w:p>
        </w:tc>
      </w:tr>
      <w:tr w:rsidR="000728AD">
        <w:trPr>
          <w:trHeight w:val="284"/>
        </w:trPr>
        <w:tc>
          <w:tcPr>
            <w:tcW w:w="6480" w:type="dxa"/>
            <w:vAlign w:val="bottom"/>
          </w:tcPr>
          <w:p w:rsidR="000728AD" w:rsidRDefault="000561BE">
            <w:pPr>
              <w:ind w:left="20"/>
              <w:rPr>
                <w:sz w:val="20"/>
                <w:szCs w:val="20"/>
              </w:rPr>
            </w:pPr>
            <w:r>
              <w:rPr>
                <w:rFonts w:ascii="Arial" w:eastAsia="Arial" w:hAnsi="Arial" w:cs="Arial"/>
                <w:sz w:val="20"/>
                <w:szCs w:val="20"/>
              </w:rPr>
              <w:t>Other contract services and outside costs</w:t>
            </w:r>
          </w:p>
        </w:tc>
        <w:tc>
          <w:tcPr>
            <w:tcW w:w="980" w:type="dxa"/>
            <w:vAlign w:val="bottom"/>
          </w:tcPr>
          <w:p w:rsidR="000728AD" w:rsidRDefault="000728AD">
            <w:pPr>
              <w:rPr>
                <w:sz w:val="24"/>
                <w:szCs w:val="24"/>
              </w:rPr>
            </w:pPr>
          </w:p>
        </w:tc>
        <w:tc>
          <w:tcPr>
            <w:tcW w:w="540" w:type="dxa"/>
            <w:vAlign w:val="bottom"/>
          </w:tcPr>
          <w:p w:rsidR="000728AD" w:rsidRDefault="000561BE">
            <w:pPr>
              <w:jc w:val="right"/>
              <w:rPr>
                <w:sz w:val="20"/>
                <w:szCs w:val="20"/>
              </w:rPr>
            </w:pPr>
            <w:r>
              <w:rPr>
                <w:rFonts w:ascii="Arial" w:eastAsia="Arial" w:hAnsi="Arial" w:cs="Arial"/>
                <w:w w:val="87"/>
                <w:sz w:val="20"/>
                <w:szCs w:val="20"/>
              </w:rPr>
              <w:t>1,464</w:t>
            </w:r>
          </w:p>
        </w:tc>
        <w:tc>
          <w:tcPr>
            <w:tcW w:w="100" w:type="dxa"/>
            <w:vAlign w:val="bottom"/>
          </w:tcPr>
          <w:p w:rsidR="000728AD" w:rsidRDefault="000728AD">
            <w:pPr>
              <w:rPr>
                <w:sz w:val="24"/>
                <w:szCs w:val="24"/>
              </w:rPr>
            </w:pPr>
          </w:p>
        </w:tc>
        <w:tc>
          <w:tcPr>
            <w:tcW w:w="980" w:type="dxa"/>
            <w:vAlign w:val="bottom"/>
          </w:tcPr>
          <w:p w:rsidR="000728AD" w:rsidRDefault="000728AD">
            <w:pPr>
              <w:rPr>
                <w:sz w:val="24"/>
                <w:szCs w:val="24"/>
              </w:rPr>
            </w:pPr>
          </w:p>
        </w:tc>
        <w:tc>
          <w:tcPr>
            <w:tcW w:w="540" w:type="dxa"/>
            <w:vAlign w:val="bottom"/>
          </w:tcPr>
          <w:p w:rsidR="000728AD" w:rsidRDefault="000561BE">
            <w:pPr>
              <w:jc w:val="right"/>
              <w:rPr>
                <w:sz w:val="20"/>
                <w:szCs w:val="20"/>
              </w:rPr>
            </w:pPr>
            <w:r>
              <w:rPr>
                <w:rFonts w:ascii="Arial" w:eastAsia="Arial" w:hAnsi="Arial" w:cs="Arial"/>
                <w:w w:val="87"/>
                <w:sz w:val="20"/>
                <w:szCs w:val="20"/>
              </w:rPr>
              <w:t>1,317</w:t>
            </w:r>
          </w:p>
        </w:tc>
        <w:tc>
          <w:tcPr>
            <w:tcW w:w="100" w:type="dxa"/>
            <w:vAlign w:val="bottom"/>
          </w:tcPr>
          <w:p w:rsidR="000728AD" w:rsidRDefault="000728AD">
            <w:pPr>
              <w:rPr>
                <w:sz w:val="24"/>
                <w:szCs w:val="24"/>
              </w:rPr>
            </w:pPr>
          </w:p>
        </w:tc>
        <w:tc>
          <w:tcPr>
            <w:tcW w:w="300" w:type="dxa"/>
            <w:vAlign w:val="bottom"/>
          </w:tcPr>
          <w:p w:rsidR="000728AD" w:rsidRDefault="000728AD">
            <w:pPr>
              <w:rPr>
                <w:sz w:val="24"/>
                <w:szCs w:val="24"/>
              </w:rPr>
            </w:pPr>
          </w:p>
        </w:tc>
        <w:tc>
          <w:tcPr>
            <w:tcW w:w="1220" w:type="dxa"/>
            <w:vAlign w:val="bottom"/>
          </w:tcPr>
          <w:p w:rsidR="000728AD" w:rsidRDefault="000561BE">
            <w:pPr>
              <w:ind w:left="663"/>
              <w:jc w:val="center"/>
              <w:rPr>
                <w:sz w:val="20"/>
                <w:szCs w:val="20"/>
              </w:rPr>
            </w:pPr>
            <w:r>
              <w:rPr>
                <w:rFonts w:ascii="Arial" w:eastAsia="Arial" w:hAnsi="Arial" w:cs="Arial"/>
                <w:w w:val="89"/>
                <w:sz w:val="20"/>
                <w:szCs w:val="20"/>
              </w:rPr>
              <w:t>147</w:t>
            </w:r>
          </w:p>
        </w:tc>
      </w:tr>
      <w:tr w:rsidR="000728AD">
        <w:trPr>
          <w:trHeight w:val="283"/>
        </w:trPr>
        <w:tc>
          <w:tcPr>
            <w:tcW w:w="6480" w:type="dxa"/>
            <w:shd w:val="clear" w:color="auto" w:fill="CCEEFF"/>
            <w:vAlign w:val="bottom"/>
          </w:tcPr>
          <w:p w:rsidR="000728AD" w:rsidRDefault="000561BE">
            <w:pPr>
              <w:ind w:left="20"/>
              <w:rPr>
                <w:sz w:val="20"/>
                <w:szCs w:val="20"/>
              </w:rPr>
            </w:pPr>
            <w:r>
              <w:rPr>
                <w:rFonts w:ascii="Arial" w:eastAsia="Arial" w:hAnsi="Arial" w:cs="Arial"/>
                <w:sz w:val="20"/>
                <w:szCs w:val="20"/>
              </w:rPr>
              <w:t>Facility-related and other</w:t>
            </w:r>
          </w:p>
        </w:tc>
        <w:tc>
          <w:tcPr>
            <w:tcW w:w="980" w:type="dxa"/>
            <w:tcBorders>
              <w:bottom w:val="single" w:sz="8" w:space="0" w:color="auto"/>
            </w:tcBorders>
            <w:shd w:val="clear" w:color="auto" w:fill="CCEEFF"/>
            <w:vAlign w:val="bottom"/>
          </w:tcPr>
          <w:p w:rsidR="000728AD" w:rsidRDefault="000728AD">
            <w:pPr>
              <w:rPr>
                <w:sz w:val="24"/>
                <w:szCs w:val="24"/>
              </w:rPr>
            </w:pPr>
          </w:p>
        </w:tc>
        <w:tc>
          <w:tcPr>
            <w:tcW w:w="54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289</w:t>
            </w:r>
          </w:p>
        </w:tc>
        <w:tc>
          <w:tcPr>
            <w:tcW w:w="100" w:type="dxa"/>
            <w:shd w:val="clear" w:color="auto" w:fill="CCEEFF"/>
            <w:vAlign w:val="bottom"/>
          </w:tcPr>
          <w:p w:rsidR="000728AD" w:rsidRDefault="000728AD">
            <w:pPr>
              <w:rPr>
                <w:sz w:val="24"/>
                <w:szCs w:val="24"/>
              </w:rPr>
            </w:pPr>
          </w:p>
        </w:tc>
        <w:tc>
          <w:tcPr>
            <w:tcW w:w="980" w:type="dxa"/>
            <w:tcBorders>
              <w:bottom w:val="single" w:sz="8" w:space="0" w:color="auto"/>
            </w:tcBorders>
            <w:shd w:val="clear" w:color="auto" w:fill="CCEEFF"/>
            <w:vAlign w:val="bottom"/>
          </w:tcPr>
          <w:p w:rsidR="000728AD" w:rsidRDefault="000728AD">
            <w:pPr>
              <w:rPr>
                <w:sz w:val="24"/>
                <w:szCs w:val="24"/>
              </w:rPr>
            </w:pPr>
          </w:p>
        </w:tc>
        <w:tc>
          <w:tcPr>
            <w:tcW w:w="54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446</w:t>
            </w:r>
          </w:p>
        </w:tc>
        <w:tc>
          <w:tcPr>
            <w:tcW w:w="100" w:type="dxa"/>
            <w:shd w:val="clear" w:color="auto" w:fill="CCEEFF"/>
            <w:vAlign w:val="bottom"/>
          </w:tcPr>
          <w:p w:rsidR="000728AD" w:rsidRDefault="000728AD">
            <w:pPr>
              <w:rPr>
                <w:sz w:val="24"/>
                <w:szCs w:val="24"/>
              </w:rPr>
            </w:pPr>
          </w:p>
        </w:tc>
        <w:tc>
          <w:tcPr>
            <w:tcW w:w="300" w:type="dxa"/>
            <w:tcBorders>
              <w:bottom w:val="single" w:sz="8" w:space="0" w:color="auto"/>
            </w:tcBorders>
            <w:shd w:val="clear" w:color="auto" w:fill="CCEEFF"/>
            <w:vAlign w:val="bottom"/>
          </w:tcPr>
          <w:p w:rsidR="000728AD" w:rsidRDefault="000728AD">
            <w:pPr>
              <w:rPr>
                <w:sz w:val="24"/>
                <w:szCs w:val="24"/>
              </w:rPr>
            </w:pPr>
          </w:p>
        </w:tc>
        <w:tc>
          <w:tcPr>
            <w:tcW w:w="1220" w:type="dxa"/>
            <w:tcBorders>
              <w:bottom w:val="single" w:sz="8" w:space="0" w:color="auto"/>
            </w:tcBorders>
            <w:shd w:val="clear" w:color="auto" w:fill="CCEEFF"/>
            <w:vAlign w:val="bottom"/>
          </w:tcPr>
          <w:p w:rsidR="000728AD" w:rsidRDefault="000561BE">
            <w:pPr>
              <w:ind w:left="643"/>
              <w:jc w:val="center"/>
              <w:rPr>
                <w:sz w:val="20"/>
                <w:szCs w:val="20"/>
              </w:rPr>
            </w:pPr>
            <w:r>
              <w:rPr>
                <w:rFonts w:ascii="Arial" w:eastAsia="Arial" w:hAnsi="Arial" w:cs="Arial"/>
                <w:w w:val="94"/>
                <w:sz w:val="20"/>
                <w:szCs w:val="20"/>
              </w:rPr>
              <w:t>(157)</w:t>
            </w:r>
          </w:p>
        </w:tc>
      </w:tr>
      <w:tr w:rsidR="000728AD">
        <w:trPr>
          <w:trHeight w:val="237"/>
        </w:trPr>
        <w:tc>
          <w:tcPr>
            <w:tcW w:w="6480" w:type="dxa"/>
            <w:vAlign w:val="bottom"/>
          </w:tcPr>
          <w:p w:rsidR="000728AD" w:rsidRDefault="000561BE">
            <w:pPr>
              <w:ind w:left="360"/>
              <w:rPr>
                <w:sz w:val="20"/>
                <w:szCs w:val="20"/>
              </w:rPr>
            </w:pPr>
            <w:r>
              <w:rPr>
                <w:rFonts w:ascii="Arial" w:eastAsia="Arial" w:hAnsi="Arial" w:cs="Arial"/>
                <w:sz w:val="20"/>
                <w:szCs w:val="20"/>
              </w:rPr>
              <w:t>Total general and administrative expenses</w:t>
            </w:r>
          </w:p>
        </w:tc>
        <w:tc>
          <w:tcPr>
            <w:tcW w:w="980" w:type="dxa"/>
            <w:tcBorders>
              <w:bottom w:val="single" w:sz="8" w:space="0" w:color="auto"/>
            </w:tcBorders>
            <w:vAlign w:val="bottom"/>
          </w:tcPr>
          <w:p w:rsidR="000728AD" w:rsidRDefault="000561BE">
            <w:pPr>
              <w:ind w:right="766"/>
              <w:jc w:val="right"/>
              <w:rPr>
                <w:sz w:val="20"/>
                <w:szCs w:val="20"/>
              </w:rPr>
            </w:pPr>
            <w:r>
              <w:rPr>
                <w:rFonts w:ascii="Arial" w:eastAsia="Arial" w:hAnsi="Arial" w:cs="Arial"/>
                <w:w w:val="89"/>
                <w:sz w:val="20"/>
                <w:szCs w:val="20"/>
              </w:rPr>
              <w:t>$</w:t>
            </w:r>
          </w:p>
        </w:tc>
        <w:tc>
          <w:tcPr>
            <w:tcW w:w="540" w:type="dxa"/>
            <w:tcBorders>
              <w:bottom w:val="single" w:sz="8" w:space="0" w:color="auto"/>
            </w:tcBorders>
            <w:vAlign w:val="bottom"/>
          </w:tcPr>
          <w:p w:rsidR="000728AD" w:rsidRDefault="000561BE">
            <w:pPr>
              <w:jc w:val="right"/>
              <w:rPr>
                <w:sz w:val="20"/>
                <w:szCs w:val="20"/>
              </w:rPr>
            </w:pPr>
            <w:r>
              <w:rPr>
                <w:rFonts w:ascii="Arial" w:eastAsia="Arial" w:hAnsi="Arial" w:cs="Arial"/>
                <w:w w:val="87"/>
                <w:sz w:val="20"/>
                <w:szCs w:val="20"/>
              </w:rPr>
              <w:t>4,946</w:t>
            </w:r>
          </w:p>
        </w:tc>
        <w:tc>
          <w:tcPr>
            <w:tcW w:w="100" w:type="dxa"/>
            <w:vAlign w:val="bottom"/>
          </w:tcPr>
          <w:p w:rsidR="000728AD" w:rsidRDefault="000728AD">
            <w:pPr>
              <w:rPr>
                <w:sz w:val="20"/>
                <w:szCs w:val="20"/>
              </w:rPr>
            </w:pPr>
          </w:p>
        </w:tc>
        <w:tc>
          <w:tcPr>
            <w:tcW w:w="980" w:type="dxa"/>
            <w:tcBorders>
              <w:bottom w:val="single" w:sz="8" w:space="0" w:color="auto"/>
            </w:tcBorders>
            <w:vAlign w:val="bottom"/>
          </w:tcPr>
          <w:p w:rsidR="000728AD" w:rsidRDefault="000561BE">
            <w:pPr>
              <w:ind w:right="764"/>
              <w:jc w:val="right"/>
              <w:rPr>
                <w:sz w:val="20"/>
                <w:szCs w:val="20"/>
              </w:rPr>
            </w:pPr>
            <w:r>
              <w:rPr>
                <w:rFonts w:ascii="Arial" w:eastAsia="Arial" w:hAnsi="Arial" w:cs="Arial"/>
                <w:w w:val="89"/>
                <w:sz w:val="20"/>
                <w:szCs w:val="20"/>
              </w:rPr>
              <w:t>$</w:t>
            </w:r>
          </w:p>
        </w:tc>
        <w:tc>
          <w:tcPr>
            <w:tcW w:w="540" w:type="dxa"/>
            <w:tcBorders>
              <w:bottom w:val="single" w:sz="8" w:space="0" w:color="auto"/>
            </w:tcBorders>
            <w:vAlign w:val="bottom"/>
          </w:tcPr>
          <w:p w:rsidR="000728AD" w:rsidRDefault="000561BE">
            <w:pPr>
              <w:jc w:val="right"/>
              <w:rPr>
                <w:sz w:val="20"/>
                <w:szCs w:val="20"/>
              </w:rPr>
            </w:pPr>
            <w:r>
              <w:rPr>
                <w:rFonts w:ascii="Arial" w:eastAsia="Arial" w:hAnsi="Arial" w:cs="Arial"/>
                <w:w w:val="87"/>
                <w:sz w:val="20"/>
                <w:szCs w:val="20"/>
              </w:rPr>
              <w:t>4,619</w:t>
            </w:r>
          </w:p>
        </w:tc>
        <w:tc>
          <w:tcPr>
            <w:tcW w:w="100" w:type="dxa"/>
            <w:vAlign w:val="bottom"/>
          </w:tcPr>
          <w:p w:rsidR="000728AD" w:rsidRDefault="000728AD">
            <w:pPr>
              <w:rPr>
                <w:sz w:val="20"/>
                <w:szCs w:val="20"/>
              </w:rPr>
            </w:pPr>
          </w:p>
        </w:tc>
        <w:tc>
          <w:tcPr>
            <w:tcW w:w="300" w:type="dxa"/>
            <w:tcBorders>
              <w:bottom w:val="single" w:sz="8" w:space="0" w:color="auto"/>
            </w:tcBorders>
            <w:vAlign w:val="bottom"/>
          </w:tcPr>
          <w:p w:rsidR="000728AD" w:rsidRDefault="000561BE">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rsidR="000728AD" w:rsidRDefault="000561BE">
            <w:pPr>
              <w:ind w:left="663"/>
              <w:jc w:val="center"/>
              <w:rPr>
                <w:sz w:val="20"/>
                <w:szCs w:val="20"/>
              </w:rPr>
            </w:pPr>
            <w:r>
              <w:rPr>
                <w:rFonts w:ascii="Arial" w:eastAsia="Arial" w:hAnsi="Arial" w:cs="Arial"/>
                <w:w w:val="89"/>
                <w:sz w:val="20"/>
                <w:szCs w:val="20"/>
              </w:rPr>
              <w:t>327</w:t>
            </w:r>
          </w:p>
        </w:tc>
      </w:tr>
      <w:tr w:rsidR="000728AD">
        <w:trPr>
          <w:trHeight w:val="20"/>
        </w:trPr>
        <w:tc>
          <w:tcPr>
            <w:tcW w:w="6480" w:type="dxa"/>
            <w:vAlign w:val="bottom"/>
          </w:tcPr>
          <w:p w:rsidR="000728AD" w:rsidRDefault="000728AD">
            <w:pPr>
              <w:spacing w:line="20" w:lineRule="exact"/>
              <w:rPr>
                <w:sz w:val="1"/>
                <w:szCs w:val="1"/>
              </w:rPr>
            </w:pPr>
          </w:p>
        </w:tc>
        <w:tc>
          <w:tcPr>
            <w:tcW w:w="980" w:type="dxa"/>
            <w:tcBorders>
              <w:bottom w:val="single" w:sz="8" w:space="0" w:color="auto"/>
            </w:tcBorders>
            <w:vAlign w:val="bottom"/>
          </w:tcPr>
          <w:p w:rsidR="000728AD" w:rsidRDefault="000728AD">
            <w:pPr>
              <w:spacing w:line="20" w:lineRule="exact"/>
              <w:rPr>
                <w:sz w:val="1"/>
                <w:szCs w:val="1"/>
              </w:rPr>
            </w:pPr>
          </w:p>
        </w:tc>
        <w:tc>
          <w:tcPr>
            <w:tcW w:w="540" w:type="dxa"/>
            <w:tcBorders>
              <w:bottom w:val="single" w:sz="8" w:space="0" w:color="auto"/>
            </w:tcBorders>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980" w:type="dxa"/>
            <w:tcBorders>
              <w:bottom w:val="single" w:sz="8" w:space="0" w:color="auto"/>
            </w:tcBorders>
            <w:vAlign w:val="bottom"/>
          </w:tcPr>
          <w:p w:rsidR="000728AD" w:rsidRDefault="000728AD">
            <w:pPr>
              <w:spacing w:line="20" w:lineRule="exact"/>
              <w:rPr>
                <w:sz w:val="1"/>
                <w:szCs w:val="1"/>
              </w:rPr>
            </w:pPr>
          </w:p>
        </w:tc>
        <w:tc>
          <w:tcPr>
            <w:tcW w:w="540" w:type="dxa"/>
            <w:tcBorders>
              <w:bottom w:val="single" w:sz="8" w:space="0" w:color="auto"/>
            </w:tcBorders>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300" w:type="dxa"/>
            <w:tcBorders>
              <w:bottom w:val="single" w:sz="8" w:space="0" w:color="auto"/>
            </w:tcBorders>
            <w:vAlign w:val="bottom"/>
          </w:tcPr>
          <w:p w:rsidR="000728AD" w:rsidRDefault="000728AD">
            <w:pPr>
              <w:spacing w:line="20" w:lineRule="exact"/>
              <w:rPr>
                <w:sz w:val="1"/>
                <w:szCs w:val="1"/>
              </w:rPr>
            </w:pPr>
          </w:p>
        </w:tc>
        <w:tc>
          <w:tcPr>
            <w:tcW w:w="1220" w:type="dxa"/>
            <w:tcBorders>
              <w:bottom w:val="single" w:sz="8" w:space="0" w:color="auto"/>
            </w:tcBorders>
            <w:vAlign w:val="bottom"/>
          </w:tcPr>
          <w:p w:rsidR="000728AD" w:rsidRDefault="000728AD">
            <w:pPr>
              <w:spacing w:line="20" w:lineRule="exact"/>
              <w:rPr>
                <w:sz w:val="1"/>
                <w:szCs w:val="1"/>
              </w:rPr>
            </w:pPr>
          </w:p>
        </w:tc>
      </w:tr>
    </w:tbl>
    <w:p w:rsidR="000728AD" w:rsidRDefault="000728AD">
      <w:pPr>
        <w:spacing w:line="294" w:lineRule="exact"/>
        <w:rPr>
          <w:sz w:val="20"/>
          <w:szCs w:val="20"/>
        </w:rPr>
      </w:pPr>
    </w:p>
    <w:p w:rsidR="000728AD" w:rsidRDefault="000561BE">
      <w:pPr>
        <w:spacing w:line="260" w:lineRule="auto"/>
        <w:ind w:right="200"/>
        <w:rPr>
          <w:sz w:val="20"/>
          <w:szCs w:val="20"/>
        </w:rPr>
      </w:pPr>
      <w:r>
        <w:rPr>
          <w:rFonts w:ascii="Arial" w:eastAsia="Arial" w:hAnsi="Arial" w:cs="Arial"/>
          <w:sz w:val="20"/>
          <w:szCs w:val="20"/>
        </w:rPr>
        <w:t xml:space="preserve">Salary and benefits-related costs increased by </w:t>
      </w:r>
      <w:r>
        <w:rPr>
          <w:rFonts w:ascii="Arial" w:eastAsia="Arial" w:hAnsi="Arial" w:cs="Arial"/>
          <w:sz w:val="20"/>
          <w:szCs w:val="20"/>
        </w:rPr>
        <w:t>$0.3 million due to an increase in equity compensation related to additional grants issued and annual benefit-related increases.</w:t>
      </w:r>
    </w:p>
    <w:p w:rsidR="000728AD" w:rsidRDefault="000728AD">
      <w:pPr>
        <w:spacing w:line="177" w:lineRule="exact"/>
        <w:rPr>
          <w:sz w:val="20"/>
          <w:szCs w:val="20"/>
        </w:rPr>
      </w:pPr>
    </w:p>
    <w:p w:rsidR="000728AD" w:rsidRDefault="000561BE">
      <w:pPr>
        <w:rPr>
          <w:sz w:val="20"/>
          <w:szCs w:val="20"/>
        </w:rPr>
      </w:pPr>
      <w:r>
        <w:rPr>
          <w:rFonts w:ascii="Arial" w:eastAsia="Arial" w:hAnsi="Arial" w:cs="Arial"/>
          <w:i/>
          <w:iCs/>
          <w:sz w:val="20"/>
          <w:szCs w:val="20"/>
        </w:rPr>
        <w:t>Other Income (Expense), Net</w:t>
      </w:r>
    </w:p>
    <w:p w:rsidR="000728AD" w:rsidRDefault="000728AD">
      <w:pPr>
        <w:spacing w:line="216" w:lineRule="exact"/>
        <w:rPr>
          <w:sz w:val="20"/>
          <w:szCs w:val="20"/>
        </w:rPr>
      </w:pPr>
    </w:p>
    <w:p w:rsidR="000728AD" w:rsidRDefault="000561BE">
      <w:pPr>
        <w:rPr>
          <w:sz w:val="20"/>
          <w:szCs w:val="20"/>
        </w:rPr>
      </w:pPr>
      <w:r>
        <w:rPr>
          <w:rFonts w:ascii="Arial" w:eastAsia="Arial" w:hAnsi="Arial" w:cs="Arial"/>
          <w:sz w:val="18"/>
          <w:szCs w:val="18"/>
        </w:rPr>
        <w:t>Other income (expense), net was $0.7 million for both the three months ended June 30, 2021 and th</w:t>
      </w:r>
      <w:r>
        <w:rPr>
          <w:rFonts w:ascii="Arial" w:eastAsia="Arial" w:hAnsi="Arial" w:cs="Arial"/>
          <w:sz w:val="18"/>
          <w:szCs w:val="18"/>
        </w:rPr>
        <w:t>e three months ended June 30, 2020.</w:t>
      </w:r>
    </w:p>
    <w:p w:rsidR="000728AD" w:rsidRDefault="000728AD">
      <w:pPr>
        <w:spacing w:line="39" w:lineRule="exact"/>
        <w:rPr>
          <w:sz w:val="20"/>
          <w:szCs w:val="20"/>
        </w:rPr>
      </w:pPr>
    </w:p>
    <w:p w:rsidR="000728AD" w:rsidRDefault="000561BE">
      <w:pPr>
        <w:rPr>
          <w:sz w:val="20"/>
          <w:szCs w:val="20"/>
        </w:rPr>
      </w:pPr>
      <w:r>
        <w:rPr>
          <w:rFonts w:ascii="Arial" w:eastAsia="Arial" w:hAnsi="Arial" w:cs="Arial"/>
          <w:sz w:val="16"/>
          <w:szCs w:val="16"/>
        </w:rPr>
        <w:t>There were no material changes in Other income (expense), net as interest income and interest expense were comparable within each period.</w:t>
      </w:r>
    </w:p>
    <w:p w:rsidR="000728AD" w:rsidRDefault="000728AD">
      <w:pPr>
        <w:spacing w:line="246" w:lineRule="exact"/>
        <w:rPr>
          <w:sz w:val="20"/>
          <w:szCs w:val="20"/>
        </w:rPr>
      </w:pPr>
    </w:p>
    <w:p w:rsidR="000728AD" w:rsidRDefault="000561BE">
      <w:pPr>
        <w:rPr>
          <w:sz w:val="20"/>
          <w:szCs w:val="20"/>
        </w:rPr>
      </w:pPr>
      <w:r>
        <w:rPr>
          <w:rFonts w:ascii="Arial" w:eastAsia="Arial" w:hAnsi="Arial" w:cs="Arial"/>
          <w:b/>
          <w:bCs/>
          <w:i/>
          <w:iCs/>
          <w:sz w:val="20"/>
          <w:szCs w:val="20"/>
        </w:rPr>
        <w:t>Comparison of the Six Months Ended June 30, 2021 and 2020</w:t>
      </w:r>
    </w:p>
    <w:p w:rsidR="000728AD" w:rsidRDefault="000728AD">
      <w:pPr>
        <w:spacing w:line="216" w:lineRule="exact"/>
        <w:rPr>
          <w:sz w:val="20"/>
          <w:szCs w:val="20"/>
        </w:rPr>
      </w:pPr>
    </w:p>
    <w:p w:rsidR="000728AD" w:rsidRDefault="000561BE">
      <w:pPr>
        <w:rPr>
          <w:sz w:val="20"/>
          <w:szCs w:val="20"/>
        </w:rPr>
      </w:pPr>
      <w:r>
        <w:rPr>
          <w:rFonts w:ascii="Arial" w:eastAsia="Arial" w:hAnsi="Arial" w:cs="Arial"/>
          <w:sz w:val="20"/>
          <w:szCs w:val="20"/>
        </w:rPr>
        <w:t xml:space="preserve">The </w:t>
      </w:r>
      <w:r>
        <w:rPr>
          <w:rFonts w:ascii="Arial" w:eastAsia="Arial" w:hAnsi="Arial" w:cs="Arial"/>
          <w:sz w:val="20"/>
          <w:szCs w:val="20"/>
        </w:rPr>
        <w:t>following table summarizes our results of operations for the six months ended June 30, 2021 and 2020 (in thousands):</w:t>
      </w:r>
    </w:p>
    <w:p w:rsidR="000728AD" w:rsidRDefault="000728AD">
      <w:pPr>
        <w:spacing w:line="22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80"/>
        <w:gridCol w:w="340"/>
        <w:gridCol w:w="1160"/>
        <w:gridCol w:w="120"/>
        <w:gridCol w:w="420"/>
        <w:gridCol w:w="1100"/>
        <w:gridCol w:w="100"/>
        <w:gridCol w:w="300"/>
        <w:gridCol w:w="1220"/>
        <w:gridCol w:w="20"/>
      </w:tblGrid>
      <w:tr w:rsidR="000728AD">
        <w:trPr>
          <w:trHeight w:val="207"/>
        </w:trPr>
        <w:tc>
          <w:tcPr>
            <w:tcW w:w="6480" w:type="dxa"/>
            <w:vAlign w:val="bottom"/>
          </w:tcPr>
          <w:p w:rsidR="000728AD" w:rsidRDefault="000728AD">
            <w:pPr>
              <w:rPr>
                <w:sz w:val="18"/>
                <w:szCs w:val="18"/>
              </w:rPr>
            </w:pPr>
          </w:p>
        </w:tc>
        <w:tc>
          <w:tcPr>
            <w:tcW w:w="340" w:type="dxa"/>
            <w:vAlign w:val="bottom"/>
          </w:tcPr>
          <w:p w:rsidR="000728AD" w:rsidRDefault="000728AD">
            <w:pPr>
              <w:rPr>
                <w:sz w:val="18"/>
                <w:szCs w:val="18"/>
              </w:rPr>
            </w:pPr>
          </w:p>
        </w:tc>
        <w:tc>
          <w:tcPr>
            <w:tcW w:w="2900" w:type="dxa"/>
            <w:gridSpan w:val="5"/>
            <w:vAlign w:val="bottom"/>
          </w:tcPr>
          <w:p w:rsidR="000728AD" w:rsidRDefault="000561BE">
            <w:pPr>
              <w:ind w:left="520"/>
              <w:rPr>
                <w:sz w:val="20"/>
                <w:szCs w:val="20"/>
              </w:rPr>
            </w:pPr>
            <w:r>
              <w:rPr>
                <w:rFonts w:ascii="Arial" w:eastAsia="Arial" w:hAnsi="Arial" w:cs="Arial"/>
                <w:b/>
                <w:bCs/>
                <w:sz w:val="18"/>
                <w:szCs w:val="18"/>
              </w:rPr>
              <w:t>Six Months Ended</w:t>
            </w:r>
          </w:p>
        </w:tc>
        <w:tc>
          <w:tcPr>
            <w:tcW w:w="300" w:type="dxa"/>
            <w:vAlign w:val="bottom"/>
          </w:tcPr>
          <w:p w:rsidR="000728AD" w:rsidRDefault="000728AD">
            <w:pPr>
              <w:rPr>
                <w:sz w:val="18"/>
                <w:szCs w:val="18"/>
              </w:rPr>
            </w:pPr>
          </w:p>
        </w:tc>
        <w:tc>
          <w:tcPr>
            <w:tcW w:w="1220" w:type="dxa"/>
            <w:vAlign w:val="bottom"/>
          </w:tcPr>
          <w:p w:rsidR="000728AD" w:rsidRDefault="000728AD">
            <w:pPr>
              <w:rPr>
                <w:sz w:val="18"/>
                <w:szCs w:val="18"/>
              </w:rPr>
            </w:pPr>
          </w:p>
        </w:tc>
        <w:tc>
          <w:tcPr>
            <w:tcW w:w="0" w:type="dxa"/>
            <w:vAlign w:val="bottom"/>
          </w:tcPr>
          <w:p w:rsidR="000728AD" w:rsidRDefault="000728AD">
            <w:pPr>
              <w:rPr>
                <w:sz w:val="1"/>
                <w:szCs w:val="1"/>
              </w:rPr>
            </w:pPr>
          </w:p>
        </w:tc>
      </w:tr>
      <w:tr w:rsidR="000728AD">
        <w:trPr>
          <w:trHeight w:val="230"/>
        </w:trPr>
        <w:tc>
          <w:tcPr>
            <w:tcW w:w="6480" w:type="dxa"/>
            <w:vAlign w:val="bottom"/>
          </w:tcPr>
          <w:p w:rsidR="000728AD" w:rsidRDefault="000728AD">
            <w:pPr>
              <w:rPr>
                <w:sz w:val="19"/>
                <w:szCs w:val="19"/>
              </w:rPr>
            </w:pPr>
          </w:p>
        </w:tc>
        <w:tc>
          <w:tcPr>
            <w:tcW w:w="340" w:type="dxa"/>
            <w:tcBorders>
              <w:bottom w:val="single" w:sz="8" w:space="0" w:color="auto"/>
            </w:tcBorders>
            <w:vAlign w:val="bottom"/>
          </w:tcPr>
          <w:p w:rsidR="000728AD" w:rsidRDefault="000728AD">
            <w:pPr>
              <w:rPr>
                <w:sz w:val="19"/>
                <w:szCs w:val="19"/>
              </w:rPr>
            </w:pPr>
          </w:p>
        </w:tc>
        <w:tc>
          <w:tcPr>
            <w:tcW w:w="1700" w:type="dxa"/>
            <w:gridSpan w:val="3"/>
            <w:tcBorders>
              <w:bottom w:val="single" w:sz="8" w:space="0" w:color="auto"/>
            </w:tcBorders>
            <w:vAlign w:val="bottom"/>
          </w:tcPr>
          <w:p w:rsidR="000728AD" w:rsidRDefault="000561BE">
            <w:pPr>
              <w:ind w:right="61"/>
              <w:jc w:val="right"/>
              <w:rPr>
                <w:sz w:val="20"/>
                <w:szCs w:val="20"/>
              </w:rPr>
            </w:pPr>
            <w:r>
              <w:rPr>
                <w:rFonts w:ascii="Arial" w:eastAsia="Arial" w:hAnsi="Arial" w:cs="Arial"/>
                <w:b/>
                <w:bCs/>
                <w:sz w:val="18"/>
                <w:szCs w:val="18"/>
              </w:rPr>
              <w:t>June 30,</w:t>
            </w:r>
          </w:p>
        </w:tc>
        <w:tc>
          <w:tcPr>
            <w:tcW w:w="1100" w:type="dxa"/>
            <w:tcBorders>
              <w:bottom w:val="single" w:sz="8" w:space="0" w:color="auto"/>
            </w:tcBorders>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300" w:type="dxa"/>
            <w:tcBorders>
              <w:bottom w:val="single" w:sz="8" w:space="0" w:color="auto"/>
            </w:tcBorders>
            <w:vAlign w:val="bottom"/>
          </w:tcPr>
          <w:p w:rsidR="000728AD" w:rsidRDefault="000728AD">
            <w:pPr>
              <w:rPr>
                <w:sz w:val="19"/>
                <w:szCs w:val="19"/>
              </w:rPr>
            </w:pPr>
          </w:p>
        </w:tc>
        <w:tc>
          <w:tcPr>
            <w:tcW w:w="1220" w:type="dxa"/>
            <w:tcBorders>
              <w:bottom w:val="single" w:sz="8" w:space="0" w:color="auto"/>
            </w:tcBorders>
            <w:vAlign w:val="bottom"/>
          </w:tcPr>
          <w:p w:rsidR="000728AD" w:rsidRDefault="000728AD">
            <w:pPr>
              <w:rPr>
                <w:sz w:val="19"/>
                <w:szCs w:val="19"/>
              </w:rPr>
            </w:pPr>
          </w:p>
        </w:tc>
        <w:tc>
          <w:tcPr>
            <w:tcW w:w="0" w:type="dxa"/>
            <w:vAlign w:val="bottom"/>
          </w:tcPr>
          <w:p w:rsidR="000728AD" w:rsidRDefault="000728AD">
            <w:pPr>
              <w:rPr>
                <w:sz w:val="1"/>
                <w:szCs w:val="1"/>
              </w:rPr>
            </w:pPr>
          </w:p>
        </w:tc>
      </w:tr>
      <w:tr w:rsidR="000728AD">
        <w:trPr>
          <w:trHeight w:val="223"/>
        </w:trPr>
        <w:tc>
          <w:tcPr>
            <w:tcW w:w="6480" w:type="dxa"/>
            <w:vMerge w:val="restart"/>
            <w:vAlign w:val="bottom"/>
          </w:tcPr>
          <w:p w:rsidR="000728AD" w:rsidRDefault="000561BE">
            <w:pPr>
              <w:ind w:left="60"/>
              <w:rPr>
                <w:sz w:val="20"/>
                <w:szCs w:val="20"/>
              </w:rPr>
            </w:pPr>
            <w:r>
              <w:rPr>
                <w:rFonts w:ascii="Arial" w:eastAsia="Arial" w:hAnsi="Arial" w:cs="Arial"/>
                <w:sz w:val="20"/>
                <w:szCs w:val="20"/>
              </w:rPr>
              <w:t>Operating expenses:</w:t>
            </w:r>
          </w:p>
        </w:tc>
        <w:tc>
          <w:tcPr>
            <w:tcW w:w="340" w:type="dxa"/>
            <w:tcBorders>
              <w:bottom w:val="single" w:sz="8" w:space="0" w:color="auto"/>
            </w:tcBorders>
            <w:vAlign w:val="bottom"/>
          </w:tcPr>
          <w:p w:rsidR="000728AD" w:rsidRDefault="000728AD">
            <w:pPr>
              <w:rPr>
                <w:sz w:val="19"/>
                <w:szCs w:val="19"/>
              </w:rPr>
            </w:pPr>
          </w:p>
        </w:tc>
        <w:tc>
          <w:tcPr>
            <w:tcW w:w="1160" w:type="dxa"/>
            <w:tcBorders>
              <w:bottom w:val="single" w:sz="8" w:space="0" w:color="auto"/>
            </w:tcBorders>
            <w:vAlign w:val="bottom"/>
          </w:tcPr>
          <w:p w:rsidR="000728AD" w:rsidRDefault="000561BE">
            <w:pPr>
              <w:ind w:right="464"/>
              <w:jc w:val="right"/>
              <w:rPr>
                <w:sz w:val="20"/>
                <w:szCs w:val="20"/>
              </w:rPr>
            </w:pPr>
            <w:r>
              <w:rPr>
                <w:rFonts w:ascii="Arial" w:eastAsia="Arial" w:hAnsi="Arial" w:cs="Arial"/>
                <w:b/>
                <w:bCs/>
                <w:sz w:val="18"/>
                <w:szCs w:val="18"/>
              </w:rPr>
              <w:t>2021</w:t>
            </w:r>
          </w:p>
        </w:tc>
        <w:tc>
          <w:tcPr>
            <w:tcW w:w="120" w:type="dxa"/>
            <w:vAlign w:val="bottom"/>
          </w:tcPr>
          <w:p w:rsidR="000728AD" w:rsidRDefault="000728AD">
            <w:pPr>
              <w:rPr>
                <w:sz w:val="19"/>
                <w:szCs w:val="19"/>
              </w:rPr>
            </w:pPr>
          </w:p>
        </w:tc>
        <w:tc>
          <w:tcPr>
            <w:tcW w:w="420" w:type="dxa"/>
            <w:tcBorders>
              <w:bottom w:val="single" w:sz="8" w:space="0" w:color="auto"/>
            </w:tcBorders>
            <w:vAlign w:val="bottom"/>
          </w:tcPr>
          <w:p w:rsidR="000728AD" w:rsidRDefault="000728AD">
            <w:pPr>
              <w:rPr>
                <w:sz w:val="19"/>
                <w:szCs w:val="19"/>
              </w:rPr>
            </w:pPr>
          </w:p>
        </w:tc>
        <w:tc>
          <w:tcPr>
            <w:tcW w:w="1100" w:type="dxa"/>
            <w:tcBorders>
              <w:bottom w:val="single" w:sz="8" w:space="0" w:color="auto"/>
            </w:tcBorders>
            <w:vAlign w:val="bottom"/>
          </w:tcPr>
          <w:p w:rsidR="000728AD" w:rsidRDefault="000561BE">
            <w:pPr>
              <w:ind w:right="482"/>
              <w:jc w:val="right"/>
              <w:rPr>
                <w:sz w:val="20"/>
                <w:szCs w:val="20"/>
              </w:rPr>
            </w:pPr>
            <w:r>
              <w:rPr>
                <w:rFonts w:ascii="Arial" w:eastAsia="Arial" w:hAnsi="Arial" w:cs="Arial"/>
                <w:b/>
                <w:bCs/>
                <w:sz w:val="18"/>
                <w:szCs w:val="18"/>
              </w:rPr>
              <w:t>2020</w:t>
            </w:r>
          </w:p>
        </w:tc>
        <w:tc>
          <w:tcPr>
            <w:tcW w:w="100" w:type="dxa"/>
            <w:vAlign w:val="bottom"/>
          </w:tcPr>
          <w:p w:rsidR="000728AD" w:rsidRDefault="000728AD">
            <w:pPr>
              <w:rPr>
                <w:sz w:val="19"/>
                <w:szCs w:val="19"/>
              </w:rPr>
            </w:pPr>
          </w:p>
        </w:tc>
        <w:tc>
          <w:tcPr>
            <w:tcW w:w="300" w:type="dxa"/>
            <w:tcBorders>
              <w:bottom w:val="single" w:sz="8" w:space="0" w:color="auto"/>
            </w:tcBorders>
            <w:vAlign w:val="bottom"/>
          </w:tcPr>
          <w:p w:rsidR="000728AD" w:rsidRDefault="000728AD">
            <w:pPr>
              <w:rPr>
                <w:sz w:val="19"/>
                <w:szCs w:val="19"/>
              </w:rPr>
            </w:pPr>
          </w:p>
        </w:tc>
        <w:tc>
          <w:tcPr>
            <w:tcW w:w="1220" w:type="dxa"/>
            <w:tcBorders>
              <w:bottom w:val="single" w:sz="8" w:space="0" w:color="auto"/>
            </w:tcBorders>
            <w:vAlign w:val="bottom"/>
          </w:tcPr>
          <w:p w:rsidR="000728AD" w:rsidRDefault="000561BE">
            <w:pPr>
              <w:ind w:right="362"/>
              <w:jc w:val="right"/>
              <w:rPr>
                <w:sz w:val="20"/>
                <w:szCs w:val="20"/>
              </w:rPr>
            </w:pPr>
            <w:r>
              <w:rPr>
                <w:rFonts w:ascii="Arial" w:eastAsia="Arial" w:hAnsi="Arial" w:cs="Arial"/>
                <w:b/>
                <w:bCs/>
                <w:sz w:val="18"/>
                <w:szCs w:val="18"/>
              </w:rPr>
              <w:t>Change</w:t>
            </w:r>
          </w:p>
        </w:tc>
        <w:tc>
          <w:tcPr>
            <w:tcW w:w="0" w:type="dxa"/>
            <w:vAlign w:val="bottom"/>
          </w:tcPr>
          <w:p w:rsidR="000728AD" w:rsidRDefault="000728AD">
            <w:pPr>
              <w:rPr>
                <w:sz w:val="1"/>
                <w:szCs w:val="1"/>
              </w:rPr>
            </w:pPr>
          </w:p>
        </w:tc>
      </w:tr>
      <w:tr w:rsidR="000728AD">
        <w:trPr>
          <w:trHeight w:val="223"/>
        </w:trPr>
        <w:tc>
          <w:tcPr>
            <w:tcW w:w="6480" w:type="dxa"/>
            <w:vMerge/>
            <w:vAlign w:val="bottom"/>
          </w:tcPr>
          <w:p w:rsidR="000728AD" w:rsidRDefault="000728AD">
            <w:pPr>
              <w:rPr>
                <w:sz w:val="19"/>
                <w:szCs w:val="19"/>
              </w:rPr>
            </w:pPr>
          </w:p>
        </w:tc>
        <w:tc>
          <w:tcPr>
            <w:tcW w:w="340" w:type="dxa"/>
            <w:vAlign w:val="bottom"/>
          </w:tcPr>
          <w:p w:rsidR="000728AD" w:rsidRDefault="000728AD">
            <w:pPr>
              <w:rPr>
                <w:sz w:val="19"/>
                <w:szCs w:val="19"/>
              </w:rPr>
            </w:pPr>
          </w:p>
        </w:tc>
        <w:tc>
          <w:tcPr>
            <w:tcW w:w="1160" w:type="dxa"/>
            <w:vAlign w:val="bottom"/>
          </w:tcPr>
          <w:p w:rsidR="000728AD" w:rsidRDefault="000728AD">
            <w:pPr>
              <w:rPr>
                <w:sz w:val="19"/>
                <w:szCs w:val="19"/>
              </w:rPr>
            </w:pPr>
          </w:p>
        </w:tc>
        <w:tc>
          <w:tcPr>
            <w:tcW w:w="120" w:type="dxa"/>
            <w:vAlign w:val="bottom"/>
          </w:tcPr>
          <w:p w:rsidR="000728AD" w:rsidRDefault="000728AD">
            <w:pPr>
              <w:rPr>
                <w:sz w:val="19"/>
                <w:szCs w:val="19"/>
              </w:rPr>
            </w:pPr>
          </w:p>
        </w:tc>
        <w:tc>
          <w:tcPr>
            <w:tcW w:w="420" w:type="dxa"/>
            <w:vAlign w:val="bottom"/>
          </w:tcPr>
          <w:p w:rsidR="000728AD" w:rsidRDefault="000728AD">
            <w:pPr>
              <w:rPr>
                <w:sz w:val="19"/>
                <w:szCs w:val="19"/>
              </w:rPr>
            </w:pPr>
          </w:p>
        </w:tc>
        <w:tc>
          <w:tcPr>
            <w:tcW w:w="1100" w:type="dxa"/>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300" w:type="dxa"/>
            <w:vAlign w:val="bottom"/>
          </w:tcPr>
          <w:p w:rsidR="000728AD" w:rsidRDefault="000728AD">
            <w:pPr>
              <w:rPr>
                <w:sz w:val="19"/>
                <w:szCs w:val="19"/>
              </w:rPr>
            </w:pPr>
          </w:p>
        </w:tc>
        <w:tc>
          <w:tcPr>
            <w:tcW w:w="1220" w:type="dxa"/>
            <w:vAlign w:val="bottom"/>
          </w:tcPr>
          <w:p w:rsidR="000728AD" w:rsidRDefault="000728AD">
            <w:pPr>
              <w:rPr>
                <w:sz w:val="19"/>
                <w:szCs w:val="19"/>
              </w:rPr>
            </w:pPr>
          </w:p>
        </w:tc>
        <w:tc>
          <w:tcPr>
            <w:tcW w:w="0" w:type="dxa"/>
            <w:vAlign w:val="bottom"/>
          </w:tcPr>
          <w:p w:rsidR="000728AD" w:rsidRDefault="000728AD">
            <w:pPr>
              <w:rPr>
                <w:sz w:val="1"/>
                <w:szCs w:val="1"/>
              </w:rPr>
            </w:pPr>
          </w:p>
        </w:tc>
      </w:tr>
      <w:tr w:rsidR="000728AD">
        <w:trPr>
          <w:trHeight w:val="243"/>
        </w:trPr>
        <w:tc>
          <w:tcPr>
            <w:tcW w:w="6480" w:type="dxa"/>
            <w:shd w:val="clear" w:color="auto" w:fill="CCEEFF"/>
            <w:vAlign w:val="bottom"/>
          </w:tcPr>
          <w:p w:rsidR="000728AD" w:rsidRDefault="000561BE">
            <w:pPr>
              <w:ind w:left="260"/>
              <w:rPr>
                <w:sz w:val="20"/>
                <w:szCs w:val="20"/>
              </w:rPr>
            </w:pPr>
            <w:r>
              <w:rPr>
                <w:rFonts w:ascii="Arial" w:eastAsia="Arial" w:hAnsi="Arial" w:cs="Arial"/>
                <w:sz w:val="20"/>
                <w:szCs w:val="20"/>
              </w:rPr>
              <w:t>Research and development</w:t>
            </w:r>
          </w:p>
        </w:tc>
        <w:tc>
          <w:tcPr>
            <w:tcW w:w="340" w:type="dxa"/>
            <w:shd w:val="clear" w:color="auto" w:fill="CCEEFF"/>
            <w:vAlign w:val="bottom"/>
          </w:tcPr>
          <w:p w:rsidR="000728AD" w:rsidRDefault="000561BE">
            <w:pPr>
              <w:ind w:right="121"/>
              <w:jc w:val="right"/>
              <w:rPr>
                <w:sz w:val="20"/>
                <w:szCs w:val="20"/>
              </w:rPr>
            </w:pPr>
            <w:r>
              <w:rPr>
                <w:rFonts w:ascii="Arial" w:eastAsia="Arial" w:hAnsi="Arial" w:cs="Arial"/>
                <w:w w:val="89"/>
                <w:sz w:val="20"/>
                <w:szCs w:val="20"/>
              </w:rPr>
              <w:t>$</w:t>
            </w:r>
          </w:p>
        </w:tc>
        <w:tc>
          <w:tcPr>
            <w:tcW w:w="1160" w:type="dxa"/>
            <w:shd w:val="clear" w:color="auto" w:fill="CCEEFF"/>
            <w:vAlign w:val="bottom"/>
          </w:tcPr>
          <w:p w:rsidR="000728AD" w:rsidRDefault="000561BE">
            <w:pPr>
              <w:jc w:val="right"/>
              <w:rPr>
                <w:sz w:val="20"/>
                <w:szCs w:val="20"/>
              </w:rPr>
            </w:pPr>
            <w:r>
              <w:rPr>
                <w:rFonts w:ascii="Arial" w:eastAsia="Arial" w:hAnsi="Arial" w:cs="Arial"/>
                <w:sz w:val="20"/>
                <w:szCs w:val="20"/>
              </w:rPr>
              <w:t>20,538</w:t>
            </w:r>
          </w:p>
        </w:tc>
        <w:tc>
          <w:tcPr>
            <w:tcW w:w="120" w:type="dxa"/>
            <w:shd w:val="clear" w:color="auto" w:fill="CCEEFF"/>
            <w:vAlign w:val="bottom"/>
          </w:tcPr>
          <w:p w:rsidR="000728AD" w:rsidRDefault="000728AD">
            <w:pPr>
              <w:rPr>
                <w:sz w:val="21"/>
                <w:szCs w:val="21"/>
              </w:rPr>
            </w:pPr>
          </w:p>
        </w:tc>
        <w:tc>
          <w:tcPr>
            <w:tcW w:w="420" w:type="dxa"/>
            <w:shd w:val="clear" w:color="auto" w:fill="CCEEFF"/>
            <w:vAlign w:val="bottom"/>
          </w:tcPr>
          <w:p w:rsidR="000728AD" w:rsidRDefault="000561BE">
            <w:pPr>
              <w:ind w:right="201"/>
              <w:jc w:val="right"/>
              <w:rPr>
                <w:sz w:val="20"/>
                <w:szCs w:val="20"/>
              </w:rPr>
            </w:pPr>
            <w:r>
              <w:rPr>
                <w:rFonts w:ascii="Arial" w:eastAsia="Arial" w:hAnsi="Arial" w:cs="Arial"/>
                <w:w w:val="89"/>
                <w:sz w:val="20"/>
                <w:szCs w:val="20"/>
              </w:rPr>
              <w:t>$</w:t>
            </w:r>
          </w:p>
        </w:tc>
        <w:tc>
          <w:tcPr>
            <w:tcW w:w="1100" w:type="dxa"/>
            <w:shd w:val="clear" w:color="auto" w:fill="CCEEFF"/>
            <w:vAlign w:val="bottom"/>
          </w:tcPr>
          <w:p w:rsidR="000728AD" w:rsidRDefault="000561BE">
            <w:pPr>
              <w:jc w:val="right"/>
              <w:rPr>
                <w:sz w:val="20"/>
                <w:szCs w:val="20"/>
              </w:rPr>
            </w:pPr>
            <w:r>
              <w:rPr>
                <w:rFonts w:ascii="Arial" w:eastAsia="Arial" w:hAnsi="Arial" w:cs="Arial"/>
                <w:sz w:val="20"/>
                <w:szCs w:val="20"/>
              </w:rPr>
              <w:t>18,900</w:t>
            </w:r>
          </w:p>
        </w:tc>
        <w:tc>
          <w:tcPr>
            <w:tcW w:w="100" w:type="dxa"/>
            <w:shd w:val="clear" w:color="auto" w:fill="CCEEFF"/>
            <w:vAlign w:val="bottom"/>
          </w:tcPr>
          <w:p w:rsidR="000728AD" w:rsidRDefault="000728AD">
            <w:pPr>
              <w:rPr>
                <w:sz w:val="21"/>
                <w:szCs w:val="21"/>
              </w:rPr>
            </w:pPr>
          </w:p>
        </w:tc>
        <w:tc>
          <w:tcPr>
            <w:tcW w:w="300" w:type="dxa"/>
            <w:shd w:val="clear" w:color="auto" w:fill="CCEEFF"/>
            <w:vAlign w:val="bottom"/>
          </w:tcPr>
          <w:p w:rsidR="000728AD" w:rsidRDefault="000561BE">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rsidR="000728AD" w:rsidRDefault="000561BE">
            <w:pPr>
              <w:jc w:val="right"/>
              <w:rPr>
                <w:sz w:val="20"/>
                <w:szCs w:val="20"/>
              </w:rPr>
            </w:pPr>
            <w:r>
              <w:rPr>
                <w:rFonts w:ascii="Arial" w:eastAsia="Arial" w:hAnsi="Arial" w:cs="Arial"/>
                <w:sz w:val="20"/>
                <w:szCs w:val="20"/>
              </w:rPr>
              <w:t>1,638</w:t>
            </w:r>
          </w:p>
        </w:tc>
        <w:tc>
          <w:tcPr>
            <w:tcW w:w="0" w:type="dxa"/>
            <w:vAlign w:val="bottom"/>
          </w:tcPr>
          <w:p w:rsidR="000728AD" w:rsidRDefault="000728AD">
            <w:pPr>
              <w:rPr>
                <w:sz w:val="1"/>
                <w:szCs w:val="1"/>
              </w:rPr>
            </w:pPr>
          </w:p>
        </w:tc>
      </w:tr>
      <w:tr w:rsidR="000728AD">
        <w:trPr>
          <w:trHeight w:val="243"/>
        </w:trPr>
        <w:tc>
          <w:tcPr>
            <w:tcW w:w="6480" w:type="dxa"/>
            <w:tcBorders>
              <w:bottom w:val="single" w:sz="8" w:space="0" w:color="CCEEFF"/>
            </w:tcBorders>
            <w:vAlign w:val="bottom"/>
          </w:tcPr>
          <w:p w:rsidR="000728AD" w:rsidRDefault="000561BE">
            <w:pPr>
              <w:ind w:left="260"/>
              <w:rPr>
                <w:sz w:val="20"/>
                <w:szCs w:val="20"/>
              </w:rPr>
            </w:pPr>
            <w:r>
              <w:rPr>
                <w:rFonts w:ascii="Arial" w:eastAsia="Arial" w:hAnsi="Arial" w:cs="Arial"/>
                <w:sz w:val="20"/>
                <w:szCs w:val="20"/>
              </w:rPr>
              <w:t>General and administrative</w:t>
            </w:r>
          </w:p>
        </w:tc>
        <w:tc>
          <w:tcPr>
            <w:tcW w:w="340" w:type="dxa"/>
            <w:tcBorders>
              <w:bottom w:val="single" w:sz="8" w:space="0" w:color="auto"/>
            </w:tcBorders>
            <w:vAlign w:val="bottom"/>
          </w:tcPr>
          <w:p w:rsidR="000728AD" w:rsidRDefault="000728AD">
            <w:pPr>
              <w:rPr>
                <w:sz w:val="21"/>
                <w:szCs w:val="21"/>
              </w:rPr>
            </w:pPr>
          </w:p>
        </w:tc>
        <w:tc>
          <w:tcPr>
            <w:tcW w:w="116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9,202</w:t>
            </w:r>
          </w:p>
        </w:tc>
        <w:tc>
          <w:tcPr>
            <w:tcW w:w="120" w:type="dxa"/>
            <w:tcBorders>
              <w:bottom w:val="single" w:sz="8" w:space="0" w:color="CCEEFF"/>
            </w:tcBorders>
            <w:vAlign w:val="bottom"/>
          </w:tcPr>
          <w:p w:rsidR="000728AD" w:rsidRDefault="000728AD">
            <w:pPr>
              <w:rPr>
                <w:sz w:val="21"/>
                <w:szCs w:val="21"/>
              </w:rPr>
            </w:pPr>
          </w:p>
        </w:tc>
        <w:tc>
          <w:tcPr>
            <w:tcW w:w="420" w:type="dxa"/>
            <w:tcBorders>
              <w:bottom w:val="single" w:sz="8" w:space="0" w:color="auto"/>
            </w:tcBorders>
            <w:vAlign w:val="bottom"/>
          </w:tcPr>
          <w:p w:rsidR="000728AD" w:rsidRDefault="000728AD">
            <w:pPr>
              <w:rPr>
                <w:sz w:val="21"/>
                <w:szCs w:val="21"/>
              </w:rPr>
            </w:pPr>
          </w:p>
        </w:tc>
        <w:tc>
          <w:tcPr>
            <w:tcW w:w="110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8,744</w:t>
            </w:r>
          </w:p>
        </w:tc>
        <w:tc>
          <w:tcPr>
            <w:tcW w:w="100" w:type="dxa"/>
            <w:tcBorders>
              <w:bottom w:val="single" w:sz="8" w:space="0" w:color="CCEEFF"/>
            </w:tcBorders>
            <w:vAlign w:val="bottom"/>
          </w:tcPr>
          <w:p w:rsidR="000728AD" w:rsidRDefault="000728AD">
            <w:pPr>
              <w:rPr>
                <w:sz w:val="21"/>
                <w:szCs w:val="21"/>
              </w:rPr>
            </w:pPr>
          </w:p>
        </w:tc>
        <w:tc>
          <w:tcPr>
            <w:tcW w:w="300" w:type="dxa"/>
            <w:tcBorders>
              <w:bottom w:val="single" w:sz="8" w:space="0" w:color="auto"/>
            </w:tcBorders>
            <w:vAlign w:val="bottom"/>
          </w:tcPr>
          <w:p w:rsidR="000728AD" w:rsidRDefault="000728AD">
            <w:pPr>
              <w:rPr>
                <w:sz w:val="21"/>
                <w:szCs w:val="21"/>
              </w:rPr>
            </w:pPr>
          </w:p>
        </w:tc>
        <w:tc>
          <w:tcPr>
            <w:tcW w:w="122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458</w:t>
            </w:r>
          </w:p>
        </w:tc>
        <w:tc>
          <w:tcPr>
            <w:tcW w:w="0" w:type="dxa"/>
            <w:vAlign w:val="bottom"/>
          </w:tcPr>
          <w:p w:rsidR="000728AD" w:rsidRDefault="000728AD">
            <w:pPr>
              <w:rPr>
                <w:sz w:val="1"/>
                <w:szCs w:val="1"/>
              </w:rPr>
            </w:pPr>
          </w:p>
        </w:tc>
      </w:tr>
      <w:tr w:rsidR="000728AD">
        <w:trPr>
          <w:trHeight w:val="237"/>
        </w:trPr>
        <w:tc>
          <w:tcPr>
            <w:tcW w:w="6480" w:type="dxa"/>
            <w:shd w:val="clear" w:color="auto" w:fill="CCEEFF"/>
            <w:vAlign w:val="bottom"/>
          </w:tcPr>
          <w:p w:rsidR="000728AD" w:rsidRDefault="000561BE">
            <w:pPr>
              <w:ind w:left="60"/>
              <w:rPr>
                <w:sz w:val="20"/>
                <w:szCs w:val="20"/>
              </w:rPr>
            </w:pPr>
            <w:r>
              <w:rPr>
                <w:rFonts w:ascii="Arial" w:eastAsia="Arial" w:hAnsi="Arial" w:cs="Arial"/>
                <w:sz w:val="20"/>
                <w:szCs w:val="20"/>
              </w:rPr>
              <w:t>Total operating expenses</w:t>
            </w:r>
          </w:p>
        </w:tc>
        <w:tc>
          <w:tcPr>
            <w:tcW w:w="340" w:type="dxa"/>
            <w:tcBorders>
              <w:bottom w:val="single" w:sz="8" w:space="0" w:color="auto"/>
            </w:tcBorders>
            <w:shd w:val="clear" w:color="auto" w:fill="CCEEFF"/>
            <w:vAlign w:val="bottom"/>
          </w:tcPr>
          <w:p w:rsidR="000728AD" w:rsidRDefault="000728AD">
            <w:pPr>
              <w:rPr>
                <w:sz w:val="20"/>
                <w:szCs w:val="20"/>
              </w:rPr>
            </w:pPr>
          </w:p>
        </w:tc>
        <w:tc>
          <w:tcPr>
            <w:tcW w:w="116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29,740</w:t>
            </w:r>
          </w:p>
        </w:tc>
        <w:tc>
          <w:tcPr>
            <w:tcW w:w="120" w:type="dxa"/>
            <w:shd w:val="clear" w:color="auto" w:fill="CCEEFF"/>
            <w:vAlign w:val="bottom"/>
          </w:tcPr>
          <w:p w:rsidR="000728AD" w:rsidRDefault="000728AD">
            <w:pPr>
              <w:rPr>
                <w:sz w:val="20"/>
                <w:szCs w:val="20"/>
              </w:rPr>
            </w:pPr>
          </w:p>
        </w:tc>
        <w:tc>
          <w:tcPr>
            <w:tcW w:w="420" w:type="dxa"/>
            <w:tcBorders>
              <w:bottom w:val="single" w:sz="8" w:space="0" w:color="auto"/>
            </w:tcBorders>
            <w:shd w:val="clear" w:color="auto" w:fill="CCEEFF"/>
            <w:vAlign w:val="bottom"/>
          </w:tcPr>
          <w:p w:rsidR="000728AD" w:rsidRDefault="000728AD">
            <w:pPr>
              <w:rPr>
                <w:sz w:val="20"/>
                <w:szCs w:val="20"/>
              </w:rPr>
            </w:pPr>
          </w:p>
        </w:tc>
        <w:tc>
          <w:tcPr>
            <w:tcW w:w="110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27,644</w:t>
            </w:r>
          </w:p>
        </w:tc>
        <w:tc>
          <w:tcPr>
            <w:tcW w:w="100" w:type="dxa"/>
            <w:shd w:val="clear" w:color="auto" w:fill="CCEEFF"/>
            <w:vAlign w:val="bottom"/>
          </w:tcPr>
          <w:p w:rsidR="000728AD" w:rsidRDefault="000728AD">
            <w:pPr>
              <w:rPr>
                <w:sz w:val="20"/>
                <w:szCs w:val="20"/>
              </w:rPr>
            </w:pPr>
          </w:p>
        </w:tc>
        <w:tc>
          <w:tcPr>
            <w:tcW w:w="300" w:type="dxa"/>
            <w:tcBorders>
              <w:bottom w:val="single" w:sz="8" w:space="0" w:color="auto"/>
            </w:tcBorders>
            <w:shd w:val="clear" w:color="auto" w:fill="CCEEFF"/>
            <w:vAlign w:val="bottom"/>
          </w:tcPr>
          <w:p w:rsidR="000728AD" w:rsidRDefault="000728AD">
            <w:pPr>
              <w:rPr>
                <w:sz w:val="20"/>
                <w:szCs w:val="20"/>
              </w:rPr>
            </w:pPr>
          </w:p>
        </w:tc>
        <w:tc>
          <w:tcPr>
            <w:tcW w:w="122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2,096</w:t>
            </w:r>
          </w:p>
        </w:tc>
        <w:tc>
          <w:tcPr>
            <w:tcW w:w="0" w:type="dxa"/>
            <w:vAlign w:val="bottom"/>
          </w:tcPr>
          <w:p w:rsidR="000728AD" w:rsidRDefault="000728AD">
            <w:pPr>
              <w:rPr>
                <w:sz w:val="1"/>
                <w:szCs w:val="1"/>
              </w:rPr>
            </w:pPr>
          </w:p>
        </w:tc>
      </w:tr>
      <w:tr w:rsidR="000728AD">
        <w:trPr>
          <w:trHeight w:val="236"/>
        </w:trPr>
        <w:tc>
          <w:tcPr>
            <w:tcW w:w="6480" w:type="dxa"/>
            <w:vAlign w:val="bottom"/>
          </w:tcPr>
          <w:p w:rsidR="000728AD" w:rsidRDefault="000561BE">
            <w:pPr>
              <w:ind w:left="260"/>
              <w:rPr>
                <w:sz w:val="20"/>
                <w:szCs w:val="20"/>
              </w:rPr>
            </w:pPr>
            <w:r>
              <w:rPr>
                <w:rFonts w:ascii="Arial" w:eastAsia="Arial" w:hAnsi="Arial" w:cs="Arial"/>
                <w:sz w:val="20"/>
                <w:szCs w:val="20"/>
              </w:rPr>
              <w:t>Loss from operations</w:t>
            </w:r>
          </w:p>
        </w:tc>
        <w:tc>
          <w:tcPr>
            <w:tcW w:w="340" w:type="dxa"/>
            <w:vAlign w:val="bottom"/>
          </w:tcPr>
          <w:p w:rsidR="000728AD" w:rsidRDefault="000728AD">
            <w:pPr>
              <w:rPr>
                <w:sz w:val="20"/>
                <w:szCs w:val="20"/>
              </w:rPr>
            </w:pPr>
          </w:p>
        </w:tc>
        <w:tc>
          <w:tcPr>
            <w:tcW w:w="1160" w:type="dxa"/>
            <w:vAlign w:val="bottom"/>
          </w:tcPr>
          <w:p w:rsidR="000728AD" w:rsidRDefault="000561BE">
            <w:pPr>
              <w:jc w:val="right"/>
              <w:rPr>
                <w:sz w:val="20"/>
                <w:szCs w:val="20"/>
              </w:rPr>
            </w:pPr>
            <w:r>
              <w:rPr>
                <w:rFonts w:ascii="Arial" w:eastAsia="Arial" w:hAnsi="Arial" w:cs="Arial"/>
                <w:sz w:val="20"/>
                <w:szCs w:val="20"/>
              </w:rPr>
              <w:t>(29,740)</w:t>
            </w:r>
          </w:p>
        </w:tc>
        <w:tc>
          <w:tcPr>
            <w:tcW w:w="120" w:type="dxa"/>
            <w:vAlign w:val="bottom"/>
          </w:tcPr>
          <w:p w:rsidR="000728AD" w:rsidRDefault="000728AD">
            <w:pPr>
              <w:rPr>
                <w:sz w:val="20"/>
                <w:szCs w:val="20"/>
              </w:rPr>
            </w:pPr>
          </w:p>
        </w:tc>
        <w:tc>
          <w:tcPr>
            <w:tcW w:w="420" w:type="dxa"/>
            <w:vAlign w:val="bottom"/>
          </w:tcPr>
          <w:p w:rsidR="000728AD" w:rsidRDefault="000728AD">
            <w:pPr>
              <w:rPr>
                <w:sz w:val="20"/>
                <w:szCs w:val="20"/>
              </w:rPr>
            </w:pPr>
          </w:p>
        </w:tc>
        <w:tc>
          <w:tcPr>
            <w:tcW w:w="1100" w:type="dxa"/>
            <w:vAlign w:val="bottom"/>
          </w:tcPr>
          <w:p w:rsidR="000728AD" w:rsidRDefault="000561BE">
            <w:pPr>
              <w:jc w:val="right"/>
              <w:rPr>
                <w:sz w:val="20"/>
                <w:szCs w:val="20"/>
              </w:rPr>
            </w:pPr>
            <w:r>
              <w:rPr>
                <w:rFonts w:ascii="Arial" w:eastAsia="Arial" w:hAnsi="Arial" w:cs="Arial"/>
                <w:sz w:val="20"/>
                <w:szCs w:val="20"/>
              </w:rPr>
              <w:t>(27,644)</w:t>
            </w:r>
          </w:p>
        </w:tc>
        <w:tc>
          <w:tcPr>
            <w:tcW w:w="100" w:type="dxa"/>
            <w:vAlign w:val="bottom"/>
          </w:tcPr>
          <w:p w:rsidR="000728AD" w:rsidRDefault="000728AD">
            <w:pPr>
              <w:rPr>
                <w:sz w:val="20"/>
                <w:szCs w:val="20"/>
              </w:rPr>
            </w:pPr>
          </w:p>
        </w:tc>
        <w:tc>
          <w:tcPr>
            <w:tcW w:w="300" w:type="dxa"/>
            <w:vAlign w:val="bottom"/>
          </w:tcPr>
          <w:p w:rsidR="000728AD" w:rsidRDefault="000728AD">
            <w:pPr>
              <w:rPr>
                <w:sz w:val="20"/>
                <w:szCs w:val="20"/>
              </w:rPr>
            </w:pPr>
          </w:p>
        </w:tc>
        <w:tc>
          <w:tcPr>
            <w:tcW w:w="1220" w:type="dxa"/>
            <w:vAlign w:val="bottom"/>
          </w:tcPr>
          <w:p w:rsidR="000728AD" w:rsidRDefault="000561BE">
            <w:pPr>
              <w:jc w:val="right"/>
              <w:rPr>
                <w:sz w:val="20"/>
                <w:szCs w:val="20"/>
              </w:rPr>
            </w:pPr>
            <w:r>
              <w:rPr>
                <w:rFonts w:ascii="Arial" w:eastAsia="Arial" w:hAnsi="Arial" w:cs="Arial"/>
                <w:sz w:val="20"/>
                <w:szCs w:val="20"/>
              </w:rPr>
              <w:t>(2,096)</w:t>
            </w:r>
          </w:p>
        </w:tc>
        <w:tc>
          <w:tcPr>
            <w:tcW w:w="0" w:type="dxa"/>
            <w:vAlign w:val="bottom"/>
          </w:tcPr>
          <w:p w:rsidR="000728AD" w:rsidRDefault="000728AD">
            <w:pPr>
              <w:rPr>
                <w:sz w:val="1"/>
                <w:szCs w:val="1"/>
              </w:rPr>
            </w:pPr>
          </w:p>
        </w:tc>
      </w:tr>
      <w:tr w:rsidR="000728AD">
        <w:trPr>
          <w:trHeight w:val="243"/>
        </w:trPr>
        <w:tc>
          <w:tcPr>
            <w:tcW w:w="6480" w:type="dxa"/>
            <w:shd w:val="clear" w:color="auto" w:fill="CCEEFF"/>
            <w:vAlign w:val="bottom"/>
          </w:tcPr>
          <w:p w:rsidR="000728AD" w:rsidRDefault="000561BE">
            <w:pPr>
              <w:ind w:left="60"/>
              <w:rPr>
                <w:sz w:val="20"/>
                <w:szCs w:val="20"/>
              </w:rPr>
            </w:pPr>
            <w:r>
              <w:rPr>
                <w:rFonts w:ascii="Arial" w:eastAsia="Arial" w:hAnsi="Arial" w:cs="Arial"/>
                <w:sz w:val="20"/>
                <w:szCs w:val="20"/>
              </w:rPr>
              <w:t>Other income (expense):</w:t>
            </w:r>
          </w:p>
        </w:tc>
        <w:tc>
          <w:tcPr>
            <w:tcW w:w="340" w:type="dxa"/>
            <w:shd w:val="clear" w:color="auto" w:fill="CCEEFF"/>
            <w:vAlign w:val="bottom"/>
          </w:tcPr>
          <w:p w:rsidR="000728AD" w:rsidRDefault="000728AD">
            <w:pPr>
              <w:rPr>
                <w:sz w:val="21"/>
                <w:szCs w:val="21"/>
              </w:rPr>
            </w:pPr>
          </w:p>
        </w:tc>
        <w:tc>
          <w:tcPr>
            <w:tcW w:w="1160" w:type="dxa"/>
            <w:shd w:val="clear" w:color="auto" w:fill="CCEEFF"/>
            <w:vAlign w:val="bottom"/>
          </w:tcPr>
          <w:p w:rsidR="000728AD" w:rsidRDefault="000728AD">
            <w:pPr>
              <w:rPr>
                <w:sz w:val="21"/>
                <w:szCs w:val="21"/>
              </w:rPr>
            </w:pPr>
          </w:p>
        </w:tc>
        <w:tc>
          <w:tcPr>
            <w:tcW w:w="120" w:type="dxa"/>
            <w:shd w:val="clear" w:color="auto" w:fill="CCEEFF"/>
            <w:vAlign w:val="bottom"/>
          </w:tcPr>
          <w:p w:rsidR="000728AD" w:rsidRDefault="000728AD">
            <w:pPr>
              <w:rPr>
                <w:sz w:val="21"/>
                <w:szCs w:val="21"/>
              </w:rPr>
            </w:pPr>
          </w:p>
        </w:tc>
        <w:tc>
          <w:tcPr>
            <w:tcW w:w="420" w:type="dxa"/>
            <w:shd w:val="clear" w:color="auto" w:fill="CCEEFF"/>
            <w:vAlign w:val="bottom"/>
          </w:tcPr>
          <w:p w:rsidR="000728AD" w:rsidRDefault="000728AD">
            <w:pPr>
              <w:rPr>
                <w:sz w:val="21"/>
                <w:szCs w:val="21"/>
              </w:rPr>
            </w:pPr>
          </w:p>
        </w:tc>
        <w:tc>
          <w:tcPr>
            <w:tcW w:w="1100" w:type="dxa"/>
            <w:shd w:val="clear" w:color="auto" w:fill="CCEEFF"/>
            <w:vAlign w:val="bottom"/>
          </w:tcPr>
          <w:p w:rsidR="000728AD" w:rsidRDefault="000728AD">
            <w:pPr>
              <w:rPr>
                <w:sz w:val="21"/>
                <w:szCs w:val="21"/>
              </w:rPr>
            </w:pPr>
          </w:p>
        </w:tc>
        <w:tc>
          <w:tcPr>
            <w:tcW w:w="100" w:type="dxa"/>
            <w:shd w:val="clear" w:color="auto" w:fill="CCEEFF"/>
            <w:vAlign w:val="bottom"/>
          </w:tcPr>
          <w:p w:rsidR="000728AD" w:rsidRDefault="000728AD">
            <w:pPr>
              <w:rPr>
                <w:sz w:val="21"/>
                <w:szCs w:val="21"/>
              </w:rPr>
            </w:pPr>
          </w:p>
        </w:tc>
        <w:tc>
          <w:tcPr>
            <w:tcW w:w="300" w:type="dxa"/>
            <w:shd w:val="clear" w:color="auto" w:fill="CCEEFF"/>
            <w:vAlign w:val="bottom"/>
          </w:tcPr>
          <w:p w:rsidR="000728AD" w:rsidRDefault="000728AD">
            <w:pPr>
              <w:rPr>
                <w:sz w:val="21"/>
                <w:szCs w:val="21"/>
              </w:rPr>
            </w:pPr>
          </w:p>
        </w:tc>
        <w:tc>
          <w:tcPr>
            <w:tcW w:w="1220" w:type="dxa"/>
            <w:shd w:val="clear" w:color="auto" w:fill="CCEEFF"/>
            <w:vAlign w:val="bottom"/>
          </w:tcPr>
          <w:p w:rsidR="000728AD" w:rsidRDefault="000728AD">
            <w:pPr>
              <w:rPr>
                <w:sz w:val="21"/>
                <w:szCs w:val="21"/>
              </w:rPr>
            </w:pPr>
          </w:p>
        </w:tc>
        <w:tc>
          <w:tcPr>
            <w:tcW w:w="0" w:type="dxa"/>
            <w:vAlign w:val="bottom"/>
          </w:tcPr>
          <w:p w:rsidR="000728AD" w:rsidRDefault="000728AD">
            <w:pPr>
              <w:rPr>
                <w:sz w:val="1"/>
                <w:szCs w:val="1"/>
              </w:rPr>
            </w:pPr>
          </w:p>
        </w:tc>
      </w:tr>
      <w:tr w:rsidR="000728AD">
        <w:trPr>
          <w:trHeight w:val="243"/>
        </w:trPr>
        <w:tc>
          <w:tcPr>
            <w:tcW w:w="6480" w:type="dxa"/>
            <w:tcBorders>
              <w:bottom w:val="single" w:sz="8" w:space="0" w:color="CCEEFF"/>
            </w:tcBorders>
            <w:vAlign w:val="bottom"/>
          </w:tcPr>
          <w:p w:rsidR="000728AD" w:rsidRDefault="000561BE">
            <w:pPr>
              <w:ind w:left="260"/>
              <w:rPr>
                <w:sz w:val="20"/>
                <w:szCs w:val="20"/>
              </w:rPr>
            </w:pPr>
            <w:r>
              <w:rPr>
                <w:rFonts w:ascii="Arial" w:eastAsia="Arial" w:hAnsi="Arial" w:cs="Arial"/>
                <w:sz w:val="20"/>
                <w:szCs w:val="20"/>
              </w:rPr>
              <w:t>Other income (expense), net</w:t>
            </w:r>
          </w:p>
        </w:tc>
        <w:tc>
          <w:tcPr>
            <w:tcW w:w="340" w:type="dxa"/>
            <w:tcBorders>
              <w:bottom w:val="single" w:sz="8" w:space="0" w:color="auto"/>
            </w:tcBorders>
            <w:vAlign w:val="bottom"/>
          </w:tcPr>
          <w:p w:rsidR="000728AD" w:rsidRDefault="000728AD">
            <w:pPr>
              <w:rPr>
                <w:sz w:val="21"/>
                <w:szCs w:val="21"/>
              </w:rPr>
            </w:pPr>
          </w:p>
        </w:tc>
        <w:tc>
          <w:tcPr>
            <w:tcW w:w="116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(1,384)</w:t>
            </w:r>
          </w:p>
        </w:tc>
        <w:tc>
          <w:tcPr>
            <w:tcW w:w="120" w:type="dxa"/>
            <w:tcBorders>
              <w:bottom w:val="single" w:sz="8" w:space="0" w:color="CCEEFF"/>
            </w:tcBorders>
            <w:vAlign w:val="bottom"/>
          </w:tcPr>
          <w:p w:rsidR="000728AD" w:rsidRDefault="000728AD">
            <w:pPr>
              <w:rPr>
                <w:sz w:val="21"/>
                <w:szCs w:val="21"/>
              </w:rPr>
            </w:pPr>
          </w:p>
        </w:tc>
        <w:tc>
          <w:tcPr>
            <w:tcW w:w="420" w:type="dxa"/>
            <w:tcBorders>
              <w:bottom w:val="single" w:sz="8" w:space="0" w:color="auto"/>
            </w:tcBorders>
            <w:vAlign w:val="bottom"/>
          </w:tcPr>
          <w:p w:rsidR="000728AD" w:rsidRDefault="000728AD">
            <w:pPr>
              <w:rPr>
                <w:sz w:val="21"/>
                <w:szCs w:val="21"/>
              </w:rPr>
            </w:pPr>
          </w:p>
        </w:tc>
        <w:tc>
          <w:tcPr>
            <w:tcW w:w="110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(1,257)</w:t>
            </w:r>
          </w:p>
        </w:tc>
        <w:tc>
          <w:tcPr>
            <w:tcW w:w="100" w:type="dxa"/>
            <w:tcBorders>
              <w:bottom w:val="single" w:sz="8" w:space="0" w:color="CCEEFF"/>
            </w:tcBorders>
            <w:vAlign w:val="bottom"/>
          </w:tcPr>
          <w:p w:rsidR="000728AD" w:rsidRDefault="000728AD">
            <w:pPr>
              <w:rPr>
                <w:sz w:val="21"/>
                <w:szCs w:val="21"/>
              </w:rPr>
            </w:pPr>
          </w:p>
        </w:tc>
        <w:tc>
          <w:tcPr>
            <w:tcW w:w="300" w:type="dxa"/>
            <w:tcBorders>
              <w:bottom w:val="single" w:sz="8" w:space="0" w:color="auto"/>
            </w:tcBorders>
            <w:vAlign w:val="bottom"/>
          </w:tcPr>
          <w:p w:rsidR="000728AD" w:rsidRDefault="000728AD">
            <w:pPr>
              <w:rPr>
                <w:sz w:val="21"/>
                <w:szCs w:val="21"/>
              </w:rPr>
            </w:pPr>
          </w:p>
        </w:tc>
        <w:tc>
          <w:tcPr>
            <w:tcW w:w="122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(127)</w:t>
            </w:r>
          </w:p>
        </w:tc>
        <w:tc>
          <w:tcPr>
            <w:tcW w:w="0" w:type="dxa"/>
            <w:vAlign w:val="bottom"/>
          </w:tcPr>
          <w:p w:rsidR="000728AD" w:rsidRDefault="000728AD">
            <w:pPr>
              <w:rPr>
                <w:sz w:val="1"/>
                <w:szCs w:val="1"/>
              </w:rPr>
            </w:pPr>
          </w:p>
        </w:tc>
      </w:tr>
      <w:tr w:rsidR="000728AD">
        <w:trPr>
          <w:trHeight w:val="236"/>
        </w:trPr>
        <w:tc>
          <w:tcPr>
            <w:tcW w:w="6480" w:type="dxa"/>
            <w:shd w:val="clear" w:color="auto" w:fill="CCEEFF"/>
            <w:vAlign w:val="bottom"/>
          </w:tcPr>
          <w:p w:rsidR="000728AD" w:rsidRDefault="000561BE">
            <w:pPr>
              <w:ind w:left="60"/>
              <w:rPr>
                <w:sz w:val="20"/>
                <w:szCs w:val="20"/>
              </w:rPr>
            </w:pPr>
            <w:r>
              <w:rPr>
                <w:rFonts w:ascii="Arial" w:eastAsia="Arial" w:hAnsi="Arial" w:cs="Arial"/>
                <w:sz w:val="20"/>
                <w:szCs w:val="20"/>
              </w:rPr>
              <w:t>Total other income (expense), net</w:t>
            </w:r>
          </w:p>
        </w:tc>
        <w:tc>
          <w:tcPr>
            <w:tcW w:w="340" w:type="dxa"/>
            <w:tcBorders>
              <w:bottom w:val="single" w:sz="8" w:space="0" w:color="auto"/>
            </w:tcBorders>
            <w:shd w:val="clear" w:color="auto" w:fill="CCEEFF"/>
            <w:vAlign w:val="bottom"/>
          </w:tcPr>
          <w:p w:rsidR="000728AD" w:rsidRDefault="000728AD">
            <w:pPr>
              <w:rPr>
                <w:sz w:val="20"/>
                <w:szCs w:val="20"/>
              </w:rPr>
            </w:pPr>
          </w:p>
        </w:tc>
        <w:tc>
          <w:tcPr>
            <w:tcW w:w="116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(1,384)</w:t>
            </w:r>
          </w:p>
        </w:tc>
        <w:tc>
          <w:tcPr>
            <w:tcW w:w="120" w:type="dxa"/>
            <w:shd w:val="clear" w:color="auto" w:fill="CCEEFF"/>
            <w:vAlign w:val="bottom"/>
          </w:tcPr>
          <w:p w:rsidR="000728AD" w:rsidRDefault="000728AD">
            <w:pPr>
              <w:rPr>
                <w:sz w:val="20"/>
                <w:szCs w:val="20"/>
              </w:rPr>
            </w:pPr>
          </w:p>
        </w:tc>
        <w:tc>
          <w:tcPr>
            <w:tcW w:w="420" w:type="dxa"/>
            <w:tcBorders>
              <w:bottom w:val="single" w:sz="8" w:space="0" w:color="auto"/>
            </w:tcBorders>
            <w:shd w:val="clear" w:color="auto" w:fill="CCEEFF"/>
            <w:vAlign w:val="bottom"/>
          </w:tcPr>
          <w:p w:rsidR="000728AD" w:rsidRDefault="000728AD">
            <w:pPr>
              <w:rPr>
                <w:sz w:val="20"/>
                <w:szCs w:val="20"/>
              </w:rPr>
            </w:pPr>
          </w:p>
        </w:tc>
        <w:tc>
          <w:tcPr>
            <w:tcW w:w="110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(1,257)</w:t>
            </w:r>
          </w:p>
        </w:tc>
        <w:tc>
          <w:tcPr>
            <w:tcW w:w="100" w:type="dxa"/>
            <w:shd w:val="clear" w:color="auto" w:fill="CCEEFF"/>
            <w:vAlign w:val="bottom"/>
          </w:tcPr>
          <w:p w:rsidR="000728AD" w:rsidRDefault="000728AD">
            <w:pPr>
              <w:rPr>
                <w:sz w:val="20"/>
                <w:szCs w:val="20"/>
              </w:rPr>
            </w:pPr>
          </w:p>
        </w:tc>
        <w:tc>
          <w:tcPr>
            <w:tcW w:w="300" w:type="dxa"/>
            <w:tcBorders>
              <w:bottom w:val="single" w:sz="8" w:space="0" w:color="auto"/>
            </w:tcBorders>
            <w:shd w:val="clear" w:color="auto" w:fill="CCEEFF"/>
            <w:vAlign w:val="bottom"/>
          </w:tcPr>
          <w:p w:rsidR="000728AD" w:rsidRDefault="000728AD">
            <w:pPr>
              <w:rPr>
                <w:sz w:val="20"/>
                <w:szCs w:val="20"/>
              </w:rPr>
            </w:pPr>
          </w:p>
        </w:tc>
        <w:tc>
          <w:tcPr>
            <w:tcW w:w="122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(127)</w:t>
            </w:r>
          </w:p>
        </w:tc>
        <w:tc>
          <w:tcPr>
            <w:tcW w:w="0" w:type="dxa"/>
            <w:vAlign w:val="bottom"/>
          </w:tcPr>
          <w:p w:rsidR="000728AD" w:rsidRDefault="000728AD">
            <w:pPr>
              <w:rPr>
                <w:sz w:val="1"/>
                <w:szCs w:val="1"/>
              </w:rPr>
            </w:pPr>
          </w:p>
        </w:tc>
      </w:tr>
      <w:tr w:rsidR="000728AD">
        <w:trPr>
          <w:trHeight w:val="237"/>
        </w:trPr>
        <w:tc>
          <w:tcPr>
            <w:tcW w:w="6480" w:type="dxa"/>
            <w:vAlign w:val="bottom"/>
          </w:tcPr>
          <w:p w:rsidR="000728AD" w:rsidRDefault="000561BE">
            <w:pPr>
              <w:ind w:left="180"/>
              <w:rPr>
                <w:sz w:val="20"/>
                <w:szCs w:val="20"/>
              </w:rPr>
            </w:pPr>
            <w:r>
              <w:rPr>
                <w:rFonts w:ascii="Arial" w:eastAsia="Arial" w:hAnsi="Arial" w:cs="Arial"/>
                <w:sz w:val="20"/>
                <w:szCs w:val="20"/>
              </w:rPr>
              <w:t>Net loss</w:t>
            </w:r>
          </w:p>
        </w:tc>
        <w:tc>
          <w:tcPr>
            <w:tcW w:w="340" w:type="dxa"/>
            <w:tcBorders>
              <w:bottom w:val="single" w:sz="8" w:space="0" w:color="auto"/>
            </w:tcBorders>
            <w:vAlign w:val="bottom"/>
          </w:tcPr>
          <w:p w:rsidR="000728AD" w:rsidRDefault="000561BE">
            <w:pPr>
              <w:ind w:right="12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(31,124)</w:t>
            </w:r>
          </w:p>
        </w:tc>
        <w:tc>
          <w:tcPr>
            <w:tcW w:w="120" w:type="dxa"/>
            <w:vAlign w:val="bottom"/>
          </w:tcPr>
          <w:p w:rsidR="000728AD" w:rsidRDefault="000728AD">
            <w:pPr>
              <w:rPr>
                <w:sz w:val="20"/>
                <w:szCs w:val="20"/>
              </w:rPr>
            </w:pPr>
          </w:p>
        </w:tc>
        <w:tc>
          <w:tcPr>
            <w:tcW w:w="420" w:type="dxa"/>
            <w:tcBorders>
              <w:bottom w:val="single" w:sz="8" w:space="0" w:color="auto"/>
            </w:tcBorders>
            <w:vAlign w:val="bottom"/>
          </w:tcPr>
          <w:p w:rsidR="000728AD" w:rsidRDefault="000561BE">
            <w:pPr>
              <w:ind w:right="201"/>
              <w:jc w:val="right"/>
              <w:rPr>
                <w:sz w:val="20"/>
                <w:szCs w:val="20"/>
              </w:rPr>
            </w:pPr>
            <w:r>
              <w:rPr>
                <w:rFonts w:ascii="Arial" w:eastAsia="Arial" w:hAnsi="Arial" w:cs="Arial"/>
                <w:w w:val="89"/>
                <w:sz w:val="20"/>
                <w:szCs w:val="20"/>
              </w:rPr>
              <w:t>$</w:t>
            </w:r>
          </w:p>
        </w:tc>
        <w:tc>
          <w:tcPr>
            <w:tcW w:w="110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(28,901)</w:t>
            </w:r>
          </w:p>
        </w:tc>
        <w:tc>
          <w:tcPr>
            <w:tcW w:w="100" w:type="dxa"/>
            <w:vAlign w:val="bottom"/>
          </w:tcPr>
          <w:p w:rsidR="000728AD" w:rsidRDefault="000728AD">
            <w:pPr>
              <w:rPr>
                <w:sz w:val="20"/>
                <w:szCs w:val="20"/>
              </w:rPr>
            </w:pPr>
          </w:p>
        </w:tc>
        <w:tc>
          <w:tcPr>
            <w:tcW w:w="300" w:type="dxa"/>
            <w:tcBorders>
              <w:bottom w:val="single" w:sz="8" w:space="0" w:color="auto"/>
            </w:tcBorders>
            <w:vAlign w:val="bottom"/>
          </w:tcPr>
          <w:p w:rsidR="000728AD" w:rsidRDefault="000561BE">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(2,223)</w:t>
            </w:r>
          </w:p>
        </w:tc>
        <w:tc>
          <w:tcPr>
            <w:tcW w:w="0" w:type="dxa"/>
            <w:vAlign w:val="bottom"/>
          </w:tcPr>
          <w:p w:rsidR="000728AD" w:rsidRDefault="000728AD">
            <w:pPr>
              <w:rPr>
                <w:sz w:val="1"/>
                <w:szCs w:val="1"/>
              </w:rPr>
            </w:pPr>
          </w:p>
        </w:tc>
      </w:tr>
      <w:tr w:rsidR="000728AD">
        <w:trPr>
          <w:trHeight w:val="20"/>
        </w:trPr>
        <w:tc>
          <w:tcPr>
            <w:tcW w:w="6480" w:type="dxa"/>
            <w:vAlign w:val="bottom"/>
          </w:tcPr>
          <w:p w:rsidR="000728AD" w:rsidRDefault="000728AD">
            <w:pPr>
              <w:spacing w:line="20" w:lineRule="exact"/>
              <w:rPr>
                <w:sz w:val="1"/>
                <w:szCs w:val="1"/>
              </w:rPr>
            </w:pPr>
          </w:p>
        </w:tc>
        <w:tc>
          <w:tcPr>
            <w:tcW w:w="340" w:type="dxa"/>
            <w:tcBorders>
              <w:bottom w:val="single" w:sz="8" w:space="0" w:color="auto"/>
            </w:tcBorders>
            <w:vAlign w:val="bottom"/>
          </w:tcPr>
          <w:p w:rsidR="000728AD" w:rsidRDefault="000728AD">
            <w:pPr>
              <w:spacing w:line="20" w:lineRule="exact"/>
              <w:rPr>
                <w:sz w:val="1"/>
                <w:szCs w:val="1"/>
              </w:rPr>
            </w:pPr>
          </w:p>
        </w:tc>
        <w:tc>
          <w:tcPr>
            <w:tcW w:w="1160" w:type="dxa"/>
            <w:tcBorders>
              <w:bottom w:val="single" w:sz="8" w:space="0" w:color="auto"/>
            </w:tcBorders>
            <w:vAlign w:val="bottom"/>
          </w:tcPr>
          <w:p w:rsidR="000728AD" w:rsidRDefault="000728AD">
            <w:pPr>
              <w:spacing w:line="20" w:lineRule="exact"/>
              <w:rPr>
                <w:sz w:val="1"/>
                <w:szCs w:val="1"/>
              </w:rPr>
            </w:pPr>
          </w:p>
        </w:tc>
        <w:tc>
          <w:tcPr>
            <w:tcW w:w="120" w:type="dxa"/>
            <w:vAlign w:val="bottom"/>
          </w:tcPr>
          <w:p w:rsidR="000728AD" w:rsidRDefault="000728AD">
            <w:pPr>
              <w:spacing w:line="20" w:lineRule="exact"/>
              <w:rPr>
                <w:sz w:val="1"/>
                <w:szCs w:val="1"/>
              </w:rPr>
            </w:pPr>
          </w:p>
        </w:tc>
        <w:tc>
          <w:tcPr>
            <w:tcW w:w="420" w:type="dxa"/>
            <w:tcBorders>
              <w:bottom w:val="single" w:sz="8" w:space="0" w:color="auto"/>
            </w:tcBorders>
            <w:vAlign w:val="bottom"/>
          </w:tcPr>
          <w:p w:rsidR="000728AD" w:rsidRDefault="000728AD">
            <w:pPr>
              <w:spacing w:line="20" w:lineRule="exact"/>
              <w:rPr>
                <w:sz w:val="1"/>
                <w:szCs w:val="1"/>
              </w:rPr>
            </w:pPr>
          </w:p>
        </w:tc>
        <w:tc>
          <w:tcPr>
            <w:tcW w:w="1100" w:type="dxa"/>
            <w:tcBorders>
              <w:bottom w:val="single" w:sz="8" w:space="0" w:color="auto"/>
            </w:tcBorders>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300" w:type="dxa"/>
            <w:tcBorders>
              <w:bottom w:val="single" w:sz="8" w:space="0" w:color="auto"/>
            </w:tcBorders>
            <w:vAlign w:val="bottom"/>
          </w:tcPr>
          <w:p w:rsidR="000728AD" w:rsidRDefault="000728AD">
            <w:pPr>
              <w:spacing w:line="20" w:lineRule="exact"/>
              <w:rPr>
                <w:sz w:val="1"/>
                <w:szCs w:val="1"/>
              </w:rPr>
            </w:pPr>
          </w:p>
        </w:tc>
        <w:tc>
          <w:tcPr>
            <w:tcW w:w="1220" w:type="dxa"/>
            <w:tcBorders>
              <w:bottom w:val="single" w:sz="8" w:space="0" w:color="auto"/>
            </w:tcBorders>
            <w:vAlign w:val="bottom"/>
          </w:tcPr>
          <w:p w:rsidR="000728AD" w:rsidRDefault="000728AD">
            <w:pPr>
              <w:spacing w:line="20" w:lineRule="exact"/>
              <w:rPr>
                <w:sz w:val="1"/>
                <w:szCs w:val="1"/>
              </w:rPr>
            </w:pPr>
          </w:p>
        </w:tc>
        <w:tc>
          <w:tcPr>
            <w:tcW w:w="0" w:type="dxa"/>
            <w:vAlign w:val="bottom"/>
          </w:tcPr>
          <w:p w:rsidR="000728AD" w:rsidRDefault="000728AD">
            <w:pPr>
              <w:rPr>
                <w:sz w:val="1"/>
                <w:szCs w:val="1"/>
              </w:rPr>
            </w:pPr>
          </w:p>
        </w:tc>
      </w:tr>
    </w:tbl>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23" w:lineRule="exact"/>
        <w:rPr>
          <w:sz w:val="20"/>
          <w:szCs w:val="20"/>
        </w:rPr>
      </w:pPr>
    </w:p>
    <w:p w:rsidR="000728AD" w:rsidRDefault="000561BE">
      <w:pPr>
        <w:jc w:val="center"/>
        <w:rPr>
          <w:sz w:val="20"/>
          <w:szCs w:val="20"/>
        </w:rPr>
      </w:pPr>
      <w:r>
        <w:rPr>
          <w:rFonts w:ascii="Arial" w:eastAsia="Arial" w:hAnsi="Arial" w:cs="Arial"/>
          <w:sz w:val="18"/>
          <w:szCs w:val="18"/>
        </w:rPr>
        <w:t>26</w:t>
      </w:r>
    </w:p>
    <w:p w:rsidR="000728AD" w:rsidRDefault="000561BE">
      <w:pPr>
        <w:spacing w:line="20" w:lineRule="exact"/>
        <w:rPr>
          <w:sz w:val="20"/>
          <w:szCs w:val="20"/>
        </w:rPr>
      </w:pPr>
      <w:r>
        <w:rPr>
          <w:noProof/>
          <w:sz w:val="20"/>
          <w:szCs w:val="20"/>
        </w:rPr>
        <w:drawing>
          <wp:anchor distT="0" distB="0" distL="114300" distR="114300" simplePos="0" relativeHeight="251634688"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27" w:name="page27"/>
    <w:bookmarkEnd w:id="27"/>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rPr>
          <w:sz w:val="20"/>
          <w:szCs w:val="20"/>
        </w:rPr>
      </w:pPr>
      <w:r>
        <w:rPr>
          <w:rFonts w:ascii="Arial" w:eastAsia="Arial" w:hAnsi="Arial" w:cs="Arial"/>
          <w:i/>
          <w:iCs/>
          <w:sz w:val="20"/>
          <w:szCs w:val="20"/>
        </w:rPr>
        <w:t>Research and Development Expenses</w:t>
      </w:r>
    </w:p>
    <w:p w:rsidR="000728AD" w:rsidRDefault="000728AD">
      <w:pPr>
        <w:spacing w:line="216" w:lineRule="exact"/>
        <w:rPr>
          <w:sz w:val="20"/>
          <w:szCs w:val="20"/>
        </w:rPr>
      </w:pPr>
    </w:p>
    <w:p w:rsidR="000728AD" w:rsidRDefault="000561BE">
      <w:pPr>
        <w:spacing w:line="260" w:lineRule="auto"/>
        <w:ind w:right="280"/>
        <w:rPr>
          <w:sz w:val="20"/>
          <w:szCs w:val="20"/>
        </w:rPr>
      </w:pPr>
      <w:r>
        <w:rPr>
          <w:rFonts w:ascii="Arial" w:eastAsia="Arial" w:hAnsi="Arial" w:cs="Arial"/>
          <w:sz w:val="20"/>
          <w:szCs w:val="20"/>
        </w:rPr>
        <w:t xml:space="preserve">The </w:t>
      </w:r>
      <w:r>
        <w:rPr>
          <w:rFonts w:ascii="Arial" w:eastAsia="Arial" w:hAnsi="Arial" w:cs="Arial"/>
          <w:sz w:val="20"/>
          <w:szCs w:val="20"/>
        </w:rPr>
        <w:t>following table summarizes our research and development expenses incurred during the six months ended June 30, 2021 and 2020 (in thousands):</w:t>
      </w:r>
    </w:p>
    <w:p w:rsidR="000728AD" w:rsidRDefault="000728AD">
      <w:pPr>
        <w:spacing w:line="1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80"/>
        <w:gridCol w:w="360"/>
        <w:gridCol w:w="1160"/>
        <w:gridCol w:w="100"/>
        <w:gridCol w:w="420"/>
        <w:gridCol w:w="1100"/>
        <w:gridCol w:w="100"/>
        <w:gridCol w:w="300"/>
        <w:gridCol w:w="1220"/>
      </w:tblGrid>
      <w:tr w:rsidR="000728AD">
        <w:trPr>
          <w:trHeight w:val="207"/>
        </w:trPr>
        <w:tc>
          <w:tcPr>
            <w:tcW w:w="6480" w:type="dxa"/>
            <w:vAlign w:val="bottom"/>
          </w:tcPr>
          <w:p w:rsidR="000728AD" w:rsidRDefault="000728AD">
            <w:pPr>
              <w:rPr>
                <w:sz w:val="17"/>
                <w:szCs w:val="17"/>
              </w:rPr>
            </w:pPr>
          </w:p>
        </w:tc>
        <w:tc>
          <w:tcPr>
            <w:tcW w:w="360" w:type="dxa"/>
            <w:vAlign w:val="bottom"/>
          </w:tcPr>
          <w:p w:rsidR="000728AD" w:rsidRDefault="000728AD">
            <w:pPr>
              <w:rPr>
                <w:sz w:val="17"/>
                <w:szCs w:val="17"/>
              </w:rPr>
            </w:pPr>
          </w:p>
        </w:tc>
        <w:tc>
          <w:tcPr>
            <w:tcW w:w="2880" w:type="dxa"/>
            <w:gridSpan w:val="5"/>
            <w:vAlign w:val="bottom"/>
          </w:tcPr>
          <w:p w:rsidR="000728AD" w:rsidRDefault="000561BE">
            <w:pPr>
              <w:ind w:left="500"/>
              <w:rPr>
                <w:sz w:val="20"/>
                <w:szCs w:val="20"/>
              </w:rPr>
            </w:pPr>
            <w:r>
              <w:rPr>
                <w:rFonts w:ascii="Arial" w:eastAsia="Arial" w:hAnsi="Arial" w:cs="Arial"/>
                <w:b/>
                <w:bCs/>
                <w:sz w:val="18"/>
                <w:szCs w:val="18"/>
              </w:rPr>
              <w:t>Six Months Ended</w:t>
            </w:r>
          </w:p>
        </w:tc>
        <w:tc>
          <w:tcPr>
            <w:tcW w:w="300" w:type="dxa"/>
            <w:vAlign w:val="bottom"/>
          </w:tcPr>
          <w:p w:rsidR="000728AD" w:rsidRDefault="000728AD">
            <w:pPr>
              <w:rPr>
                <w:sz w:val="17"/>
                <w:szCs w:val="17"/>
              </w:rPr>
            </w:pPr>
          </w:p>
        </w:tc>
        <w:tc>
          <w:tcPr>
            <w:tcW w:w="1220" w:type="dxa"/>
            <w:vAlign w:val="bottom"/>
          </w:tcPr>
          <w:p w:rsidR="000728AD" w:rsidRDefault="000728AD">
            <w:pPr>
              <w:rPr>
                <w:sz w:val="17"/>
                <w:szCs w:val="17"/>
              </w:rPr>
            </w:pPr>
          </w:p>
        </w:tc>
      </w:tr>
      <w:tr w:rsidR="000728AD">
        <w:trPr>
          <w:trHeight w:val="230"/>
        </w:trPr>
        <w:tc>
          <w:tcPr>
            <w:tcW w:w="6480" w:type="dxa"/>
            <w:vAlign w:val="bottom"/>
          </w:tcPr>
          <w:p w:rsidR="000728AD" w:rsidRDefault="000728AD">
            <w:pPr>
              <w:rPr>
                <w:sz w:val="19"/>
                <w:szCs w:val="19"/>
              </w:rPr>
            </w:pPr>
          </w:p>
        </w:tc>
        <w:tc>
          <w:tcPr>
            <w:tcW w:w="360" w:type="dxa"/>
            <w:tcBorders>
              <w:bottom w:val="single" w:sz="8" w:space="0" w:color="auto"/>
            </w:tcBorders>
            <w:vAlign w:val="bottom"/>
          </w:tcPr>
          <w:p w:rsidR="000728AD" w:rsidRDefault="000728AD">
            <w:pPr>
              <w:rPr>
                <w:sz w:val="19"/>
                <w:szCs w:val="19"/>
              </w:rPr>
            </w:pPr>
          </w:p>
        </w:tc>
        <w:tc>
          <w:tcPr>
            <w:tcW w:w="1680" w:type="dxa"/>
            <w:gridSpan w:val="3"/>
            <w:tcBorders>
              <w:bottom w:val="single" w:sz="8" w:space="0" w:color="auto"/>
            </w:tcBorders>
            <w:vAlign w:val="bottom"/>
          </w:tcPr>
          <w:p w:rsidR="000728AD" w:rsidRDefault="000561BE">
            <w:pPr>
              <w:ind w:right="41"/>
              <w:jc w:val="right"/>
              <w:rPr>
                <w:sz w:val="20"/>
                <w:szCs w:val="20"/>
              </w:rPr>
            </w:pPr>
            <w:r>
              <w:rPr>
                <w:rFonts w:ascii="Arial" w:eastAsia="Arial" w:hAnsi="Arial" w:cs="Arial"/>
                <w:b/>
                <w:bCs/>
                <w:sz w:val="18"/>
                <w:szCs w:val="18"/>
              </w:rPr>
              <w:t>June 30,</w:t>
            </w:r>
          </w:p>
        </w:tc>
        <w:tc>
          <w:tcPr>
            <w:tcW w:w="1100" w:type="dxa"/>
            <w:tcBorders>
              <w:bottom w:val="single" w:sz="8" w:space="0" w:color="auto"/>
            </w:tcBorders>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300" w:type="dxa"/>
            <w:tcBorders>
              <w:bottom w:val="single" w:sz="8" w:space="0" w:color="auto"/>
            </w:tcBorders>
            <w:vAlign w:val="bottom"/>
          </w:tcPr>
          <w:p w:rsidR="000728AD" w:rsidRDefault="000728AD">
            <w:pPr>
              <w:rPr>
                <w:sz w:val="19"/>
                <w:szCs w:val="19"/>
              </w:rPr>
            </w:pPr>
          </w:p>
        </w:tc>
        <w:tc>
          <w:tcPr>
            <w:tcW w:w="1220" w:type="dxa"/>
            <w:tcBorders>
              <w:bottom w:val="single" w:sz="8" w:space="0" w:color="auto"/>
            </w:tcBorders>
            <w:vAlign w:val="bottom"/>
          </w:tcPr>
          <w:p w:rsidR="000728AD" w:rsidRDefault="000728AD">
            <w:pPr>
              <w:rPr>
                <w:sz w:val="19"/>
                <w:szCs w:val="19"/>
              </w:rPr>
            </w:pPr>
          </w:p>
        </w:tc>
      </w:tr>
      <w:tr w:rsidR="000728AD">
        <w:trPr>
          <w:trHeight w:val="223"/>
        </w:trPr>
        <w:tc>
          <w:tcPr>
            <w:tcW w:w="6480" w:type="dxa"/>
            <w:tcBorders>
              <w:bottom w:val="single" w:sz="8" w:space="0" w:color="CCEEFF"/>
            </w:tcBorders>
            <w:vAlign w:val="bottom"/>
          </w:tcPr>
          <w:p w:rsidR="000728AD" w:rsidRDefault="000728AD">
            <w:pPr>
              <w:rPr>
                <w:sz w:val="19"/>
                <w:szCs w:val="19"/>
              </w:rPr>
            </w:pPr>
          </w:p>
        </w:tc>
        <w:tc>
          <w:tcPr>
            <w:tcW w:w="360" w:type="dxa"/>
            <w:tcBorders>
              <w:bottom w:val="single" w:sz="8" w:space="0" w:color="auto"/>
            </w:tcBorders>
            <w:vAlign w:val="bottom"/>
          </w:tcPr>
          <w:p w:rsidR="000728AD" w:rsidRDefault="000728AD">
            <w:pPr>
              <w:rPr>
                <w:sz w:val="19"/>
                <w:szCs w:val="19"/>
              </w:rPr>
            </w:pPr>
          </w:p>
        </w:tc>
        <w:tc>
          <w:tcPr>
            <w:tcW w:w="1160" w:type="dxa"/>
            <w:tcBorders>
              <w:bottom w:val="single" w:sz="8" w:space="0" w:color="auto"/>
            </w:tcBorders>
            <w:vAlign w:val="bottom"/>
          </w:tcPr>
          <w:p w:rsidR="000728AD" w:rsidRDefault="000561BE">
            <w:pPr>
              <w:ind w:right="485"/>
              <w:jc w:val="right"/>
              <w:rPr>
                <w:sz w:val="20"/>
                <w:szCs w:val="20"/>
              </w:rPr>
            </w:pPr>
            <w:r>
              <w:rPr>
                <w:rFonts w:ascii="Arial" w:eastAsia="Arial" w:hAnsi="Arial" w:cs="Arial"/>
                <w:b/>
                <w:bCs/>
                <w:sz w:val="18"/>
                <w:szCs w:val="18"/>
              </w:rPr>
              <w:t>2021</w:t>
            </w:r>
          </w:p>
        </w:tc>
        <w:tc>
          <w:tcPr>
            <w:tcW w:w="100" w:type="dxa"/>
            <w:tcBorders>
              <w:bottom w:val="single" w:sz="8" w:space="0" w:color="CCEEFF"/>
            </w:tcBorders>
            <w:vAlign w:val="bottom"/>
          </w:tcPr>
          <w:p w:rsidR="000728AD" w:rsidRDefault="000728AD">
            <w:pPr>
              <w:rPr>
                <w:sz w:val="19"/>
                <w:szCs w:val="19"/>
              </w:rPr>
            </w:pPr>
          </w:p>
        </w:tc>
        <w:tc>
          <w:tcPr>
            <w:tcW w:w="420" w:type="dxa"/>
            <w:tcBorders>
              <w:bottom w:val="single" w:sz="8" w:space="0" w:color="auto"/>
            </w:tcBorders>
            <w:vAlign w:val="bottom"/>
          </w:tcPr>
          <w:p w:rsidR="000728AD" w:rsidRDefault="000728AD">
            <w:pPr>
              <w:rPr>
                <w:sz w:val="19"/>
                <w:szCs w:val="19"/>
              </w:rPr>
            </w:pPr>
          </w:p>
        </w:tc>
        <w:tc>
          <w:tcPr>
            <w:tcW w:w="1100" w:type="dxa"/>
            <w:tcBorders>
              <w:bottom w:val="single" w:sz="8" w:space="0" w:color="auto"/>
            </w:tcBorders>
            <w:vAlign w:val="bottom"/>
          </w:tcPr>
          <w:p w:rsidR="000728AD" w:rsidRDefault="000561BE">
            <w:pPr>
              <w:ind w:right="483"/>
              <w:jc w:val="right"/>
              <w:rPr>
                <w:sz w:val="20"/>
                <w:szCs w:val="20"/>
              </w:rPr>
            </w:pPr>
            <w:r>
              <w:rPr>
                <w:rFonts w:ascii="Arial" w:eastAsia="Arial" w:hAnsi="Arial" w:cs="Arial"/>
                <w:b/>
                <w:bCs/>
                <w:sz w:val="18"/>
                <w:szCs w:val="18"/>
              </w:rPr>
              <w:t>2020</w:t>
            </w:r>
          </w:p>
        </w:tc>
        <w:tc>
          <w:tcPr>
            <w:tcW w:w="100" w:type="dxa"/>
            <w:tcBorders>
              <w:bottom w:val="single" w:sz="8" w:space="0" w:color="CCEEFF"/>
            </w:tcBorders>
            <w:vAlign w:val="bottom"/>
          </w:tcPr>
          <w:p w:rsidR="000728AD" w:rsidRDefault="000728AD">
            <w:pPr>
              <w:rPr>
                <w:sz w:val="19"/>
                <w:szCs w:val="19"/>
              </w:rPr>
            </w:pPr>
          </w:p>
        </w:tc>
        <w:tc>
          <w:tcPr>
            <w:tcW w:w="300" w:type="dxa"/>
            <w:tcBorders>
              <w:bottom w:val="single" w:sz="8" w:space="0" w:color="auto"/>
            </w:tcBorders>
            <w:vAlign w:val="bottom"/>
          </w:tcPr>
          <w:p w:rsidR="000728AD" w:rsidRDefault="000728AD">
            <w:pPr>
              <w:rPr>
                <w:sz w:val="19"/>
                <w:szCs w:val="19"/>
              </w:rPr>
            </w:pPr>
          </w:p>
        </w:tc>
        <w:tc>
          <w:tcPr>
            <w:tcW w:w="1220" w:type="dxa"/>
            <w:tcBorders>
              <w:bottom w:val="single" w:sz="8" w:space="0" w:color="auto"/>
            </w:tcBorders>
            <w:vAlign w:val="bottom"/>
          </w:tcPr>
          <w:p w:rsidR="000728AD" w:rsidRDefault="000561BE">
            <w:pPr>
              <w:ind w:right="363"/>
              <w:jc w:val="right"/>
              <w:rPr>
                <w:sz w:val="20"/>
                <w:szCs w:val="20"/>
              </w:rPr>
            </w:pPr>
            <w:r>
              <w:rPr>
                <w:rFonts w:ascii="Arial" w:eastAsia="Arial" w:hAnsi="Arial" w:cs="Arial"/>
                <w:b/>
                <w:bCs/>
                <w:sz w:val="18"/>
                <w:szCs w:val="18"/>
              </w:rPr>
              <w:t>Change</w:t>
            </w:r>
          </w:p>
        </w:tc>
      </w:tr>
      <w:tr w:rsidR="000728AD">
        <w:trPr>
          <w:trHeight w:val="237"/>
        </w:trPr>
        <w:tc>
          <w:tcPr>
            <w:tcW w:w="6480" w:type="dxa"/>
            <w:shd w:val="clear" w:color="auto" w:fill="CCEEFF"/>
            <w:vAlign w:val="bottom"/>
          </w:tcPr>
          <w:p w:rsidR="000728AD" w:rsidRDefault="000561BE">
            <w:pPr>
              <w:ind w:left="20"/>
              <w:rPr>
                <w:sz w:val="20"/>
                <w:szCs w:val="20"/>
              </w:rPr>
            </w:pPr>
            <w:r>
              <w:rPr>
                <w:rFonts w:ascii="Arial" w:eastAsia="Arial" w:hAnsi="Arial" w:cs="Arial"/>
                <w:sz w:val="20"/>
                <w:szCs w:val="20"/>
              </w:rPr>
              <w:t>Salary and benefits-related</w:t>
            </w:r>
          </w:p>
        </w:tc>
        <w:tc>
          <w:tcPr>
            <w:tcW w:w="360" w:type="dxa"/>
            <w:shd w:val="clear" w:color="auto" w:fill="CCEEFF"/>
            <w:vAlign w:val="bottom"/>
          </w:tcPr>
          <w:p w:rsidR="000728AD" w:rsidRDefault="000561BE">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rsidR="000728AD" w:rsidRDefault="000561BE">
            <w:pPr>
              <w:jc w:val="right"/>
              <w:rPr>
                <w:sz w:val="20"/>
                <w:szCs w:val="20"/>
              </w:rPr>
            </w:pPr>
            <w:r>
              <w:rPr>
                <w:rFonts w:ascii="Arial" w:eastAsia="Arial" w:hAnsi="Arial" w:cs="Arial"/>
                <w:sz w:val="20"/>
                <w:szCs w:val="20"/>
              </w:rPr>
              <w:t>6,789</w:t>
            </w:r>
          </w:p>
        </w:tc>
        <w:tc>
          <w:tcPr>
            <w:tcW w:w="100" w:type="dxa"/>
            <w:shd w:val="clear" w:color="auto" w:fill="CCEEFF"/>
            <w:vAlign w:val="bottom"/>
          </w:tcPr>
          <w:p w:rsidR="000728AD" w:rsidRDefault="000728AD">
            <w:pPr>
              <w:rPr>
                <w:sz w:val="20"/>
                <w:szCs w:val="20"/>
              </w:rPr>
            </w:pPr>
          </w:p>
        </w:tc>
        <w:tc>
          <w:tcPr>
            <w:tcW w:w="420" w:type="dxa"/>
            <w:shd w:val="clear" w:color="auto" w:fill="CCEEFF"/>
            <w:vAlign w:val="bottom"/>
          </w:tcPr>
          <w:p w:rsidR="000728AD" w:rsidRDefault="000561BE">
            <w:pPr>
              <w:ind w:right="201"/>
              <w:jc w:val="right"/>
              <w:rPr>
                <w:sz w:val="20"/>
                <w:szCs w:val="20"/>
              </w:rPr>
            </w:pPr>
            <w:r>
              <w:rPr>
                <w:rFonts w:ascii="Arial" w:eastAsia="Arial" w:hAnsi="Arial" w:cs="Arial"/>
                <w:w w:val="89"/>
                <w:sz w:val="20"/>
                <w:szCs w:val="20"/>
              </w:rPr>
              <w:t>$</w:t>
            </w:r>
          </w:p>
        </w:tc>
        <w:tc>
          <w:tcPr>
            <w:tcW w:w="1100" w:type="dxa"/>
            <w:shd w:val="clear" w:color="auto" w:fill="CCEEFF"/>
            <w:vAlign w:val="bottom"/>
          </w:tcPr>
          <w:p w:rsidR="000728AD" w:rsidRDefault="000561BE">
            <w:pPr>
              <w:jc w:val="right"/>
              <w:rPr>
                <w:sz w:val="20"/>
                <w:szCs w:val="20"/>
              </w:rPr>
            </w:pPr>
            <w:r>
              <w:rPr>
                <w:rFonts w:ascii="Arial" w:eastAsia="Arial" w:hAnsi="Arial" w:cs="Arial"/>
                <w:sz w:val="20"/>
                <w:szCs w:val="20"/>
              </w:rPr>
              <w:t>8,791</w:t>
            </w:r>
          </w:p>
        </w:tc>
        <w:tc>
          <w:tcPr>
            <w:tcW w:w="100" w:type="dxa"/>
            <w:shd w:val="clear" w:color="auto" w:fill="CCEEFF"/>
            <w:vAlign w:val="bottom"/>
          </w:tcPr>
          <w:p w:rsidR="000728AD" w:rsidRDefault="000728AD">
            <w:pPr>
              <w:rPr>
                <w:sz w:val="20"/>
                <w:szCs w:val="20"/>
              </w:rPr>
            </w:pPr>
          </w:p>
        </w:tc>
        <w:tc>
          <w:tcPr>
            <w:tcW w:w="300" w:type="dxa"/>
            <w:shd w:val="clear" w:color="auto" w:fill="CCEEFF"/>
            <w:vAlign w:val="bottom"/>
          </w:tcPr>
          <w:p w:rsidR="000728AD" w:rsidRDefault="000561BE">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rsidR="000728AD" w:rsidRDefault="000561BE">
            <w:pPr>
              <w:jc w:val="right"/>
              <w:rPr>
                <w:sz w:val="20"/>
                <w:szCs w:val="20"/>
              </w:rPr>
            </w:pPr>
            <w:r>
              <w:rPr>
                <w:rFonts w:ascii="Arial" w:eastAsia="Arial" w:hAnsi="Arial" w:cs="Arial"/>
                <w:sz w:val="20"/>
                <w:szCs w:val="20"/>
              </w:rPr>
              <w:t>(2,002)</w:t>
            </w:r>
          </w:p>
        </w:tc>
      </w:tr>
      <w:tr w:rsidR="000728AD">
        <w:trPr>
          <w:trHeight w:val="243"/>
        </w:trPr>
        <w:tc>
          <w:tcPr>
            <w:tcW w:w="6480" w:type="dxa"/>
            <w:vAlign w:val="bottom"/>
          </w:tcPr>
          <w:p w:rsidR="000728AD" w:rsidRDefault="000561BE">
            <w:pPr>
              <w:ind w:left="20"/>
              <w:rPr>
                <w:sz w:val="20"/>
                <w:szCs w:val="20"/>
              </w:rPr>
            </w:pPr>
            <w:r>
              <w:rPr>
                <w:rFonts w:ascii="Arial" w:eastAsia="Arial" w:hAnsi="Arial" w:cs="Arial"/>
                <w:sz w:val="20"/>
                <w:szCs w:val="20"/>
              </w:rPr>
              <w:t>Clinical research and outside services</w:t>
            </w:r>
          </w:p>
        </w:tc>
        <w:tc>
          <w:tcPr>
            <w:tcW w:w="360" w:type="dxa"/>
            <w:vAlign w:val="bottom"/>
          </w:tcPr>
          <w:p w:rsidR="000728AD" w:rsidRDefault="000728AD">
            <w:pPr>
              <w:rPr>
                <w:sz w:val="21"/>
                <w:szCs w:val="21"/>
              </w:rPr>
            </w:pPr>
          </w:p>
        </w:tc>
        <w:tc>
          <w:tcPr>
            <w:tcW w:w="1160" w:type="dxa"/>
            <w:vAlign w:val="bottom"/>
          </w:tcPr>
          <w:p w:rsidR="000728AD" w:rsidRDefault="000561BE">
            <w:pPr>
              <w:jc w:val="right"/>
              <w:rPr>
                <w:sz w:val="20"/>
                <w:szCs w:val="20"/>
              </w:rPr>
            </w:pPr>
            <w:r>
              <w:rPr>
                <w:rFonts w:ascii="Arial" w:eastAsia="Arial" w:hAnsi="Arial" w:cs="Arial"/>
                <w:sz w:val="20"/>
                <w:szCs w:val="20"/>
              </w:rPr>
              <w:t>11,149</w:t>
            </w:r>
          </w:p>
        </w:tc>
        <w:tc>
          <w:tcPr>
            <w:tcW w:w="100" w:type="dxa"/>
            <w:vAlign w:val="bottom"/>
          </w:tcPr>
          <w:p w:rsidR="000728AD" w:rsidRDefault="000728AD">
            <w:pPr>
              <w:rPr>
                <w:sz w:val="21"/>
                <w:szCs w:val="21"/>
              </w:rPr>
            </w:pPr>
          </w:p>
        </w:tc>
        <w:tc>
          <w:tcPr>
            <w:tcW w:w="420" w:type="dxa"/>
            <w:vAlign w:val="bottom"/>
          </w:tcPr>
          <w:p w:rsidR="000728AD" w:rsidRDefault="000728AD">
            <w:pPr>
              <w:rPr>
                <w:sz w:val="21"/>
                <w:szCs w:val="21"/>
              </w:rPr>
            </w:pPr>
          </w:p>
        </w:tc>
        <w:tc>
          <w:tcPr>
            <w:tcW w:w="1100" w:type="dxa"/>
            <w:vAlign w:val="bottom"/>
          </w:tcPr>
          <w:p w:rsidR="000728AD" w:rsidRDefault="000561BE">
            <w:pPr>
              <w:jc w:val="right"/>
              <w:rPr>
                <w:sz w:val="20"/>
                <w:szCs w:val="20"/>
              </w:rPr>
            </w:pPr>
            <w:r>
              <w:rPr>
                <w:rFonts w:ascii="Arial" w:eastAsia="Arial" w:hAnsi="Arial" w:cs="Arial"/>
                <w:sz w:val="20"/>
                <w:szCs w:val="20"/>
              </w:rPr>
              <w:t>7,882</w:t>
            </w:r>
          </w:p>
        </w:tc>
        <w:tc>
          <w:tcPr>
            <w:tcW w:w="100" w:type="dxa"/>
            <w:vAlign w:val="bottom"/>
          </w:tcPr>
          <w:p w:rsidR="000728AD" w:rsidRDefault="000728AD">
            <w:pPr>
              <w:rPr>
                <w:sz w:val="21"/>
                <w:szCs w:val="21"/>
              </w:rPr>
            </w:pPr>
          </w:p>
        </w:tc>
        <w:tc>
          <w:tcPr>
            <w:tcW w:w="300" w:type="dxa"/>
            <w:vAlign w:val="bottom"/>
          </w:tcPr>
          <w:p w:rsidR="000728AD" w:rsidRDefault="000728AD">
            <w:pPr>
              <w:rPr>
                <w:sz w:val="21"/>
                <w:szCs w:val="21"/>
              </w:rPr>
            </w:pPr>
          </w:p>
        </w:tc>
        <w:tc>
          <w:tcPr>
            <w:tcW w:w="1220" w:type="dxa"/>
            <w:vAlign w:val="bottom"/>
          </w:tcPr>
          <w:p w:rsidR="000728AD" w:rsidRDefault="000561BE">
            <w:pPr>
              <w:jc w:val="right"/>
              <w:rPr>
                <w:sz w:val="20"/>
                <w:szCs w:val="20"/>
              </w:rPr>
            </w:pPr>
            <w:r>
              <w:rPr>
                <w:rFonts w:ascii="Arial" w:eastAsia="Arial" w:hAnsi="Arial" w:cs="Arial"/>
                <w:sz w:val="20"/>
                <w:szCs w:val="20"/>
              </w:rPr>
              <w:t>3,267</w:t>
            </w:r>
          </w:p>
        </w:tc>
      </w:tr>
      <w:tr w:rsidR="000728AD">
        <w:trPr>
          <w:trHeight w:val="283"/>
        </w:trPr>
        <w:tc>
          <w:tcPr>
            <w:tcW w:w="6480" w:type="dxa"/>
            <w:shd w:val="clear" w:color="auto" w:fill="CCEEFF"/>
            <w:vAlign w:val="bottom"/>
          </w:tcPr>
          <w:p w:rsidR="000728AD" w:rsidRDefault="000561BE">
            <w:pPr>
              <w:ind w:left="20"/>
              <w:rPr>
                <w:sz w:val="20"/>
                <w:szCs w:val="20"/>
              </w:rPr>
            </w:pPr>
            <w:r>
              <w:rPr>
                <w:rFonts w:ascii="Arial" w:eastAsia="Arial" w:hAnsi="Arial" w:cs="Arial"/>
                <w:sz w:val="20"/>
                <w:szCs w:val="20"/>
              </w:rPr>
              <w:t>Facility-related and other</w:t>
            </w:r>
          </w:p>
        </w:tc>
        <w:tc>
          <w:tcPr>
            <w:tcW w:w="360" w:type="dxa"/>
            <w:tcBorders>
              <w:bottom w:val="single" w:sz="8" w:space="0" w:color="auto"/>
            </w:tcBorders>
            <w:shd w:val="clear" w:color="auto" w:fill="CCEEFF"/>
            <w:vAlign w:val="bottom"/>
          </w:tcPr>
          <w:p w:rsidR="000728AD" w:rsidRDefault="000728AD">
            <w:pPr>
              <w:rPr>
                <w:sz w:val="24"/>
                <w:szCs w:val="24"/>
              </w:rPr>
            </w:pPr>
          </w:p>
        </w:tc>
        <w:tc>
          <w:tcPr>
            <w:tcW w:w="116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2,600</w:t>
            </w:r>
          </w:p>
        </w:tc>
        <w:tc>
          <w:tcPr>
            <w:tcW w:w="100" w:type="dxa"/>
            <w:shd w:val="clear" w:color="auto" w:fill="CCEEFF"/>
            <w:vAlign w:val="bottom"/>
          </w:tcPr>
          <w:p w:rsidR="000728AD" w:rsidRDefault="000728AD">
            <w:pPr>
              <w:rPr>
                <w:sz w:val="24"/>
                <w:szCs w:val="24"/>
              </w:rPr>
            </w:pPr>
          </w:p>
        </w:tc>
        <w:tc>
          <w:tcPr>
            <w:tcW w:w="420" w:type="dxa"/>
            <w:tcBorders>
              <w:bottom w:val="single" w:sz="8" w:space="0" w:color="auto"/>
            </w:tcBorders>
            <w:shd w:val="clear" w:color="auto" w:fill="CCEEFF"/>
            <w:vAlign w:val="bottom"/>
          </w:tcPr>
          <w:p w:rsidR="000728AD" w:rsidRDefault="000728AD">
            <w:pPr>
              <w:rPr>
                <w:sz w:val="24"/>
                <w:szCs w:val="24"/>
              </w:rPr>
            </w:pPr>
          </w:p>
        </w:tc>
        <w:tc>
          <w:tcPr>
            <w:tcW w:w="110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2,227</w:t>
            </w:r>
          </w:p>
        </w:tc>
        <w:tc>
          <w:tcPr>
            <w:tcW w:w="100" w:type="dxa"/>
            <w:shd w:val="clear" w:color="auto" w:fill="CCEEFF"/>
            <w:vAlign w:val="bottom"/>
          </w:tcPr>
          <w:p w:rsidR="000728AD" w:rsidRDefault="000728AD">
            <w:pPr>
              <w:rPr>
                <w:sz w:val="24"/>
                <w:szCs w:val="24"/>
              </w:rPr>
            </w:pPr>
          </w:p>
        </w:tc>
        <w:tc>
          <w:tcPr>
            <w:tcW w:w="300" w:type="dxa"/>
            <w:tcBorders>
              <w:bottom w:val="single" w:sz="8" w:space="0" w:color="auto"/>
            </w:tcBorders>
            <w:shd w:val="clear" w:color="auto" w:fill="CCEEFF"/>
            <w:vAlign w:val="bottom"/>
          </w:tcPr>
          <w:p w:rsidR="000728AD" w:rsidRDefault="000728AD">
            <w:pPr>
              <w:rPr>
                <w:sz w:val="24"/>
                <w:szCs w:val="24"/>
              </w:rPr>
            </w:pPr>
          </w:p>
        </w:tc>
        <w:tc>
          <w:tcPr>
            <w:tcW w:w="122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373</w:t>
            </w:r>
          </w:p>
        </w:tc>
      </w:tr>
      <w:tr w:rsidR="000728AD">
        <w:trPr>
          <w:trHeight w:val="237"/>
        </w:trPr>
        <w:tc>
          <w:tcPr>
            <w:tcW w:w="6480" w:type="dxa"/>
            <w:vAlign w:val="bottom"/>
          </w:tcPr>
          <w:p w:rsidR="000728AD" w:rsidRDefault="000561BE">
            <w:pPr>
              <w:ind w:left="360"/>
              <w:rPr>
                <w:sz w:val="20"/>
                <w:szCs w:val="20"/>
              </w:rPr>
            </w:pPr>
            <w:r>
              <w:rPr>
                <w:rFonts w:ascii="Arial" w:eastAsia="Arial" w:hAnsi="Arial" w:cs="Arial"/>
                <w:sz w:val="20"/>
                <w:szCs w:val="20"/>
              </w:rPr>
              <w:t>Total research and development expenses</w:t>
            </w:r>
          </w:p>
        </w:tc>
        <w:tc>
          <w:tcPr>
            <w:tcW w:w="360" w:type="dxa"/>
            <w:tcBorders>
              <w:bottom w:val="single" w:sz="8" w:space="0" w:color="auto"/>
            </w:tcBorders>
            <w:vAlign w:val="bottom"/>
          </w:tcPr>
          <w:p w:rsidR="000728AD" w:rsidRDefault="000561BE">
            <w:pPr>
              <w:ind w:right="14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20,538</w:t>
            </w:r>
          </w:p>
        </w:tc>
        <w:tc>
          <w:tcPr>
            <w:tcW w:w="100" w:type="dxa"/>
            <w:vAlign w:val="bottom"/>
          </w:tcPr>
          <w:p w:rsidR="000728AD" w:rsidRDefault="000728AD">
            <w:pPr>
              <w:rPr>
                <w:sz w:val="20"/>
                <w:szCs w:val="20"/>
              </w:rPr>
            </w:pPr>
          </w:p>
        </w:tc>
        <w:tc>
          <w:tcPr>
            <w:tcW w:w="420" w:type="dxa"/>
            <w:tcBorders>
              <w:bottom w:val="single" w:sz="8" w:space="0" w:color="auto"/>
            </w:tcBorders>
            <w:vAlign w:val="bottom"/>
          </w:tcPr>
          <w:p w:rsidR="000728AD" w:rsidRDefault="000561BE">
            <w:pPr>
              <w:ind w:right="201"/>
              <w:jc w:val="right"/>
              <w:rPr>
                <w:sz w:val="20"/>
                <w:szCs w:val="20"/>
              </w:rPr>
            </w:pPr>
            <w:r>
              <w:rPr>
                <w:rFonts w:ascii="Arial" w:eastAsia="Arial" w:hAnsi="Arial" w:cs="Arial"/>
                <w:w w:val="89"/>
                <w:sz w:val="20"/>
                <w:szCs w:val="20"/>
              </w:rPr>
              <w:t>$</w:t>
            </w:r>
          </w:p>
        </w:tc>
        <w:tc>
          <w:tcPr>
            <w:tcW w:w="110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18,900</w:t>
            </w:r>
          </w:p>
        </w:tc>
        <w:tc>
          <w:tcPr>
            <w:tcW w:w="100" w:type="dxa"/>
            <w:vAlign w:val="bottom"/>
          </w:tcPr>
          <w:p w:rsidR="000728AD" w:rsidRDefault="000728AD">
            <w:pPr>
              <w:rPr>
                <w:sz w:val="20"/>
                <w:szCs w:val="20"/>
              </w:rPr>
            </w:pPr>
          </w:p>
        </w:tc>
        <w:tc>
          <w:tcPr>
            <w:tcW w:w="300" w:type="dxa"/>
            <w:tcBorders>
              <w:bottom w:val="single" w:sz="8" w:space="0" w:color="auto"/>
            </w:tcBorders>
            <w:vAlign w:val="bottom"/>
          </w:tcPr>
          <w:p w:rsidR="000728AD" w:rsidRDefault="000561BE">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1,638</w:t>
            </w:r>
          </w:p>
        </w:tc>
      </w:tr>
      <w:tr w:rsidR="000728AD">
        <w:trPr>
          <w:trHeight w:val="20"/>
        </w:trPr>
        <w:tc>
          <w:tcPr>
            <w:tcW w:w="6480" w:type="dxa"/>
            <w:vAlign w:val="bottom"/>
          </w:tcPr>
          <w:p w:rsidR="000728AD" w:rsidRDefault="000728AD">
            <w:pPr>
              <w:spacing w:line="20" w:lineRule="exact"/>
              <w:rPr>
                <w:sz w:val="1"/>
                <w:szCs w:val="1"/>
              </w:rPr>
            </w:pPr>
          </w:p>
        </w:tc>
        <w:tc>
          <w:tcPr>
            <w:tcW w:w="360" w:type="dxa"/>
            <w:tcBorders>
              <w:bottom w:val="single" w:sz="8" w:space="0" w:color="auto"/>
            </w:tcBorders>
            <w:vAlign w:val="bottom"/>
          </w:tcPr>
          <w:p w:rsidR="000728AD" w:rsidRDefault="000728AD">
            <w:pPr>
              <w:spacing w:line="20" w:lineRule="exact"/>
              <w:rPr>
                <w:sz w:val="1"/>
                <w:szCs w:val="1"/>
              </w:rPr>
            </w:pPr>
          </w:p>
        </w:tc>
        <w:tc>
          <w:tcPr>
            <w:tcW w:w="1160" w:type="dxa"/>
            <w:tcBorders>
              <w:bottom w:val="single" w:sz="8" w:space="0" w:color="auto"/>
            </w:tcBorders>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420" w:type="dxa"/>
            <w:tcBorders>
              <w:bottom w:val="single" w:sz="8" w:space="0" w:color="auto"/>
            </w:tcBorders>
            <w:vAlign w:val="bottom"/>
          </w:tcPr>
          <w:p w:rsidR="000728AD" w:rsidRDefault="000728AD">
            <w:pPr>
              <w:spacing w:line="20" w:lineRule="exact"/>
              <w:rPr>
                <w:sz w:val="1"/>
                <w:szCs w:val="1"/>
              </w:rPr>
            </w:pPr>
          </w:p>
        </w:tc>
        <w:tc>
          <w:tcPr>
            <w:tcW w:w="1100" w:type="dxa"/>
            <w:tcBorders>
              <w:bottom w:val="single" w:sz="8" w:space="0" w:color="auto"/>
            </w:tcBorders>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300" w:type="dxa"/>
            <w:tcBorders>
              <w:bottom w:val="single" w:sz="8" w:space="0" w:color="auto"/>
            </w:tcBorders>
            <w:vAlign w:val="bottom"/>
          </w:tcPr>
          <w:p w:rsidR="000728AD" w:rsidRDefault="000728AD">
            <w:pPr>
              <w:spacing w:line="20" w:lineRule="exact"/>
              <w:rPr>
                <w:sz w:val="1"/>
                <w:szCs w:val="1"/>
              </w:rPr>
            </w:pPr>
          </w:p>
        </w:tc>
        <w:tc>
          <w:tcPr>
            <w:tcW w:w="1220" w:type="dxa"/>
            <w:tcBorders>
              <w:bottom w:val="single" w:sz="8" w:space="0" w:color="auto"/>
            </w:tcBorders>
            <w:vAlign w:val="bottom"/>
          </w:tcPr>
          <w:p w:rsidR="000728AD" w:rsidRDefault="000728AD">
            <w:pPr>
              <w:spacing w:line="20" w:lineRule="exact"/>
              <w:rPr>
                <w:sz w:val="1"/>
                <w:szCs w:val="1"/>
              </w:rPr>
            </w:pPr>
          </w:p>
        </w:tc>
      </w:tr>
    </w:tbl>
    <w:p w:rsidR="000728AD" w:rsidRDefault="000728AD">
      <w:pPr>
        <w:spacing w:line="240" w:lineRule="exact"/>
        <w:rPr>
          <w:sz w:val="20"/>
          <w:szCs w:val="20"/>
        </w:rPr>
      </w:pPr>
    </w:p>
    <w:p w:rsidR="000728AD" w:rsidRDefault="000561BE">
      <w:pPr>
        <w:spacing w:line="246" w:lineRule="auto"/>
        <w:ind w:right="100"/>
        <w:rPr>
          <w:sz w:val="20"/>
          <w:szCs w:val="20"/>
        </w:rPr>
      </w:pPr>
      <w:r>
        <w:rPr>
          <w:rFonts w:ascii="Arial" w:eastAsia="Arial" w:hAnsi="Arial" w:cs="Arial"/>
          <w:sz w:val="20"/>
          <w:szCs w:val="20"/>
        </w:rPr>
        <w:t xml:space="preserve">Salary and benefits-related costs decreased by </w:t>
      </w:r>
      <w:r>
        <w:rPr>
          <w:rFonts w:ascii="Arial" w:eastAsia="Arial" w:hAnsi="Arial" w:cs="Arial"/>
          <w:sz w:val="20"/>
          <w:szCs w:val="20"/>
        </w:rPr>
        <w:t xml:space="preserve">$2.0 million due to lower headcount. Clinical research and outside services costs increased by $3.3 million due to expenses for the initiation of our AXA1665 EMMPOWER Phase 2 Clinical Trial and AXA1125 EMMPACT Phase 2b Clinical Trial. Facility-related and </w:t>
      </w:r>
      <w:r>
        <w:rPr>
          <w:rFonts w:ascii="Arial" w:eastAsia="Arial" w:hAnsi="Arial" w:cs="Arial"/>
          <w:sz w:val="20"/>
          <w:szCs w:val="20"/>
        </w:rPr>
        <w:t>other costs increased $0.4 million due to increases in infrastructure and scientific communications expenses.</w:t>
      </w:r>
    </w:p>
    <w:p w:rsidR="000728AD" w:rsidRDefault="000728AD">
      <w:pPr>
        <w:spacing w:line="191" w:lineRule="exact"/>
        <w:rPr>
          <w:sz w:val="20"/>
          <w:szCs w:val="20"/>
        </w:rPr>
      </w:pPr>
    </w:p>
    <w:p w:rsidR="000728AD" w:rsidRDefault="000561BE">
      <w:pPr>
        <w:rPr>
          <w:sz w:val="20"/>
          <w:szCs w:val="20"/>
        </w:rPr>
      </w:pPr>
      <w:r>
        <w:rPr>
          <w:rFonts w:ascii="Arial" w:eastAsia="Arial" w:hAnsi="Arial" w:cs="Arial"/>
          <w:i/>
          <w:iCs/>
          <w:sz w:val="20"/>
          <w:szCs w:val="20"/>
        </w:rPr>
        <w:t>General and Administrative Expenses</w:t>
      </w:r>
    </w:p>
    <w:p w:rsidR="000728AD" w:rsidRDefault="000728AD">
      <w:pPr>
        <w:spacing w:line="216" w:lineRule="exact"/>
        <w:rPr>
          <w:sz w:val="20"/>
          <w:szCs w:val="20"/>
        </w:rPr>
      </w:pPr>
    </w:p>
    <w:p w:rsidR="000728AD" w:rsidRDefault="000561BE">
      <w:pPr>
        <w:spacing w:line="260" w:lineRule="auto"/>
        <w:ind w:right="240"/>
        <w:rPr>
          <w:sz w:val="20"/>
          <w:szCs w:val="20"/>
        </w:rPr>
      </w:pPr>
      <w:r>
        <w:rPr>
          <w:rFonts w:ascii="Arial" w:eastAsia="Arial" w:hAnsi="Arial" w:cs="Arial"/>
          <w:sz w:val="20"/>
          <w:szCs w:val="20"/>
        </w:rPr>
        <w:t xml:space="preserve">The following table summarizes our general and administrative expenses incurred during the six months ended </w:t>
      </w:r>
      <w:r>
        <w:rPr>
          <w:rFonts w:ascii="Arial" w:eastAsia="Arial" w:hAnsi="Arial" w:cs="Arial"/>
          <w:sz w:val="20"/>
          <w:szCs w:val="20"/>
        </w:rPr>
        <w:t>June 30, 2021 and 2020 (in thousands):</w:t>
      </w:r>
    </w:p>
    <w:p w:rsidR="000728AD" w:rsidRDefault="000728AD">
      <w:pPr>
        <w:spacing w:line="1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80"/>
        <w:gridCol w:w="980"/>
        <w:gridCol w:w="540"/>
        <w:gridCol w:w="100"/>
        <w:gridCol w:w="980"/>
        <w:gridCol w:w="540"/>
        <w:gridCol w:w="100"/>
        <w:gridCol w:w="300"/>
        <w:gridCol w:w="1220"/>
      </w:tblGrid>
      <w:tr w:rsidR="000728AD">
        <w:trPr>
          <w:trHeight w:val="207"/>
        </w:trPr>
        <w:tc>
          <w:tcPr>
            <w:tcW w:w="6480" w:type="dxa"/>
            <w:vAlign w:val="bottom"/>
          </w:tcPr>
          <w:p w:rsidR="000728AD" w:rsidRDefault="000728AD">
            <w:pPr>
              <w:rPr>
                <w:sz w:val="17"/>
                <w:szCs w:val="17"/>
              </w:rPr>
            </w:pPr>
          </w:p>
        </w:tc>
        <w:tc>
          <w:tcPr>
            <w:tcW w:w="2600" w:type="dxa"/>
            <w:gridSpan w:val="4"/>
            <w:vAlign w:val="bottom"/>
          </w:tcPr>
          <w:p w:rsidR="000728AD" w:rsidRDefault="000561BE">
            <w:pPr>
              <w:ind w:right="224"/>
              <w:jc w:val="right"/>
              <w:rPr>
                <w:sz w:val="20"/>
                <w:szCs w:val="20"/>
              </w:rPr>
            </w:pPr>
            <w:r>
              <w:rPr>
                <w:rFonts w:ascii="Arial" w:eastAsia="Arial" w:hAnsi="Arial" w:cs="Arial"/>
                <w:b/>
                <w:bCs/>
                <w:sz w:val="18"/>
                <w:szCs w:val="18"/>
              </w:rPr>
              <w:t>Six Months Ended</w:t>
            </w:r>
          </w:p>
        </w:tc>
        <w:tc>
          <w:tcPr>
            <w:tcW w:w="540" w:type="dxa"/>
            <w:vAlign w:val="bottom"/>
          </w:tcPr>
          <w:p w:rsidR="000728AD" w:rsidRDefault="000728AD">
            <w:pPr>
              <w:rPr>
                <w:sz w:val="17"/>
                <w:szCs w:val="17"/>
              </w:rPr>
            </w:pPr>
          </w:p>
        </w:tc>
        <w:tc>
          <w:tcPr>
            <w:tcW w:w="100" w:type="dxa"/>
            <w:vAlign w:val="bottom"/>
          </w:tcPr>
          <w:p w:rsidR="000728AD" w:rsidRDefault="000728AD">
            <w:pPr>
              <w:rPr>
                <w:sz w:val="17"/>
                <w:szCs w:val="17"/>
              </w:rPr>
            </w:pPr>
          </w:p>
        </w:tc>
        <w:tc>
          <w:tcPr>
            <w:tcW w:w="300" w:type="dxa"/>
            <w:vAlign w:val="bottom"/>
          </w:tcPr>
          <w:p w:rsidR="000728AD" w:rsidRDefault="000728AD">
            <w:pPr>
              <w:rPr>
                <w:sz w:val="17"/>
                <w:szCs w:val="17"/>
              </w:rPr>
            </w:pPr>
          </w:p>
        </w:tc>
        <w:tc>
          <w:tcPr>
            <w:tcW w:w="1220" w:type="dxa"/>
            <w:vAlign w:val="bottom"/>
          </w:tcPr>
          <w:p w:rsidR="000728AD" w:rsidRDefault="000728AD">
            <w:pPr>
              <w:rPr>
                <w:sz w:val="17"/>
                <w:szCs w:val="17"/>
              </w:rPr>
            </w:pPr>
          </w:p>
        </w:tc>
      </w:tr>
      <w:tr w:rsidR="000728AD">
        <w:trPr>
          <w:trHeight w:val="230"/>
        </w:trPr>
        <w:tc>
          <w:tcPr>
            <w:tcW w:w="6480" w:type="dxa"/>
            <w:vAlign w:val="bottom"/>
          </w:tcPr>
          <w:p w:rsidR="000728AD" w:rsidRDefault="000728AD">
            <w:pPr>
              <w:rPr>
                <w:sz w:val="19"/>
                <w:szCs w:val="19"/>
              </w:rPr>
            </w:pPr>
          </w:p>
        </w:tc>
        <w:tc>
          <w:tcPr>
            <w:tcW w:w="980" w:type="dxa"/>
            <w:tcBorders>
              <w:bottom w:val="single" w:sz="8" w:space="0" w:color="auto"/>
            </w:tcBorders>
            <w:vAlign w:val="bottom"/>
          </w:tcPr>
          <w:p w:rsidR="000728AD" w:rsidRDefault="000728AD">
            <w:pPr>
              <w:rPr>
                <w:sz w:val="19"/>
                <w:szCs w:val="19"/>
              </w:rPr>
            </w:pPr>
          </w:p>
        </w:tc>
        <w:tc>
          <w:tcPr>
            <w:tcW w:w="1620" w:type="dxa"/>
            <w:gridSpan w:val="3"/>
            <w:tcBorders>
              <w:bottom w:val="single" w:sz="8" w:space="0" w:color="auto"/>
            </w:tcBorders>
            <w:vAlign w:val="bottom"/>
          </w:tcPr>
          <w:p w:rsidR="000728AD" w:rsidRDefault="000561BE">
            <w:pPr>
              <w:ind w:right="604"/>
              <w:jc w:val="right"/>
              <w:rPr>
                <w:sz w:val="20"/>
                <w:szCs w:val="20"/>
              </w:rPr>
            </w:pPr>
            <w:r>
              <w:rPr>
                <w:rFonts w:ascii="Arial" w:eastAsia="Arial" w:hAnsi="Arial" w:cs="Arial"/>
                <w:b/>
                <w:bCs/>
                <w:sz w:val="18"/>
                <w:szCs w:val="18"/>
              </w:rPr>
              <w:t>June 30,</w:t>
            </w:r>
          </w:p>
        </w:tc>
        <w:tc>
          <w:tcPr>
            <w:tcW w:w="540" w:type="dxa"/>
            <w:tcBorders>
              <w:bottom w:val="single" w:sz="8" w:space="0" w:color="auto"/>
            </w:tcBorders>
            <w:vAlign w:val="bottom"/>
          </w:tcPr>
          <w:p w:rsidR="000728AD" w:rsidRDefault="000728AD">
            <w:pPr>
              <w:rPr>
                <w:sz w:val="19"/>
                <w:szCs w:val="19"/>
              </w:rPr>
            </w:pPr>
          </w:p>
        </w:tc>
        <w:tc>
          <w:tcPr>
            <w:tcW w:w="100" w:type="dxa"/>
            <w:vAlign w:val="bottom"/>
          </w:tcPr>
          <w:p w:rsidR="000728AD" w:rsidRDefault="000728AD">
            <w:pPr>
              <w:rPr>
                <w:sz w:val="19"/>
                <w:szCs w:val="19"/>
              </w:rPr>
            </w:pPr>
          </w:p>
        </w:tc>
        <w:tc>
          <w:tcPr>
            <w:tcW w:w="300" w:type="dxa"/>
            <w:tcBorders>
              <w:bottom w:val="single" w:sz="8" w:space="0" w:color="auto"/>
            </w:tcBorders>
            <w:vAlign w:val="bottom"/>
          </w:tcPr>
          <w:p w:rsidR="000728AD" w:rsidRDefault="000728AD">
            <w:pPr>
              <w:rPr>
                <w:sz w:val="19"/>
                <w:szCs w:val="19"/>
              </w:rPr>
            </w:pPr>
          </w:p>
        </w:tc>
        <w:tc>
          <w:tcPr>
            <w:tcW w:w="1220" w:type="dxa"/>
            <w:tcBorders>
              <w:bottom w:val="single" w:sz="8" w:space="0" w:color="auto"/>
            </w:tcBorders>
            <w:vAlign w:val="bottom"/>
          </w:tcPr>
          <w:p w:rsidR="000728AD" w:rsidRDefault="000728AD">
            <w:pPr>
              <w:rPr>
                <w:sz w:val="19"/>
                <w:szCs w:val="19"/>
              </w:rPr>
            </w:pPr>
          </w:p>
        </w:tc>
      </w:tr>
      <w:tr w:rsidR="000728AD">
        <w:trPr>
          <w:trHeight w:val="223"/>
        </w:trPr>
        <w:tc>
          <w:tcPr>
            <w:tcW w:w="6480" w:type="dxa"/>
            <w:tcBorders>
              <w:bottom w:val="single" w:sz="8" w:space="0" w:color="CCEEFF"/>
            </w:tcBorders>
            <w:vAlign w:val="bottom"/>
          </w:tcPr>
          <w:p w:rsidR="000728AD" w:rsidRDefault="000728AD">
            <w:pPr>
              <w:rPr>
                <w:sz w:val="19"/>
                <w:szCs w:val="19"/>
              </w:rPr>
            </w:pPr>
          </w:p>
        </w:tc>
        <w:tc>
          <w:tcPr>
            <w:tcW w:w="980" w:type="dxa"/>
            <w:tcBorders>
              <w:bottom w:val="single" w:sz="8" w:space="0" w:color="auto"/>
            </w:tcBorders>
            <w:vAlign w:val="bottom"/>
          </w:tcPr>
          <w:p w:rsidR="000728AD" w:rsidRDefault="000561BE">
            <w:pPr>
              <w:jc w:val="right"/>
              <w:rPr>
                <w:sz w:val="20"/>
                <w:szCs w:val="20"/>
              </w:rPr>
            </w:pPr>
            <w:r>
              <w:rPr>
                <w:rFonts w:ascii="Arial" w:eastAsia="Arial" w:hAnsi="Arial" w:cs="Arial"/>
                <w:b/>
                <w:bCs/>
                <w:sz w:val="18"/>
                <w:szCs w:val="18"/>
              </w:rPr>
              <w:t>2021</w:t>
            </w:r>
          </w:p>
        </w:tc>
        <w:tc>
          <w:tcPr>
            <w:tcW w:w="540" w:type="dxa"/>
            <w:tcBorders>
              <w:bottom w:val="single" w:sz="8" w:space="0" w:color="auto"/>
            </w:tcBorders>
            <w:vAlign w:val="bottom"/>
          </w:tcPr>
          <w:p w:rsidR="000728AD" w:rsidRDefault="000728AD">
            <w:pPr>
              <w:rPr>
                <w:sz w:val="19"/>
                <w:szCs w:val="19"/>
              </w:rPr>
            </w:pPr>
          </w:p>
        </w:tc>
        <w:tc>
          <w:tcPr>
            <w:tcW w:w="100" w:type="dxa"/>
            <w:tcBorders>
              <w:bottom w:val="single" w:sz="8" w:space="0" w:color="CCEEFF"/>
            </w:tcBorders>
            <w:vAlign w:val="bottom"/>
          </w:tcPr>
          <w:p w:rsidR="000728AD" w:rsidRDefault="000728AD">
            <w:pPr>
              <w:rPr>
                <w:sz w:val="19"/>
                <w:szCs w:val="19"/>
              </w:rPr>
            </w:pPr>
          </w:p>
        </w:tc>
        <w:tc>
          <w:tcPr>
            <w:tcW w:w="980" w:type="dxa"/>
            <w:tcBorders>
              <w:bottom w:val="single" w:sz="8" w:space="0" w:color="auto"/>
            </w:tcBorders>
            <w:vAlign w:val="bottom"/>
          </w:tcPr>
          <w:p w:rsidR="000728AD" w:rsidRDefault="000561BE">
            <w:pPr>
              <w:jc w:val="right"/>
              <w:rPr>
                <w:sz w:val="20"/>
                <w:szCs w:val="20"/>
              </w:rPr>
            </w:pPr>
            <w:r>
              <w:rPr>
                <w:rFonts w:ascii="Arial" w:eastAsia="Arial" w:hAnsi="Arial" w:cs="Arial"/>
                <w:b/>
                <w:bCs/>
                <w:sz w:val="18"/>
                <w:szCs w:val="18"/>
              </w:rPr>
              <w:t>2020</w:t>
            </w:r>
          </w:p>
        </w:tc>
        <w:tc>
          <w:tcPr>
            <w:tcW w:w="540" w:type="dxa"/>
            <w:tcBorders>
              <w:bottom w:val="single" w:sz="8" w:space="0" w:color="auto"/>
            </w:tcBorders>
            <w:vAlign w:val="bottom"/>
          </w:tcPr>
          <w:p w:rsidR="000728AD" w:rsidRDefault="000728AD">
            <w:pPr>
              <w:rPr>
                <w:sz w:val="19"/>
                <w:szCs w:val="19"/>
              </w:rPr>
            </w:pPr>
          </w:p>
        </w:tc>
        <w:tc>
          <w:tcPr>
            <w:tcW w:w="100" w:type="dxa"/>
            <w:tcBorders>
              <w:bottom w:val="single" w:sz="8" w:space="0" w:color="CCEEFF"/>
            </w:tcBorders>
            <w:vAlign w:val="bottom"/>
          </w:tcPr>
          <w:p w:rsidR="000728AD" w:rsidRDefault="000728AD">
            <w:pPr>
              <w:rPr>
                <w:sz w:val="19"/>
                <w:szCs w:val="19"/>
              </w:rPr>
            </w:pPr>
          </w:p>
        </w:tc>
        <w:tc>
          <w:tcPr>
            <w:tcW w:w="300" w:type="dxa"/>
            <w:tcBorders>
              <w:bottom w:val="single" w:sz="8" w:space="0" w:color="auto"/>
            </w:tcBorders>
            <w:vAlign w:val="bottom"/>
          </w:tcPr>
          <w:p w:rsidR="000728AD" w:rsidRDefault="000728AD">
            <w:pPr>
              <w:rPr>
                <w:sz w:val="19"/>
                <w:szCs w:val="19"/>
              </w:rPr>
            </w:pPr>
          </w:p>
        </w:tc>
        <w:tc>
          <w:tcPr>
            <w:tcW w:w="1220" w:type="dxa"/>
            <w:tcBorders>
              <w:bottom w:val="single" w:sz="8" w:space="0" w:color="auto"/>
            </w:tcBorders>
            <w:vAlign w:val="bottom"/>
          </w:tcPr>
          <w:p w:rsidR="000728AD" w:rsidRDefault="000561BE">
            <w:pPr>
              <w:ind w:right="363"/>
              <w:jc w:val="right"/>
              <w:rPr>
                <w:sz w:val="20"/>
                <w:szCs w:val="20"/>
              </w:rPr>
            </w:pPr>
            <w:r>
              <w:rPr>
                <w:rFonts w:ascii="Arial" w:eastAsia="Arial" w:hAnsi="Arial" w:cs="Arial"/>
                <w:b/>
                <w:bCs/>
                <w:sz w:val="18"/>
                <w:szCs w:val="18"/>
              </w:rPr>
              <w:t>Change</w:t>
            </w:r>
          </w:p>
        </w:tc>
      </w:tr>
      <w:tr w:rsidR="000728AD">
        <w:trPr>
          <w:trHeight w:val="263"/>
        </w:trPr>
        <w:tc>
          <w:tcPr>
            <w:tcW w:w="6480" w:type="dxa"/>
            <w:shd w:val="clear" w:color="auto" w:fill="CCEEFF"/>
            <w:vAlign w:val="bottom"/>
          </w:tcPr>
          <w:p w:rsidR="000728AD" w:rsidRDefault="000561BE">
            <w:pPr>
              <w:ind w:left="20"/>
              <w:rPr>
                <w:sz w:val="20"/>
                <w:szCs w:val="20"/>
              </w:rPr>
            </w:pPr>
            <w:r>
              <w:rPr>
                <w:rFonts w:ascii="Arial" w:eastAsia="Arial" w:hAnsi="Arial" w:cs="Arial"/>
                <w:sz w:val="20"/>
                <w:szCs w:val="20"/>
              </w:rPr>
              <w:t>Salary and benefits-related</w:t>
            </w:r>
          </w:p>
        </w:tc>
        <w:tc>
          <w:tcPr>
            <w:tcW w:w="980" w:type="dxa"/>
            <w:shd w:val="clear" w:color="auto" w:fill="CCEEFF"/>
            <w:vAlign w:val="bottom"/>
          </w:tcPr>
          <w:p w:rsidR="000728AD" w:rsidRDefault="000561BE">
            <w:pPr>
              <w:ind w:right="766"/>
              <w:jc w:val="right"/>
              <w:rPr>
                <w:sz w:val="20"/>
                <w:szCs w:val="20"/>
              </w:rPr>
            </w:pPr>
            <w:r>
              <w:rPr>
                <w:rFonts w:ascii="Arial" w:eastAsia="Arial" w:hAnsi="Arial" w:cs="Arial"/>
                <w:w w:val="89"/>
                <w:sz w:val="20"/>
                <w:szCs w:val="20"/>
              </w:rPr>
              <w:t>$</w:t>
            </w:r>
          </w:p>
        </w:tc>
        <w:tc>
          <w:tcPr>
            <w:tcW w:w="540" w:type="dxa"/>
            <w:shd w:val="clear" w:color="auto" w:fill="CCEEFF"/>
            <w:vAlign w:val="bottom"/>
          </w:tcPr>
          <w:p w:rsidR="000728AD" w:rsidRDefault="000561BE">
            <w:pPr>
              <w:jc w:val="right"/>
              <w:rPr>
                <w:sz w:val="20"/>
                <w:szCs w:val="20"/>
              </w:rPr>
            </w:pPr>
            <w:r>
              <w:rPr>
                <w:rFonts w:ascii="Arial" w:eastAsia="Arial" w:hAnsi="Arial" w:cs="Arial"/>
                <w:w w:val="87"/>
                <w:sz w:val="20"/>
                <w:szCs w:val="20"/>
              </w:rPr>
              <w:t>5,857</w:t>
            </w:r>
          </w:p>
        </w:tc>
        <w:tc>
          <w:tcPr>
            <w:tcW w:w="100" w:type="dxa"/>
            <w:shd w:val="clear" w:color="auto" w:fill="CCEEFF"/>
            <w:vAlign w:val="bottom"/>
          </w:tcPr>
          <w:p w:rsidR="000728AD" w:rsidRDefault="000728AD"/>
        </w:tc>
        <w:tc>
          <w:tcPr>
            <w:tcW w:w="980" w:type="dxa"/>
            <w:shd w:val="clear" w:color="auto" w:fill="CCEEFF"/>
            <w:vAlign w:val="bottom"/>
          </w:tcPr>
          <w:p w:rsidR="000728AD" w:rsidRDefault="000561BE">
            <w:pPr>
              <w:ind w:right="764"/>
              <w:jc w:val="right"/>
              <w:rPr>
                <w:sz w:val="20"/>
                <w:szCs w:val="20"/>
              </w:rPr>
            </w:pPr>
            <w:r>
              <w:rPr>
                <w:rFonts w:ascii="Arial" w:eastAsia="Arial" w:hAnsi="Arial" w:cs="Arial"/>
                <w:w w:val="89"/>
                <w:sz w:val="20"/>
                <w:szCs w:val="20"/>
              </w:rPr>
              <w:t>$</w:t>
            </w:r>
          </w:p>
        </w:tc>
        <w:tc>
          <w:tcPr>
            <w:tcW w:w="540" w:type="dxa"/>
            <w:shd w:val="clear" w:color="auto" w:fill="CCEEFF"/>
            <w:vAlign w:val="bottom"/>
          </w:tcPr>
          <w:p w:rsidR="000728AD" w:rsidRDefault="000561BE">
            <w:pPr>
              <w:jc w:val="right"/>
              <w:rPr>
                <w:sz w:val="20"/>
                <w:szCs w:val="20"/>
              </w:rPr>
            </w:pPr>
            <w:r>
              <w:rPr>
                <w:rFonts w:ascii="Arial" w:eastAsia="Arial" w:hAnsi="Arial" w:cs="Arial"/>
                <w:w w:val="87"/>
                <w:sz w:val="20"/>
                <w:szCs w:val="20"/>
              </w:rPr>
              <w:t>5,365</w:t>
            </w:r>
          </w:p>
        </w:tc>
        <w:tc>
          <w:tcPr>
            <w:tcW w:w="100" w:type="dxa"/>
            <w:shd w:val="clear" w:color="auto" w:fill="CCEEFF"/>
            <w:vAlign w:val="bottom"/>
          </w:tcPr>
          <w:p w:rsidR="000728AD" w:rsidRDefault="000728AD"/>
        </w:tc>
        <w:tc>
          <w:tcPr>
            <w:tcW w:w="300" w:type="dxa"/>
            <w:shd w:val="clear" w:color="auto" w:fill="CCEEFF"/>
            <w:vAlign w:val="bottom"/>
          </w:tcPr>
          <w:p w:rsidR="000728AD" w:rsidRDefault="000561BE">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rsidR="000728AD" w:rsidRDefault="000561BE">
            <w:pPr>
              <w:jc w:val="right"/>
              <w:rPr>
                <w:sz w:val="20"/>
                <w:szCs w:val="20"/>
              </w:rPr>
            </w:pPr>
            <w:r>
              <w:rPr>
                <w:rFonts w:ascii="Arial" w:eastAsia="Arial" w:hAnsi="Arial" w:cs="Arial"/>
                <w:sz w:val="20"/>
                <w:szCs w:val="20"/>
              </w:rPr>
              <w:t>492</w:t>
            </w:r>
          </w:p>
        </w:tc>
      </w:tr>
      <w:tr w:rsidR="000728AD">
        <w:trPr>
          <w:trHeight w:val="283"/>
        </w:trPr>
        <w:tc>
          <w:tcPr>
            <w:tcW w:w="6480" w:type="dxa"/>
            <w:vAlign w:val="bottom"/>
          </w:tcPr>
          <w:p w:rsidR="000728AD" w:rsidRDefault="000561BE">
            <w:pPr>
              <w:ind w:left="20"/>
              <w:rPr>
                <w:sz w:val="20"/>
                <w:szCs w:val="20"/>
              </w:rPr>
            </w:pPr>
            <w:r>
              <w:rPr>
                <w:rFonts w:ascii="Arial" w:eastAsia="Arial" w:hAnsi="Arial" w:cs="Arial"/>
                <w:sz w:val="20"/>
                <w:szCs w:val="20"/>
              </w:rPr>
              <w:t>Other contract services and outside costs</w:t>
            </w:r>
          </w:p>
        </w:tc>
        <w:tc>
          <w:tcPr>
            <w:tcW w:w="980" w:type="dxa"/>
            <w:vAlign w:val="bottom"/>
          </w:tcPr>
          <w:p w:rsidR="000728AD" w:rsidRDefault="000728AD">
            <w:pPr>
              <w:rPr>
                <w:sz w:val="24"/>
                <w:szCs w:val="24"/>
              </w:rPr>
            </w:pPr>
          </w:p>
        </w:tc>
        <w:tc>
          <w:tcPr>
            <w:tcW w:w="540" w:type="dxa"/>
            <w:vAlign w:val="bottom"/>
          </w:tcPr>
          <w:p w:rsidR="000728AD" w:rsidRDefault="000561BE">
            <w:pPr>
              <w:jc w:val="right"/>
              <w:rPr>
                <w:sz w:val="20"/>
                <w:szCs w:val="20"/>
              </w:rPr>
            </w:pPr>
            <w:r>
              <w:rPr>
                <w:rFonts w:ascii="Arial" w:eastAsia="Arial" w:hAnsi="Arial" w:cs="Arial"/>
                <w:w w:val="87"/>
                <w:sz w:val="20"/>
                <w:szCs w:val="20"/>
              </w:rPr>
              <w:t>2,756</w:t>
            </w:r>
          </w:p>
        </w:tc>
        <w:tc>
          <w:tcPr>
            <w:tcW w:w="100" w:type="dxa"/>
            <w:vAlign w:val="bottom"/>
          </w:tcPr>
          <w:p w:rsidR="000728AD" w:rsidRDefault="000728AD">
            <w:pPr>
              <w:rPr>
                <w:sz w:val="24"/>
                <w:szCs w:val="24"/>
              </w:rPr>
            </w:pPr>
          </w:p>
        </w:tc>
        <w:tc>
          <w:tcPr>
            <w:tcW w:w="980" w:type="dxa"/>
            <w:vAlign w:val="bottom"/>
          </w:tcPr>
          <w:p w:rsidR="000728AD" w:rsidRDefault="000728AD">
            <w:pPr>
              <w:rPr>
                <w:sz w:val="24"/>
                <w:szCs w:val="24"/>
              </w:rPr>
            </w:pPr>
          </w:p>
        </w:tc>
        <w:tc>
          <w:tcPr>
            <w:tcW w:w="540" w:type="dxa"/>
            <w:vAlign w:val="bottom"/>
          </w:tcPr>
          <w:p w:rsidR="000728AD" w:rsidRDefault="000561BE">
            <w:pPr>
              <w:jc w:val="right"/>
              <w:rPr>
                <w:sz w:val="20"/>
                <w:szCs w:val="20"/>
              </w:rPr>
            </w:pPr>
            <w:r>
              <w:rPr>
                <w:rFonts w:ascii="Arial" w:eastAsia="Arial" w:hAnsi="Arial" w:cs="Arial"/>
                <w:w w:val="87"/>
                <w:sz w:val="20"/>
                <w:szCs w:val="20"/>
              </w:rPr>
              <w:t>2,663</w:t>
            </w:r>
          </w:p>
        </w:tc>
        <w:tc>
          <w:tcPr>
            <w:tcW w:w="100" w:type="dxa"/>
            <w:vAlign w:val="bottom"/>
          </w:tcPr>
          <w:p w:rsidR="000728AD" w:rsidRDefault="000728AD">
            <w:pPr>
              <w:rPr>
                <w:sz w:val="24"/>
                <w:szCs w:val="24"/>
              </w:rPr>
            </w:pPr>
          </w:p>
        </w:tc>
        <w:tc>
          <w:tcPr>
            <w:tcW w:w="300" w:type="dxa"/>
            <w:vAlign w:val="bottom"/>
          </w:tcPr>
          <w:p w:rsidR="000728AD" w:rsidRDefault="000728AD">
            <w:pPr>
              <w:rPr>
                <w:sz w:val="24"/>
                <w:szCs w:val="24"/>
              </w:rPr>
            </w:pPr>
          </w:p>
        </w:tc>
        <w:tc>
          <w:tcPr>
            <w:tcW w:w="1220" w:type="dxa"/>
            <w:vAlign w:val="bottom"/>
          </w:tcPr>
          <w:p w:rsidR="000728AD" w:rsidRDefault="000561BE">
            <w:pPr>
              <w:jc w:val="right"/>
              <w:rPr>
                <w:sz w:val="20"/>
                <w:szCs w:val="20"/>
              </w:rPr>
            </w:pPr>
            <w:r>
              <w:rPr>
                <w:rFonts w:ascii="Arial" w:eastAsia="Arial" w:hAnsi="Arial" w:cs="Arial"/>
                <w:sz w:val="20"/>
                <w:szCs w:val="20"/>
              </w:rPr>
              <w:t>93</w:t>
            </w:r>
          </w:p>
        </w:tc>
      </w:tr>
      <w:tr w:rsidR="000728AD">
        <w:trPr>
          <w:trHeight w:val="284"/>
        </w:trPr>
        <w:tc>
          <w:tcPr>
            <w:tcW w:w="6480" w:type="dxa"/>
            <w:shd w:val="clear" w:color="auto" w:fill="CCEEFF"/>
            <w:vAlign w:val="bottom"/>
          </w:tcPr>
          <w:p w:rsidR="000728AD" w:rsidRDefault="000561BE">
            <w:pPr>
              <w:ind w:left="20"/>
              <w:rPr>
                <w:sz w:val="20"/>
                <w:szCs w:val="20"/>
              </w:rPr>
            </w:pPr>
            <w:r>
              <w:rPr>
                <w:rFonts w:ascii="Arial" w:eastAsia="Arial" w:hAnsi="Arial" w:cs="Arial"/>
                <w:sz w:val="20"/>
                <w:szCs w:val="20"/>
              </w:rPr>
              <w:t>Facility-related and other</w:t>
            </w:r>
          </w:p>
        </w:tc>
        <w:tc>
          <w:tcPr>
            <w:tcW w:w="980" w:type="dxa"/>
            <w:tcBorders>
              <w:bottom w:val="single" w:sz="8" w:space="0" w:color="auto"/>
            </w:tcBorders>
            <w:shd w:val="clear" w:color="auto" w:fill="CCEEFF"/>
            <w:vAlign w:val="bottom"/>
          </w:tcPr>
          <w:p w:rsidR="000728AD" w:rsidRDefault="000728AD">
            <w:pPr>
              <w:rPr>
                <w:sz w:val="24"/>
                <w:szCs w:val="24"/>
              </w:rPr>
            </w:pPr>
          </w:p>
        </w:tc>
        <w:tc>
          <w:tcPr>
            <w:tcW w:w="54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589</w:t>
            </w:r>
          </w:p>
        </w:tc>
        <w:tc>
          <w:tcPr>
            <w:tcW w:w="100" w:type="dxa"/>
            <w:shd w:val="clear" w:color="auto" w:fill="CCEEFF"/>
            <w:vAlign w:val="bottom"/>
          </w:tcPr>
          <w:p w:rsidR="000728AD" w:rsidRDefault="000728AD">
            <w:pPr>
              <w:rPr>
                <w:sz w:val="24"/>
                <w:szCs w:val="24"/>
              </w:rPr>
            </w:pPr>
          </w:p>
        </w:tc>
        <w:tc>
          <w:tcPr>
            <w:tcW w:w="980" w:type="dxa"/>
            <w:tcBorders>
              <w:bottom w:val="single" w:sz="8" w:space="0" w:color="auto"/>
            </w:tcBorders>
            <w:shd w:val="clear" w:color="auto" w:fill="CCEEFF"/>
            <w:vAlign w:val="bottom"/>
          </w:tcPr>
          <w:p w:rsidR="000728AD" w:rsidRDefault="000728AD">
            <w:pPr>
              <w:rPr>
                <w:sz w:val="24"/>
                <w:szCs w:val="24"/>
              </w:rPr>
            </w:pPr>
          </w:p>
        </w:tc>
        <w:tc>
          <w:tcPr>
            <w:tcW w:w="54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716</w:t>
            </w:r>
          </w:p>
        </w:tc>
        <w:tc>
          <w:tcPr>
            <w:tcW w:w="100" w:type="dxa"/>
            <w:shd w:val="clear" w:color="auto" w:fill="CCEEFF"/>
            <w:vAlign w:val="bottom"/>
          </w:tcPr>
          <w:p w:rsidR="000728AD" w:rsidRDefault="000728AD">
            <w:pPr>
              <w:rPr>
                <w:sz w:val="24"/>
                <w:szCs w:val="24"/>
              </w:rPr>
            </w:pPr>
          </w:p>
        </w:tc>
        <w:tc>
          <w:tcPr>
            <w:tcW w:w="300" w:type="dxa"/>
            <w:tcBorders>
              <w:bottom w:val="single" w:sz="8" w:space="0" w:color="auto"/>
            </w:tcBorders>
            <w:shd w:val="clear" w:color="auto" w:fill="CCEEFF"/>
            <w:vAlign w:val="bottom"/>
          </w:tcPr>
          <w:p w:rsidR="000728AD" w:rsidRDefault="000728AD">
            <w:pPr>
              <w:rPr>
                <w:sz w:val="24"/>
                <w:szCs w:val="24"/>
              </w:rPr>
            </w:pPr>
          </w:p>
        </w:tc>
        <w:tc>
          <w:tcPr>
            <w:tcW w:w="122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(127)</w:t>
            </w:r>
          </w:p>
        </w:tc>
      </w:tr>
      <w:tr w:rsidR="000728AD">
        <w:trPr>
          <w:trHeight w:val="236"/>
        </w:trPr>
        <w:tc>
          <w:tcPr>
            <w:tcW w:w="6480" w:type="dxa"/>
            <w:vAlign w:val="bottom"/>
          </w:tcPr>
          <w:p w:rsidR="000728AD" w:rsidRDefault="000561BE">
            <w:pPr>
              <w:ind w:left="360"/>
              <w:rPr>
                <w:sz w:val="20"/>
                <w:szCs w:val="20"/>
              </w:rPr>
            </w:pPr>
            <w:r>
              <w:rPr>
                <w:rFonts w:ascii="Arial" w:eastAsia="Arial" w:hAnsi="Arial" w:cs="Arial"/>
                <w:sz w:val="20"/>
                <w:szCs w:val="20"/>
              </w:rPr>
              <w:t>Total general and administrative expenses</w:t>
            </w:r>
          </w:p>
        </w:tc>
        <w:tc>
          <w:tcPr>
            <w:tcW w:w="980" w:type="dxa"/>
            <w:tcBorders>
              <w:bottom w:val="single" w:sz="8" w:space="0" w:color="auto"/>
            </w:tcBorders>
            <w:vAlign w:val="bottom"/>
          </w:tcPr>
          <w:p w:rsidR="000728AD" w:rsidRDefault="000561BE">
            <w:pPr>
              <w:ind w:right="766"/>
              <w:jc w:val="right"/>
              <w:rPr>
                <w:sz w:val="20"/>
                <w:szCs w:val="20"/>
              </w:rPr>
            </w:pPr>
            <w:r>
              <w:rPr>
                <w:rFonts w:ascii="Arial" w:eastAsia="Arial" w:hAnsi="Arial" w:cs="Arial"/>
                <w:w w:val="89"/>
                <w:sz w:val="20"/>
                <w:szCs w:val="20"/>
              </w:rPr>
              <w:t>$</w:t>
            </w:r>
          </w:p>
        </w:tc>
        <w:tc>
          <w:tcPr>
            <w:tcW w:w="540" w:type="dxa"/>
            <w:tcBorders>
              <w:bottom w:val="single" w:sz="8" w:space="0" w:color="auto"/>
            </w:tcBorders>
            <w:vAlign w:val="bottom"/>
          </w:tcPr>
          <w:p w:rsidR="000728AD" w:rsidRDefault="000561BE">
            <w:pPr>
              <w:jc w:val="right"/>
              <w:rPr>
                <w:sz w:val="20"/>
                <w:szCs w:val="20"/>
              </w:rPr>
            </w:pPr>
            <w:r>
              <w:rPr>
                <w:rFonts w:ascii="Arial" w:eastAsia="Arial" w:hAnsi="Arial" w:cs="Arial"/>
                <w:w w:val="87"/>
                <w:sz w:val="20"/>
                <w:szCs w:val="20"/>
              </w:rPr>
              <w:t>9,202</w:t>
            </w:r>
          </w:p>
        </w:tc>
        <w:tc>
          <w:tcPr>
            <w:tcW w:w="100" w:type="dxa"/>
            <w:vAlign w:val="bottom"/>
          </w:tcPr>
          <w:p w:rsidR="000728AD" w:rsidRDefault="000728AD">
            <w:pPr>
              <w:rPr>
                <w:sz w:val="20"/>
                <w:szCs w:val="20"/>
              </w:rPr>
            </w:pPr>
          </w:p>
        </w:tc>
        <w:tc>
          <w:tcPr>
            <w:tcW w:w="980" w:type="dxa"/>
            <w:tcBorders>
              <w:bottom w:val="single" w:sz="8" w:space="0" w:color="auto"/>
            </w:tcBorders>
            <w:vAlign w:val="bottom"/>
          </w:tcPr>
          <w:p w:rsidR="000728AD" w:rsidRDefault="000561BE">
            <w:pPr>
              <w:ind w:right="764"/>
              <w:jc w:val="right"/>
              <w:rPr>
                <w:sz w:val="20"/>
                <w:szCs w:val="20"/>
              </w:rPr>
            </w:pPr>
            <w:r>
              <w:rPr>
                <w:rFonts w:ascii="Arial" w:eastAsia="Arial" w:hAnsi="Arial" w:cs="Arial"/>
                <w:w w:val="89"/>
                <w:sz w:val="20"/>
                <w:szCs w:val="20"/>
              </w:rPr>
              <w:t>$</w:t>
            </w:r>
          </w:p>
        </w:tc>
        <w:tc>
          <w:tcPr>
            <w:tcW w:w="540" w:type="dxa"/>
            <w:tcBorders>
              <w:bottom w:val="single" w:sz="8" w:space="0" w:color="auto"/>
            </w:tcBorders>
            <w:vAlign w:val="bottom"/>
          </w:tcPr>
          <w:p w:rsidR="000728AD" w:rsidRDefault="000561BE">
            <w:pPr>
              <w:jc w:val="right"/>
              <w:rPr>
                <w:sz w:val="20"/>
                <w:szCs w:val="20"/>
              </w:rPr>
            </w:pPr>
            <w:r>
              <w:rPr>
                <w:rFonts w:ascii="Arial" w:eastAsia="Arial" w:hAnsi="Arial" w:cs="Arial"/>
                <w:w w:val="87"/>
                <w:sz w:val="20"/>
                <w:szCs w:val="20"/>
              </w:rPr>
              <w:t>8,744</w:t>
            </w:r>
          </w:p>
        </w:tc>
        <w:tc>
          <w:tcPr>
            <w:tcW w:w="100" w:type="dxa"/>
            <w:vAlign w:val="bottom"/>
          </w:tcPr>
          <w:p w:rsidR="000728AD" w:rsidRDefault="000728AD">
            <w:pPr>
              <w:rPr>
                <w:sz w:val="20"/>
                <w:szCs w:val="20"/>
              </w:rPr>
            </w:pPr>
          </w:p>
        </w:tc>
        <w:tc>
          <w:tcPr>
            <w:tcW w:w="300" w:type="dxa"/>
            <w:tcBorders>
              <w:bottom w:val="single" w:sz="8" w:space="0" w:color="auto"/>
            </w:tcBorders>
            <w:vAlign w:val="bottom"/>
          </w:tcPr>
          <w:p w:rsidR="000728AD" w:rsidRDefault="000561BE">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458</w:t>
            </w:r>
          </w:p>
        </w:tc>
      </w:tr>
      <w:tr w:rsidR="000728AD">
        <w:trPr>
          <w:trHeight w:val="20"/>
        </w:trPr>
        <w:tc>
          <w:tcPr>
            <w:tcW w:w="6480" w:type="dxa"/>
            <w:vAlign w:val="bottom"/>
          </w:tcPr>
          <w:p w:rsidR="000728AD" w:rsidRDefault="000728AD">
            <w:pPr>
              <w:spacing w:line="20" w:lineRule="exact"/>
              <w:rPr>
                <w:sz w:val="1"/>
                <w:szCs w:val="1"/>
              </w:rPr>
            </w:pPr>
          </w:p>
        </w:tc>
        <w:tc>
          <w:tcPr>
            <w:tcW w:w="980" w:type="dxa"/>
            <w:tcBorders>
              <w:bottom w:val="single" w:sz="8" w:space="0" w:color="auto"/>
            </w:tcBorders>
            <w:vAlign w:val="bottom"/>
          </w:tcPr>
          <w:p w:rsidR="000728AD" w:rsidRDefault="000728AD">
            <w:pPr>
              <w:spacing w:line="20" w:lineRule="exact"/>
              <w:rPr>
                <w:sz w:val="1"/>
                <w:szCs w:val="1"/>
              </w:rPr>
            </w:pPr>
          </w:p>
        </w:tc>
        <w:tc>
          <w:tcPr>
            <w:tcW w:w="540" w:type="dxa"/>
            <w:tcBorders>
              <w:bottom w:val="single" w:sz="8" w:space="0" w:color="auto"/>
            </w:tcBorders>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980" w:type="dxa"/>
            <w:tcBorders>
              <w:bottom w:val="single" w:sz="8" w:space="0" w:color="auto"/>
            </w:tcBorders>
            <w:vAlign w:val="bottom"/>
          </w:tcPr>
          <w:p w:rsidR="000728AD" w:rsidRDefault="000728AD">
            <w:pPr>
              <w:spacing w:line="20" w:lineRule="exact"/>
              <w:rPr>
                <w:sz w:val="1"/>
                <w:szCs w:val="1"/>
              </w:rPr>
            </w:pPr>
          </w:p>
        </w:tc>
        <w:tc>
          <w:tcPr>
            <w:tcW w:w="540" w:type="dxa"/>
            <w:tcBorders>
              <w:bottom w:val="single" w:sz="8" w:space="0" w:color="auto"/>
            </w:tcBorders>
            <w:vAlign w:val="bottom"/>
          </w:tcPr>
          <w:p w:rsidR="000728AD" w:rsidRDefault="000728AD">
            <w:pPr>
              <w:spacing w:line="20" w:lineRule="exact"/>
              <w:rPr>
                <w:sz w:val="1"/>
                <w:szCs w:val="1"/>
              </w:rPr>
            </w:pPr>
          </w:p>
        </w:tc>
        <w:tc>
          <w:tcPr>
            <w:tcW w:w="100" w:type="dxa"/>
            <w:vAlign w:val="bottom"/>
          </w:tcPr>
          <w:p w:rsidR="000728AD" w:rsidRDefault="000728AD">
            <w:pPr>
              <w:spacing w:line="20" w:lineRule="exact"/>
              <w:rPr>
                <w:sz w:val="1"/>
                <w:szCs w:val="1"/>
              </w:rPr>
            </w:pPr>
          </w:p>
        </w:tc>
        <w:tc>
          <w:tcPr>
            <w:tcW w:w="300" w:type="dxa"/>
            <w:tcBorders>
              <w:bottom w:val="single" w:sz="8" w:space="0" w:color="auto"/>
            </w:tcBorders>
            <w:vAlign w:val="bottom"/>
          </w:tcPr>
          <w:p w:rsidR="000728AD" w:rsidRDefault="000728AD">
            <w:pPr>
              <w:spacing w:line="20" w:lineRule="exact"/>
              <w:rPr>
                <w:sz w:val="1"/>
                <w:szCs w:val="1"/>
              </w:rPr>
            </w:pPr>
          </w:p>
        </w:tc>
        <w:tc>
          <w:tcPr>
            <w:tcW w:w="1220" w:type="dxa"/>
            <w:tcBorders>
              <w:bottom w:val="single" w:sz="8" w:space="0" w:color="auto"/>
            </w:tcBorders>
            <w:vAlign w:val="bottom"/>
          </w:tcPr>
          <w:p w:rsidR="000728AD" w:rsidRDefault="000728AD">
            <w:pPr>
              <w:spacing w:line="20" w:lineRule="exact"/>
              <w:rPr>
                <w:sz w:val="1"/>
                <w:szCs w:val="1"/>
              </w:rPr>
            </w:pPr>
          </w:p>
        </w:tc>
      </w:tr>
    </w:tbl>
    <w:p w:rsidR="000728AD" w:rsidRDefault="000728AD">
      <w:pPr>
        <w:spacing w:line="226" w:lineRule="exact"/>
        <w:rPr>
          <w:sz w:val="20"/>
          <w:szCs w:val="20"/>
        </w:rPr>
      </w:pPr>
    </w:p>
    <w:p w:rsidR="000728AD" w:rsidRDefault="000561BE">
      <w:pPr>
        <w:spacing w:line="260" w:lineRule="auto"/>
        <w:ind w:right="200"/>
        <w:rPr>
          <w:sz w:val="20"/>
          <w:szCs w:val="20"/>
        </w:rPr>
      </w:pPr>
      <w:r>
        <w:rPr>
          <w:rFonts w:ascii="Arial" w:eastAsia="Arial" w:hAnsi="Arial" w:cs="Arial"/>
          <w:sz w:val="20"/>
          <w:szCs w:val="20"/>
        </w:rPr>
        <w:t xml:space="preserve">Salary and benefits-related costs increased by $0.5 million due to an increase in equity compensation related to additional grants issued and annual </w:t>
      </w:r>
      <w:r>
        <w:rPr>
          <w:rFonts w:ascii="Arial" w:eastAsia="Arial" w:hAnsi="Arial" w:cs="Arial"/>
          <w:sz w:val="20"/>
          <w:szCs w:val="20"/>
        </w:rPr>
        <w:t>benefit-related increases.</w:t>
      </w:r>
    </w:p>
    <w:p w:rsidR="000728AD" w:rsidRDefault="000728AD">
      <w:pPr>
        <w:spacing w:line="177" w:lineRule="exact"/>
        <w:rPr>
          <w:sz w:val="20"/>
          <w:szCs w:val="20"/>
        </w:rPr>
      </w:pPr>
    </w:p>
    <w:p w:rsidR="000728AD" w:rsidRDefault="000561BE">
      <w:pPr>
        <w:rPr>
          <w:sz w:val="20"/>
          <w:szCs w:val="20"/>
        </w:rPr>
      </w:pPr>
      <w:r>
        <w:rPr>
          <w:rFonts w:ascii="Arial" w:eastAsia="Arial" w:hAnsi="Arial" w:cs="Arial"/>
          <w:i/>
          <w:iCs/>
          <w:sz w:val="20"/>
          <w:szCs w:val="20"/>
        </w:rPr>
        <w:t>Other Income (Expense), Net</w:t>
      </w:r>
    </w:p>
    <w:p w:rsidR="000728AD" w:rsidRDefault="000728AD">
      <w:pPr>
        <w:spacing w:line="216" w:lineRule="exact"/>
        <w:rPr>
          <w:sz w:val="20"/>
          <w:szCs w:val="20"/>
        </w:rPr>
      </w:pPr>
    </w:p>
    <w:p w:rsidR="000728AD" w:rsidRDefault="000561BE">
      <w:pPr>
        <w:spacing w:line="287" w:lineRule="auto"/>
        <w:ind w:right="360"/>
        <w:rPr>
          <w:sz w:val="20"/>
          <w:szCs w:val="20"/>
        </w:rPr>
      </w:pPr>
      <w:r>
        <w:rPr>
          <w:rFonts w:ascii="Arial" w:eastAsia="Arial" w:hAnsi="Arial" w:cs="Arial"/>
          <w:sz w:val="19"/>
          <w:szCs w:val="19"/>
        </w:rPr>
        <w:t>Other income (expense), net was $1.4 million for the six months ended June 30, 2021, compared to $1.3 million for the six months ended June 30, 2020. The increase was primarily driven by lower intere</w:t>
      </w:r>
      <w:r>
        <w:rPr>
          <w:rFonts w:ascii="Arial" w:eastAsia="Arial" w:hAnsi="Arial" w:cs="Arial"/>
          <w:sz w:val="19"/>
          <w:szCs w:val="19"/>
        </w:rPr>
        <w:t>st income as a result of declines in interest rates.</w:t>
      </w:r>
    </w:p>
    <w:p w:rsidR="000728AD" w:rsidRDefault="000728AD">
      <w:pPr>
        <w:spacing w:line="146" w:lineRule="exact"/>
        <w:rPr>
          <w:sz w:val="20"/>
          <w:szCs w:val="20"/>
        </w:rPr>
      </w:pPr>
    </w:p>
    <w:p w:rsidR="000728AD" w:rsidRDefault="000561BE">
      <w:pPr>
        <w:rPr>
          <w:sz w:val="20"/>
          <w:szCs w:val="20"/>
        </w:rPr>
      </w:pPr>
      <w:r>
        <w:rPr>
          <w:rFonts w:ascii="Arial" w:eastAsia="Arial" w:hAnsi="Arial" w:cs="Arial"/>
          <w:b/>
          <w:bCs/>
          <w:sz w:val="20"/>
          <w:szCs w:val="20"/>
        </w:rPr>
        <w:t>Liquidity and Capital Resources</w:t>
      </w:r>
    </w:p>
    <w:p w:rsidR="000728AD" w:rsidRDefault="000728AD">
      <w:pPr>
        <w:spacing w:line="222" w:lineRule="exact"/>
        <w:rPr>
          <w:sz w:val="20"/>
          <w:szCs w:val="20"/>
        </w:rPr>
      </w:pPr>
    </w:p>
    <w:p w:rsidR="000728AD" w:rsidRDefault="000561BE">
      <w:pPr>
        <w:rPr>
          <w:sz w:val="20"/>
          <w:szCs w:val="20"/>
        </w:rPr>
      </w:pPr>
      <w:r>
        <w:rPr>
          <w:rFonts w:ascii="Arial" w:eastAsia="Arial" w:hAnsi="Arial" w:cs="Arial"/>
          <w:b/>
          <w:bCs/>
          <w:i/>
          <w:iCs/>
          <w:sz w:val="20"/>
          <w:szCs w:val="20"/>
        </w:rPr>
        <w:t>Sources of Liquidity</w:t>
      </w:r>
    </w:p>
    <w:p w:rsidR="000728AD" w:rsidRDefault="000728AD">
      <w:pPr>
        <w:spacing w:line="216" w:lineRule="exact"/>
        <w:rPr>
          <w:sz w:val="20"/>
          <w:szCs w:val="20"/>
        </w:rPr>
      </w:pPr>
    </w:p>
    <w:p w:rsidR="000728AD" w:rsidRDefault="000561BE">
      <w:pPr>
        <w:spacing w:line="243" w:lineRule="auto"/>
        <w:ind w:right="260"/>
        <w:rPr>
          <w:sz w:val="20"/>
          <w:szCs w:val="20"/>
        </w:rPr>
      </w:pPr>
      <w:r>
        <w:rPr>
          <w:rFonts w:ascii="Arial" w:eastAsia="Arial" w:hAnsi="Arial" w:cs="Arial"/>
          <w:sz w:val="20"/>
          <w:szCs w:val="20"/>
        </w:rPr>
        <w:t xml:space="preserve">Since our inception, we have not generated any revenue and have incurred significant operating losses and negative cash flows from our </w:t>
      </w:r>
      <w:r>
        <w:rPr>
          <w:rFonts w:ascii="Arial" w:eastAsia="Arial" w:hAnsi="Arial" w:cs="Arial"/>
          <w:sz w:val="20"/>
          <w:szCs w:val="20"/>
        </w:rPr>
        <w:t>operations. Our net losses were $15.9 million and $13.9 million for the three months ended and $31.1 million and $28.9 million for the six months ended June 30, 2021 and 2020, respectively. As of June 30, 2021, we had an accumulated deficit of $303.7 milli</w:t>
      </w:r>
      <w:r>
        <w:rPr>
          <w:rFonts w:ascii="Arial" w:eastAsia="Arial" w:hAnsi="Arial" w:cs="Arial"/>
          <w:sz w:val="20"/>
          <w:szCs w:val="20"/>
        </w:rPr>
        <w:t>on. We expect to incur net losses as we continue to develop our product candidates, and our ability to generate product revenue sufficient to achieve profitability will depend heavily on the successful development and eventual commercialization of one or m</w:t>
      </w:r>
      <w:r>
        <w:rPr>
          <w:rFonts w:ascii="Arial" w:eastAsia="Arial" w:hAnsi="Arial" w:cs="Arial"/>
          <w:sz w:val="20"/>
          <w:szCs w:val="20"/>
        </w:rPr>
        <w:t>ore of our current or future product candidates.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92" w:lineRule="exact"/>
        <w:rPr>
          <w:sz w:val="20"/>
          <w:szCs w:val="20"/>
        </w:rPr>
      </w:pPr>
    </w:p>
    <w:p w:rsidR="000728AD" w:rsidRDefault="000561BE">
      <w:pPr>
        <w:jc w:val="center"/>
        <w:rPr>
          <w:sz w:val="20"/>
          <w:szCs w:val="20"/>
        </w:rPr>
      </w:pPr>
      <w:r>
        <w:rPr>
          <w:rFonts w:ascii="Arial" w:eastAsia="Arial" w:hAnsi="Arial" w:cs="Arial"/>
          <w:sz w:val="18"/>
          <w:szCs w:val="18"/>
        </w:rPr>
        <w:t>27</w:t>
      </w:r>
    </w:p>
    <w:p w:rsidR="000728AD" w:rsidRDefault="000561BE">
      <w:pPr>
        <w:spacing w:line="20" w:lineRule="exact"/>
        <w:rPr>
          <w:sz w:val="20"/>
          <w:szCs w:val="20"/>
        </w:rPr>
      </w:pPr>
      <w:r>
        <w:rPr>
          <w:noProof/>
          <w:sz w:val="20"/>
          <w:szCs w:val="20"/>
        </w:rPr>
        <w:drawing>
          <wp:anchor distT="0" distB="0" distL="114300" distR="114300" simplePos="0" relativeHeight="251635712"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28" w:name="page28"/>
    <w:bookmarkEnd w:id="28"/>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60" w:lineRule="auto"/>
        <w:ind w:right="560"/>
        <w:rPr>
          <w:sz w:val="20"/>
          <w:szCs w:val="20"/>
        </w:rPr>
      </w:pPr>
      <w:r>
        <w:rPr>
          <w:rFonts w:ascii="Arial" w:eastAsia="Arial" w:hAnsi="Arial" w:cs="Arial"/>
          <w:sz w:val="20"/>
          <w:szCs w:val="20"/>
        </w:rPr>
        <w:t>To date, we have primarily financed our operations with proceeds from the sale of preferred and common stock and borrowing of debt</w:t>
      </w:r>
      <w:r>
        <w:rPr>
          <w:rFonts w:ascii="Arial" w:eastAsia="Arial" w:hAnsi="Arial" w:cs="Arial"/>
          <w:sz w:val="20"/>
          <w:szCs w:val="20"/>
        </w:rPr>
        <w:t>, including the following recent significant transactions:</w:t>
      </w:r>
    </w:p>
    <w:p w:rsidR="000728AD" w:rsidRDefault="000728AD">
      <w:pPr>
        <w:spacing w:line="177" w:lineRule="exact"/>
        <w:rPr>
          <w:sz w:val="20"/>
          <w:szCs w:val="20"/>
        </w:rPr>
      </w:pPr>
    </w:p>
    <w:p w:rsidR="000728AD" w:rsidRDefault="000561BE">
      <w:pPr>
        <w:numPr>
          <w:ilvl w:val="0"/>
          <w:numId w:val="8"/>
        </w:numPr>
        <w:tabs>
          <w:tab w:val="left" w:pos="648"/>
        </w:tabs>
        <w:spacing w:line="250" w:lineRule="auto"/>
        <w:ind w:left="660" w:right="240" w:hanging="328"/>
        <w:rPr>
          <w:rFonts w:ascii="Arial" w:eastAsia="Arial" w:hAnsi="Arial" w:cs="Arial"/>
          <w:sz w:val="20"/>
          <w:szCs w:val="20"/>
        </w:rPr>
      </w:pPr>
      <w:r>
        <w:rPr>
          <w:rFonts w:ascii="Arial" w:eastAsia="Arial" w:hAnsi="Arial" w:cs="Arial"/>
          <w:sz w:val="20"/>
          <w:szCs w:val="20"/>
        </w:rPr>
        <w:t>On May 18, 2020, we completed a follow-on public offering pursuant to which we issued an aggregate of 12,650,000 shares of our common stock for net proceeds of approximately $55.9 million after de</w:t>
      </w:r>
      <w:r>
        <w:rPr>
          <w:rFonts w:ascii="Arial" w:eastAsia="Arial" w:hAnsi="Arial" w:cs="Arial"/>
          <w:sz w:val="20"/>
          <w:szCs w:val="20"/>
        </w:rPr>
        <w:t>ducting the underwriting discounts and commissions and other offering expenses.</w:t>
      </w:r>
    </w:p>
    <w:p w:rsidR="000728AD" w:rsidRDefault="000728AD">
      <w:pPr>
        <w:spacing w:line="185" w:lineRule="exact"/>
        <w:rPr>
          <w:rFonts w:ascii="Arial" w:eastAsia="Arial" w:hAnsi="Arial" w:cs="Arial"/>
          <w:sz w:val="20"/>
          <w:szCs w:val="20"/>
        </w:rPr>
      </w:pPr>
    </w:p>
    <w:p w:rsidR="000728AD" w:rsidRDefault="000561BE">
      <w:pPr>
        <w:numPr>
          <w:ilvl w:val="0"/>
          <w:numId w:val="8"/>
        </w:numPr>
        <w:tabs>
          <w:tab w:val="left" w:pos="648"/>
        </w:tabs>
        <w:spacing w:line="276" w:lineRule="auto"/>
        <w:ind w:left="660" w:right="80" w:hanging="328"/>
        <w:rPr>
          <w:rFonts w:ascii="Arial" w:eastAsia="Arial" w:hAnsi="Arial" w:cs="Arial"/>
          <w:sz w:val="18"/>
          <w:szCs w:val="18"/>
        </w:rPr>
      </w:pPr>
      <w:r>
        <w:rPr>
          <w:rFonts w:ascii="Arial" w:eastAsia="Arial" w:hAnsi="Arial" w:cs="Arial"/>
          <w:sz w:val="18"/>
          <w:szCs w:val="18"/>
        </w:rPr>
        <w:t xml:space="preserve">On June 5, 2020, we entered into a sales agreement with SVB Leerink LLC (“SVB Leerink”) pursuant to which we may offer and sell shares of our common stock having an </w:t>
      </w:r>
      <w:r>
        <w:rPr>
          <w:rFonts w:ascii="Arial" w:eastAsia="Arial" w:hAnsi="Arial" w:cs="Arial"/>
          <w:sz w:val="18"/>
          <w:szCs w:val="18"/>
        </w:rPr>
        <w:t>aggregate offering price of up to $35.0 million from time to time through SVB Leerink, acting as our agent (the “ATM Offering”). As of June 30, 2021, we have sold an aggregate of 1,847,794 shares of common stock under the ATM Offering for net cash proceeds</w:t>
      </w:r>
      <w:r>
        <w:rPr>
          <w:rFonts w:ascii="Arial" w:eastAsia="Arial" w:hAnsi="Arial" w:cs="Arial"/>
          <w:sz w:val="18"/>
          <w:szCs w:val="18"/>
        </w:rPr>
        <w:t xml:space="preserve"> of $9.9 million after deducting commissions and expenses of $0.5 million. During the three months ended June 30, 2021, we issued 126,527 shares of our common stock in a series of sales under the ATM Offering for aggregate net proceeds of $0.6 million afte</w:t>
      </w:r>
      <w:r>
        <w:rPr>
          <w:rFonts w:ascii="Arial" w:eastAsia="Arial" w:hAnsi="Arial" w:cs="Arial"/>
          <w:sz w:val="18"/>
          <w:szCs w:val="18"/>
        </w:rPr>
        <w:t>r deducting commissions and expenses of $0.1 million.</w:t>
      </w:r>
    </w:p>
    <w:p w:rsidR="000728AD" w:rsidRDefault="000728AD">
      <w:pPr>
        <w:spacing w:line="165" w:lineRule="exact"/>
        <w:rPr>
          <w:sz w:val="20"/>
          <w:szCs w:val="20"/>
        </w:rPr>
      </w:pPr>
    </w:p>
    <w:p w:rsidR="000728AD" w:rsidRDefault="000561BE">
      <w:pPr>
        <w:spacing w:line="237" w:lineRule="auto"/>
        <w:ind w:right="760"/>
        <w:rPr>
          <w:sz w:val="20"/>
          <w:szCs w:val="20"/>
        </w:rPr>
      </w:pPr>
      <w:r>
        <w:rPr>
          <w:rFonts w:ascii="Arial" w:eastAsia="Arial" w:hAnsi="Arial" w:cs="Arial"/>
          <w:sz w:val="20"/>
          <w:szCs w:val="20"/>
        </w:rPr>
        <w:t>As of June 30, 2021, we had cash, cash equivalents and marketable securities of $78.9 million. Our cash equivalents and marketable securities as of June 30, 2021 consisted of bank deposits, money marke</w:t>
      </w:r>
      <w:r>
        <w:rPr>
          <w:rFonts w:ascii="Arial" w:eastAsia="Arial" w:hAnsi="Arial" w:cs="Arial"/>
          <w:sz w:val="20"/>
          <w:szCs w:val="20"/>
        </w:rPr>
        <w:t>t funds that invest in U.S. treasury securities, and corporate obligations, which enables us to achieve our liquidity and capital needs.</w:t>
      </w:r>
    </w:p>
    <w:p w:rsidR="000728AD" w:rsidRDefault="000728AD">
      <w:pPr>
        <w:spacing w:line="129" w:lineRule="exact"/>
        <w:rPr>
          <w:sz w:val="20"/>
          <w:szCs w:val="20"/>
        </w:rPr>
      </w:pPr>
    </w:p>
    <w:p w:rsidR="000728AD" w:rsidRDefault="000561BE">
      <w:pPr>
        <w:rPr>
          <w:sz w:val="20"/>
          <w:szCs w:val="20"/>
        </w:rPr>
      </w:pPr>
      <w:r>
        <w:rPr>
          <w:rFonts w:ascii="Arial" w:eastAsia="Arial" w:hAnsi="Arial" w:cs="Arial"/>
          <w:b/>
          <w:bCs/>
          <w:i/>
          <w:iCs/>
          <w:sz w:val="20"/>
          <w:szCs w:val="20"/>
        </w:rPr>
        <w:t>Cash Flows</w:t>
      </w:r>
    </w:p>
    <w:p w:rsidR="000728AD" w:rsidRDefault="000728AD">
      <w:pPr>
        <w:spacing w:line="216" w:lineRule="exact"/>
        <w:rPr>
          <w:sz w:val="20"/>
          <w:szCs w:val="20"/>
        </w:rPr>
      </w:pPr>
    </w:p>
    <w:p w:rsidR="000728AD" w:rsidRDefault="000561BE">
      <w:pPr>
        <w:rPr>
          <w:sz w:val="20"/>
          <w:szCs w:val="20"/>
        </w:rPr>
      </w:pPr>
      <w:r>
        <w:rPr>
          <w:rFonts w:ascii="Arial" w:eastAsia="Arial" w:hAnsi="Arial" w:cs="Arial"/>
          <w:sz w:val="20"/>
          <w:szCs w:val="20"/>
        </w:rPr>
        <w:t>The following table summarizes our sources and uses of cash for each of the periods presented (in thousand</w:t>
      </w:r>
      <w:r>
        <w:rPr>
          <w:rFonts w:ascii="Arial" w:eastAsia="Arial" w:hAnsi="Arial" w:cs="Arial"/>
          <w:sz w:val="20"/>
          <w:szCs w:val="20"/>
        </w:rPr>
        <w:t>s):</w:t>
      </w:r>
    </w:p>
    <w:p w:rsidR="000728AD" w:rsidRDefault="000728AD">
      <w:pPr>
        <w:spacing w:line="243" w:lineRule="exact"/>
        <w:rPr>
          <w:sz w:val="20"/>
          <w:szCs w:val="20"/>
        </w:rPr>
      </w:pPr>
    </w:p>
    <w:p w:rsidR="000728AD" w:rsidRDefault="000561BE">
      <w:pPr>
        <w:ind w:left="8060"/>
        <w:jc w:val="center"/>
        <w:rPr>
          <w:sz w:val="20"/>
          <w:szCs w:val="20"/>
        </w:rPr>
      </w:pPr>
      <w:r>
        <w:rPr>
          <w:rFonts w:ascii="Arial" w:eastAsia="Arial" w:hAnsi="Arial" w:cs="Arial"/>
          <w:b/>
          <w:bCs/>
          <w:sz w:val="18"/>
          <w:szCs w:val="18"/>
        </w:rPr>
        <w:t>Six Months Ended</w:t>
      </w:r>
    </w:p>
    <w:p w:rsidR="000728AD" w:rsidRDefault="000561BE">
      <w:pPr>
        <w:ind w:left="8060"/>
        <w:jc w:val="center"/>
        <w:rPr>
          <w:sz w:val="20"/>
          <w:szCs w:val="20"/>
        </w:rPr>
      </w:pPr>
      <w:r>
        <w:rPr>
          <w:rFonts w:ascii="Arial" w:eastAsia="Arial" w:hAnsi="Arial" w:cs="Arial"/>
          <w:b/>
          <w:bCs/>
          <w:sz w:val="18"/>
          <w:szCs w:val="18"/>
        </w:rPr>
        <w:t>June 30,</w:t>
      </w:r>
    </w:p>
    <w:p w:rsidR="000728AD" w:rsidRDefault="000728AD">
      <w:pPr>
        <w:spacing w:line="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80"/>
        <w:gridCol w:w="360"/>
        <w:gridCol w:w="1160"/>
        <w:gridCol w:w="120"/>
        <w:gridCol w:w="340"/>
        <w:gridCol w:w="1180"/>
      </w:tblGrid>
      <w:tr w:rsidR="000728AD">
        <w:trPr>
          <w:trHeight w:val="223"/>
        </w:trPr>
        <w:tc>
          <w:tcPr>
            <w:tcW w:w="8080" w:type="dxa"/>
            <w:tcBorders>
              <w:bottom w:val="single" w:sz="8" w:space="0" w:color="CCEEFF"/>
            </w:tcBorders>
            <w:vAlign w:val="bottom"/>
          </w:tcPr>
          <w:p w:rsidR="000728AD" w:rsidRDefault="000728AD">
            <w:pPr>
              <w:rPr>
                <w:sz w:val="19"/>
                <w:szCs w:val="19"/>
              </w:rPr>
            </w:pPr>
          </w:p>
        </w:tc>
        <w:tc>
          <w:tcPr>
            <w:tcW w:w="360" w:type="dxa"/>
            <w:tcBorders>
              <w:top w:val="single" w:sz="8" w:space="0" w:color="auto"/>
              <w:bottom w:val="single" w:sz="8" w:space="0" w:color="auto"/>
            </w:tcBorders>
            <w:vAlign w:val="bottom"/>
          </w:tcPr>
          <w:p w:rsidR="000728AD" w:rsidRDefault="000728AD">
            <w:pPr>
              <w:rPr>
                <w:sz w:val="19"/>
                <w:szCs w:val="19"/>
              </w:rPr>
            </w:pPr>
          </w:p>
        </w:tc>
        <w:tc>
          <w:tcPr>
            <w:tcW w:w="1160" w:type="dxa"/>
            <w:tcBorders>
              <w:top w:val="single" w:sz="8" w:space="0" w:color="auto"/>
              <w:bottom w:val="single" w:sz="8" w:space="0" w:color="auto"/>
            </w:tcBorders>
            <w:vAlign w:val="bottom"/>
          </w:tcPr>
          <w:p w:rsidR="000728AD" w:rsidRDefault="000561BE">
            <w:pPr>
              <w:ind w:right="483"/>
              <w:jc w:val="right"/>
              <w:rPr>
                <w:sz w:val="20"/>
                <w:szCs w:val="20"/>
              </w:rPr>
            </w:pPr>
            <w:r>
              <w:rPr>
                <w:rFonts w:ascii="Arial" w:eastAsia="Arial" w:hAnsi="Arial" w:cs="Arial"/>
                <w:b/>
                <w:bCs/>
                <w:sz w:val="18"/>
                <w:szCs w:val="18"/>
              </w:rPr>
              <w:t>2021</w:t>
            </w:r>
          </w:p>
        </w:tc>
        <w:tc>
          <w:tcPr>
            <w:tcW w:w="120" w:type="dxa"/>
            <w:tcBorders>
              <w:top w:val="single" w:sz="8" w:space="0" w:color="auto"/>
              <w:bottom w:val="single" w:sz="8" w:space="0" w:color="CCEEFF"/>
            </w:tcBorders>
            <w:vAlign w:val="bottom"/>
          </w:tcPr>
          <w:p w:rsidR="000728AD" w:rsidRDefault="000728AD">
            <w:pPr>
              <w:rPr>
                <w:sz w:val="19"/>
                <w:szCs w:val="19"/>
              </w:rPr>
            </w:pPr>
          </w:p>
        </w:tc>
        <w:tc>
          <w:tcPr>
            <w:tcW w:w="340" w:type="dxa"/>
            <w:tcBorders>
              <w:top w:val="single" w:sz="8" w:space="0" w:color="auto"/>
              <w:bottom w:val="single" w:sz="8" w:space="0" w:color="auto"/>
            </w:tcBorders>
            <w:vAlign w:val="bottom"/>
          </w:tcPr>
          <w:p w:rsidR="000728AD" w:rsidRDefault="000728AD">
            <w:pPr>
              <w:rPr>
                <w:sz w:val="19"/>
                <w:szCs w:val="19"/>
              </w:rPr>
            </w:pPr>
          </w:p>
        </w:tc>
        <w:tc>
          <w:tcPr>
            <w:tcW w:w="1180" w:type="dxa"/>
            <w:tcBorders>
              <w:top w:val="single" w:sz="8" w:space="0" w:color="auto"/>
              <w:bottom w:val="single" w:sz="8" w:space="0" w:color="auto"/>
            </w:tcBorders>
            <w:vAlign w:val="bottom"/>
          </w:tcPr>
          <w:p w:rsidR="000728AD" w:rsidRDefault="000561BE">
            <w:pPr>
              <w:ind w:right="483"/>
              <w:jc w:val="right"/>
              <w:rPr>
                <w:sz w:val="20"/>
                <w:szCs w:val="20"/>
              </w:rPr>
            </w:pPr>
            <w:r>
              <w:rPr>
                <w:rFonts w:ascii="Arial" w:eastAsia="Arial" w:hAnsi="Arial" w:cs="Arial"/>
                <w:b/>
                <w:bCs/>
                <w:sz w:val="18"/>
                <w:szCs w:val="18"/>
              </w:rPr>
              <w:t>2020</w:t>
            </w:r>
          </w:p>
        </w:tc>
      </w:tr>
      <w:tr w:rsidR="000728AD">
        <w:trPr>
          <w:trHeight w:val="236"/>
        </w:trPr>
        <w:tc>
          <w:tcPr>
            <w:tcW w:w="8080" w:type="dxa"/>
            <w:shd w:val="clear" w:color="auto" w:fill="CCEEFF"/>
            <w:vAlign w:val="bottom"/>
          </w:tcPr>
          <w:p w:rsidR="000728AD" w:rsidRDefault="000561BE">
            <w:pPr>
              <w:ind w:left="60"/>
              <w:rPr>
                <w:sz w:val="20"/>
                <w:szCs w:val="20"/>
              </w:rPr>
            </w:pPr>
            <w:r>
              <w:rPr>
                <w:rFonts w:ascii="Arial" w:eastAsia="Arial" w:hAnsi="Arial" w:cs="Arial"/>
                <w:sz w:val="20"/>
                <w:szCs w:val="20"/>
              </w:rPr>
              <w:t>Cash used in operating activities</w:t>
            </w:r>
          </w:p>
        </w:tc>
        <w:tc>
          <w:tcPr>
            <w:tcW w:w="360" w:type="dxa"/>
            <w:shd w:val="clear" w:color="auto" w:fill="CCEEFF"/>
            <w:vAlign w:val="bottom"/>
          </w:tcPr>
          <w:p w:rsidR="000728AD" w:rsidRDefault="000561BE">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rsidR="000728AD" w:rsidRDefault="000561BE">
            <w:pPr>
              <w:jc w:val="right"/>
              <w:rPr>
                <w:sz w:val="20"/>
                <w:szCs w:val="20"/>
              </w:rPr>
            </w:pPr>
            <w:r>
              <w:rPr>
                <w:rFonts w:ascii="Arial" w:eastAsia="Arial" w:hAnsi="Arial" w:cs="Arial"/>
                <w:sz w:val="20"/>
                <w:szCs w:val="20"/>
              </w:rPr>
              <w:t>(28,367)</w:t>
            </w:r>
          </w:p>
        </w:tc>
        <w:tc>
          <w:tcPr>
            <w:tcW w:w="120" w:type="dxa"/>
            <w:shd w:val="clear" w:color="auto" w:fill="CCEEFF"/>
            <w:vAlign w:val="bottom"/>
          </w:tcPr>
          <w:p w:rsidR="000728AD" w:rsidRDefault="000728AD">
            <w:pPr>
              <w:rPr>
                <w:sz w:val="20"/>
                <w:szCs w:val="20"/>
              </w:rPr>
            </w:pPr>
          </w:p>
        </w:tc>
        <w:tc>
          <w:tcPr>
            <w:tcW w:w="340" w:type="dxa"/>
            <w:shd w:val="clear" w:color="auto" w:fill="CCEEFF"/>
            <w:vAlign w:val="bottom"/>
          </w:tcPr>
          <w:p w:rsidR="000728AD" w:rsidRDefault="000561BE">
            <w:pPr>
              <w:ind w:right="121"/>
              <w:jc w:val="right"/>
              <w:rPr>
                <w:sz w:val="20"/>
                <w:szCs w:val="20"/>
              </w:rPr>
            </w:pPr>
            <w:r>
              <w:rPr>
                <w:rFonts w:ascii="Arial" w:eastAsia="Arial" w:hAnsi="Arial" w:cs="Arial"/>
                <w:w w:val="89"/>
                <w:sz w:val="20"/>
                <w:szCs w:val="20"/>
              </w:rPr>
              <w:t>$</w:t>
            </w:r>
          </w:p>
        </w:tc>
        <w:tc>
          <w:tcPr>
            <w:tcW w:w="1180" w:type="dxa"/>
            <w:shd w:val="clear" w:color="auto" w:fill="CCEEFF"/>
            <w:vAlign w:val="bottom"/>
          </w:tcPr>
          <w:p w:rsidR="000728AD" w:rsidRDefault="000561BE">
            <w:pPr>
              <w:jc w:val="right"/>
              <w:rPr>
                <w:sz w:val="20"/>
                <w:szCs w:val="20"/>
              </w:rPr>
            </w:pPr>
            <w:r>
              <w:rPr>
                <w:rFonts w:ascii="Arial" w:eastAsia="Arial" w:hAnsi="Arial" w:cs="Arial"/>
                <w:sz w:val="20"/>
                <w:szCs w:val="20"/>
              </w:rPr>
              <w:t>(29,049)</w:t>
            </w:r>
          </w:p>
        </w:tc>
      </w:tr>
      <w:tr w:rsidR="000728AD">
        <w:trPr>
          <w:trHeight w:val="243"/>
        </w:trPr>
        <w:tc>
          <w:tcPr>
            <w:tcW w:w="8080" w:type="dxa"/>
            <w:vAlign w:val="bottom"/>
          </w:tcPr>
          <w:p w:rsidR="000728AD" w:rsidRDefault="000561BE">
            <w:pPr>
              <w:ind w:left="60"/>
              <w:rPr>
                <w:sz w:val="20"/>
                <w:szCs w:val="20"/>
              </w:rPr>
            </w:pPr>
            <w:r>
              <w:rPr>
                <w:rFonts w:ascii="Arial" w:eastAsia="Arial" w:hAnsi="Arial" w:cs="Arial"/>
                <w:sz w:val="20"/>
                <w:szCs w:val="20"/>
              </w:rPr>
              <w:t>Cash used in investing activities</w:t>
            </w:r>
          </w:p>
        </w:tc>
        <w:tc>
          <w:tcPr>
            <w:tcW w:w="360" w:type="dxa"/>
            <w:vAlign w:val="bottom"/>
          </w:tcPr>
          <w:p w:rsidR="000728AD" w:rsidRDefault="000728AD">
            <w:pPr>
              <w:rPr>
                <w:sz w:val="21"/>
                <w:szCs w:val="21"/>
              </w:rPr>
            </w:pPr>
          </w:p>
        </w:tc>
        <w:tc>
          <w:tcPr>
            <w:tcW w:w="1160" w:type="dxa"/>
            <w:vAlign w:val="bottom"/>
          </w:tcPr>
          <w:p w:rsidR="000728AD" w:rsidRDefault="000561BE">
            <w:pPr>
              <w:jc w:val="right"/>
              <w:rPr>
                <w:sz w:val="20"/>
                <w:szCs w:val="20"/>
              </w:rPr>
            </w:pPr>
            <w:r>
              <w:rPr>
                <w:rFonts w:ascii="Arial" w:eastAsia="Arial" w:hAnsi="Arial" w:cs="Arial"/>
                <w:sz w:val="20"/>
                <w:szCs w:val="20"/>
              </w:rPr>
              <w:t>(9,954)</w:t>
            </w:r>
          </w:p>
        </w:tc>
        <w:tc>
          <w:tcPr>
            <w:tcW w:w="120" w:type="dxa"/>
            <w:vAlign w:val="bottom"/>
          </w:tcPr>
          <w:p w:rsidR="000728AD" w:rsidRDefault="000728AD">
            <w:pPr>
              <w:rPr>
                <w:sz w:val="21"/>
                <w:szCs w:val="21"/>
              </w:rPr>
            </w:pPr>
          </w:p>
        </w:tc>
        <w:tc>
          <w:tcPr>
            <w:tcW w:w="340" w:type="dxa"/>
            <w:vAlign w:val="bottom"/>
          </w:tcPr>
          <w:p w:rsidR="000728AD" w:rsidRDefault="000728AD">
            <w:pPr>
              <w:rPr>
                <w:sz w:val="21"/>
                <w:szCs w:val="21"/>
              </w:rPr>
            </w:pPr>
          </w:p>
        </w:tc>
        <w:tc>
          <w:tcPr>
            <w:tcW w:w="1180" w:type="dxa"/>
            <w:vAlign w:val="bottom"/>
          </w:tcPr>
          <w:p w:rsidR="000728AD" w:rsidRDefault="000561BE">
            <w:pPr>
              <w:jc w:val="right"/>
              <w:rPr>
                <w:sz w:val="20"/>
                <w:szCs w:val="20"/>
              </w:rPr>
            </w:pPr>
            <w:r>
              <w:rPr>
                <w:rFonts w:ascii="Arial" w:eastAsia="Arial" w:hAnsi="Arial" w:cs="Arial"/>
                <w:sz w:val="20"/>
                <w:szCs w:val="20"/>
              </w:rPr>
              <w:t>(59)</w:t>
            </w:r>
          </w:p>
        </w:tc>
      </w:tr>
      <w:tr w:rsidR="000728AD">
        <w:trPr>
          <w:trHeight w:val="243"/>
        </w:trPr>
        <w:tc>
          <w:tcPr>
            <w:tcW w:w="8080" w:type="dxa"/>
            <w:shd w:val="clear" w:color="auto" w:fill="CCEEFF"/>
            <w:vAlign w:val="bottom"/>
          </w:tcPr>
          <w:p w:rsidR="000728AD" w:rsidRDefault="000561BE">
            <w:pPr>
              <w:ind w:left="60"/>
              <w:rPr>
                <w:sz w:val="20"/>
                <w:szCs w:val="20"/>
              </w:rPr>
            </w:pPr>
            <w:r>
              <w:rPr>
                <w:rFonts w:ascii="Arial" w:eastAsia="Arial" w:hAnsi="Arial" w:cs="Arial"/>
                <w:sz w:val="20"/>
                <w:szCs w:val="20"/>
              </w:rPr>
              <w:t>Cash provided by financing activities</w:t>
            </w:r>
          </w:p>
        </w:tc>
        <w:tc>
          <w:tcPr>
            <w:tcW w:w="360" w:type="dxa"/>
            <w:tcBorders>
              <w:bottom w:val="single" w:sz="8" w:space="0" w:color="auto"/>
            </w:tcBorders>
            <w:shd w:val="clear" w:color="auto" w:fill="CCEEFF"/>
            <w:vAlign w:val="bottom"/>
          </w:tcPr>
          <w:p w:rsidR="000728AD" w:rsidRDefault="000728AD">
            <w:pPr>
              <w:rPr>
                <w:sz w:val="21"/>
                <w:szCs w:val="21"/>
              </w:rPr>
            </w:pPr>
          </w:p>
        </w:tc>
        <w:tc>
          <w:tcPr>
            <w:tcW w:w="116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671</w:t>
            </w:r>
          </w:p>
        </w:tc>
        <w:tc>
          <w:tcPr>
            <w:tcW w:w="120" w:type="dxa"/>
            <w:shd w:val="clear" w:color="auto" w:fill="CCEEFF"/>
            <w:vAlign w:val="bottom"/>
          </w:tcPr>
          <w:p w:rsidR="000728AD" w:rsidRDefault="000728AD">
            <w:pPr>
              <w:rPr>
                <w:sz w:val="21"/>
                <w:szCs w:val="21"/>
              </w:rPr>
            </w:pPr>
          </w:p>
        </w:tc>
        <w:tc>
          <w:tcPr>
            <w:tcW w:w="340" w:type="dxa"/>
            <w:tcBorders>
              <w:bottom w:val="single" w:sz="8" w:space="0" w:color="auto"/>
            </w:tcBorders>
            <w:shd w:val="clear" w:color="auto" w:fill="CCEEFF"/>
            <w:vAlign w:val="bottom"/>
          </w:tcPr>
          <w:p w:rsidR="000728AD" w:rsidRDefault="000728AD">
            <w:pPr>
              <w:rPr>
                <w:sz w:val="21"/>
                <w:szCs w:val="21"/>
              </w:rPr>
            </w:pPr>
          </w:p>
        </w:tc>
        <w:tc>
          <w:tcPr>
            <w:tcW w:w="1180" w:type="dxa"/>
            <w:tcBorders>
              <w:bottom w:val="single" w:sz="8" w:space="0" w:color="auto"/>
            </w:tcBorders>
            <w:shd w:val="clear" w:color="auto" w:fill="CCEEFF"/>
            <w:vAlign w:val="bottom"/>
          </w:tcPr>
          <w:p w:rsidR="000728AD" w:rsidRDefault="000561BE">
            <w:pPr>
              <w:jc w:val="right"/>
              <w:rPr>
                <w:sz w:val="20"/>
                <w:szCs w:val="20"/>
              </w:rPr>
            </w:pPr>
            <w:r>
              <w:rPr>
                <w:rFonts w:ascii="Arial" w:eastAsia="Arial" w:hAnsi="Arial" w:cs="Arial"/>
                <w:sz w:val="20"/>
                <w:szCs w:val="20"/>
              </w:rPr>
              <w:t>58,381</w:t>
            </w:r>
          </w:p>
        </w:tc>
      </w:tr>
      <w:tr w:rsidR="000728AD">
        <w:trPr>
          <w:trHeight w:val="237"/>
        </w:trPr>
        <w:tc>
          <w:tcPr>
            <w:tcW w:w="8080" w:type="dxa"/>
            <w:vAlign w:val="bottom"/>
          </w:tcPr>
          <w:p w:rsidR="000728AD" w:rsidRDefault="000561BE">
            <w:pPr>
              <w:ind w:left="220"/>
              <w:rPr>
                <w:sz w:val="20"/>
                <w:szCs w:val="20"/>
              </w:rPr>
            </w:pPr>
            <w:r>
              <w:rPr>
                <w:rFonts w:ascii="Arial" w:eastAsia="Arial" w:hAnsi="Arial" w:cs="Arial"/>
                <w:sz w:val="20"/>
                <w:szCs w:val="20"/>
              </w:rPr>
              <w:t xml:space="preserve">Net (decrease) increase in cash and cash </w:t>
            </w:r>
            <w:r>
              <w:rPr>
                <w:rFonts w:ascii="Arial" w:eastAsia="Arial" w:hAnsi="Arial" w:cs="Arial"/>
                <w:sz w:val="20"/>
                <w:szCs w:val="20"/>
              </w:rPr>
              <w:t>equivalents</w:t>
            </w:r>
          </w:p>
        </w:tc>
        <w:tc>
          <w:tcPr>
            <w:tcW w:w="360" w:type="dxa"/>
            <w:tcBorders>
              <w:bottom w:val="single" w:sz="8" w:space="0" w:color="auto"/>
            </w:tcBorders>
            <w:vAlign w:val="bottom"/>
          </w:tcPr>
          <w:p w:rsidR="000728AD" w:rsidRDefault="000561BE">
            <w:pPr>
              <w:ind w:right="14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(37,650)</w:t>
            </w:r>
          </w:p>
        </w:tc>
        <w:tc>
          <w:tcPr>
            <w:tcW w:w="120" w:type="dxa"/>
            <w:vAlign w:val="bottom"/>
          </w:tcPr>
          <w:p w:rsidR="000728AD" w:rsidRDefault="000728AD">
            <w:pPr>
              <w:rPr>
                <w:sz w:val="20"/>
                <w:szCs w:val="20"/>
              </w:rPr>
            </w:pPr>
          </w:p>
        </w:tc>
        <w:tc>
          <w:tcPr>
            <w:tcW w:w="340" w:type="dxa"/>
            <w:tcBorders>
              <w:bottom w:val="single" w:sz="8" w:space="0" w:color="auto"/>
            </w:tcBorders>
            <w:vAlign w:val="bottom"/>
          </w:tcPr>
          <w:p w:rsidR="000728AD" w:rsidRDefault="000561BE">
            <w:pPr>
              <w:ind w:right="121"/>
              <w:jc w:val="right"/>
              <w:rPr>
                <w:sz w:val="20"/>
                <w:szCs w:val="20"/>
              </w:rPr>
            </w:pPr>
            <w:r>
              <w:rPr>
                <w:rFonts w:ascii="Arial" w:eastAsia="Arial" w:hAnsi="Arial" w:cs="Arial"/>
                <w:w w:val="89"/>
                <w:sz w:val="20"/>
                <w:szCs w:val="20"/>
              </w:rPr>
              <w:t>$</w:t>
            </w:r>
          </w:p>
        </w:tc>
        <w:tc>
          <w:tcPr>
            <w:tcW w:w="1180" w:type="dxa"/>
            <w:tcBorders>
              <w:bottom w:val="single" w:sz="8" w:space="0" w:color="auto"/>
            </w:tcBorders>
            <w:vAlign w:val="bottom"/>
          </w:tcPr>
          <w:p w:rsidR="000728AD" w:rsidRDefault="000561BE">
            <w:pPr>
              <w:jc w:val="right"/>
              <w:rPr>
                <w:sz w:val="20"/>
                <w:szCs w:val="20"/>
              </w:rPr>
            </w:pPr>
            <w:r>
              <w:rPr>
                <w:rFonts w:ascii="Arial" w:eastAsia="Arial" w:hAnsi="Arial" w:cs="Arial"/>
                <w:sz w:val="20"/>
                <w:szCs w:val="20"/>
              </w:rPr>
              <w:t>29,273</w:t>
            </w:r>
          </w:p>
        </w:tc>
      </w:tr>
      <w:tr w:rsidR="000728AD">
        <w:trPr>
          <w:trHeight w:val="20"/>
        </w:trPr>
        <w:tc>
          <w:tcPr>
            <w:tcW w:w="8080" w:type="dxa"/>
            <w:vAlign w:val="bottom"/>
          </w:tcPr>
          <w:p w:rsidR="000728AD" w:rsidRDefault="000728AD">
            <w:pPr>
              <w:spacing w:line="20" w:lineRule="exact"/>
              <w:rPr>
                <w:sz w:val="1"/>
                <w:szCs w:val="1"/>
              </w:rPr>
            </w:pPr>
          </w:p>
        </w:tc>
        <w:tc>
          <w:tcPr>
            <w:tcW w:w="360" w:type="dxa"/>
            <w:tcBorders>
              <w:bottom w:val="single" w:sz="8" w:space="0" w:color="auto"/>
            </w:tcBorders>
            <w:vAlign w:val="bottom"/>
          </w:tcPr>
          <w:p w:rsidR="000728AD" w:rsidRDefault="000728AD">
            <w:pPr>
              <w:spacing w:line="20" w:lineRule="exact"/>
              <w:rPr>
                <w:sz w:val="1"/>
                <w:szCs w:val="1"/>
              </w:rPr>
            </w:pPr>
          </w:p>
        </w:tc>
        <w:tc>
          <w:tcPr>
            <w:tcW w:w="1160" w:type="dxa"/>
            <w:tcBorders>
              <w:bottom w:val="single" w:sz="8" w:space="0" w:color="auto"/>
            </w:tcBorders>
            <w:vAlign w:val="bottom"/>
          </w:tcPr>
          <w:p w:rsidR="000728AD" w:rsidRDefault="000728AD">
            <w:pPr>
              <w:spacing w:line="20" w:lineRule="exact"/>
              <w:rPr>
                <w:sz w:val="1"/>
                <w:szCs w:val="1"/>
              </w:rPr>
            </w:pPr>
          </w:p>
        </w:tc>
        <w:tc>
          <w:tcPr>
            <w:tcW w:w="120" w:type="dxa"/>
            <w:vAlign w:val="bottom"/>
          </w:tcPr>
          <w:p w:rsidR="000728AD" w:rsidRDefault="000728AD">
            <w:pPr>
              <w:spacing w:line="20" w:lineRule="exact"/>
              <w:rPr>
                <w:sz w:val="1"/>
                <w:szCs w:val="1"/>
              </w:rPr>
            </w:pPr>
          </w:p>
        </w:tc>
        <w:tc>
          <w:tcPr>
            <w:tcW w:w="340" w:type="dxa"/>
            <w:tcBorders>
              <w:bottom w:val="single" w:sz="8" w:space="0" w:color="auto"/>
            </w:tcBorders>
            <w:vAlign w:val="bottom"/>
          </w:tcPr>
          <w:p w:rsidR="000728AD" w:rsidRDefault="000728AD">
            <w:pPr>
              <w:spacing w:line="20" w:lineRule="exact"/>
              <w:rPr>
                <w:sz w:val="1"/>
                <w:szCs w:val="1"/>
              </w:rPr>
            </w:pPr>
          </w:p>
        </w:tc>
        <w:tc>
          <w:tcPr>
            <w:tcW w:w="1180" w:type="dxa"/>
            <w:tcBorders>
              <w:bottom w:val="single" w:sz="8" w:space="0" w:color="auto"/>
            </w:tcBorders>
            <w:vAlign w:val="bottom"/>
          </w:tcPr>
          <w:p w:rsidR="000728AD" w:rsidRDefault="000728AD">
            <w:pPr>
              <w:spacing w:line="20" w:lineRule="exact"/>
              <w:rPr>
                <w:sz w:val="1"/>
                <w:szCs w:val="1"/>
              </w:rPr>
            </w:pPr>
          </w:p>
        </w:tc>
      </w:tr>
    </w:tbl>
    <w:p w:rsidR="000728AD" w:rsidRDefault="000728AD">
      <w:pPr>
        <w:spacing w:line="294" w:lineRule="exact"/>
        <w:rPr>
          <w:sz w:val="20"/>
          <w:szCs w:val="20"/>
        </w:rPr>
      </w:pPr>
    </w:p>
    <w:p w:rsidR="000728AD" w:rsidRDefault="000561BE">
      <w:pPr>
        <w:rPr>
          <w:sz w:val="20"/>
          <w:szCs w:val="20"/>
        </w:rPr>
      </w:pPr>
      <w:r>
        <w:rPr>
          <w:rFonts w:ascii="Arial" w:eastAsia="Arial" w:hAnsi="Arial" w:cs="Arial"/>
          <w:i/>
          <w:iCs/>
          <w:sz w:val="20"/>
          <w:szCs w:val="20"/>
        </w:rPr>
        <w:t>Operating Activities</w:t>
      </w:r>
    </w:p>
    <w:p w:rsidR="000728AD" w:rsidRDefault="000728AD">
      <w:pPr>
        <w:spacing w:line="216" w:lineRule="exact"/>
        <w:rPr>
          <w:sz w:val="20"/>
          <w:szCs w:val="20"/>
        </w:rPr>
      </w:pPr>
    </w:p>
    <w:p w:rsidR="000728AD" w:rsidRDefault="000561BE">
      <w:pPr>
        <w:spacing w:line="250" w:lineRule="auto"/>
        <w:ind w:right="60"/>
        <w:rPr>
          <w:sz w:val="20"/>
          <w:szCs w:val="20"/>
        </w:rPr>
      </w:pPr>
      <w:r>
        <w:rPr>
          <w:rFonts w:ascii="Arial" w:eastAsia="Arial" w:hAnsi="Arial" w:cs="Arial"/>
          <w:sz w:val="20"/>
          <w:szCs w:val="20"/>
        </w:rPr>
        <w:t xml:space="preserve">During the six months ended June 30, 2021, operating activities used $28.4 million of cash, primarily resulting from a net loss of $31.1 million and changes in our operating assets and </w:t>
      </w:r>
      <w:r>
        <w:rPr>
          <w:rFonts w:ascii="Arial" w:eastAsia="Arial" w:hAnsi="Arial" w:cs="Arial"/>
          <w:sz w:val="20"/>
          <w:szCs w:val="20"/>
        </w:rPr>
        <w:t>liabilities of $1.2 million, both partially offset by non-cash charges of $4.0 million, including $3.1 million of stock-based compensation.</w:t>
      </w:r>
    </w:p>
    <w:p w:rsidR="000728AD" w:rsidRDefault="000728AD">
      <w:pPr>
        <w:spacing w:line="186" w:lineRule="exact"/>
        <w:rPr>
          <w:sz w:val="20"/>
          <w:szCs w:val="20"/>
        </w:rPr>
      </w:pPr>
    </w:p>
    <w:p w:rsidR="000728AD" w:rsidRDefault="000561BE">
      <w:pPr>
        <w:spacing w:line="250" w:lineRule="auto"/>
        <w:ind w:right="60"/>
        <w:rPr>
          <w:sz w:val="20"/>
          <w:szCs w:val="20"/>
        </w:rPr>
      </w:pPr>
      <w:r>
        <w:rPr>
          <w:rFonts w:ascii="Arial" w:eastAsia="Arial" w:hAnsi="Arial" w:cs="Arial"/>
          <w:sz w:val="20"/>
          <w:szCs w:val="20"/>
        </w:rPr>
        <w:t>During the six months ended June 30, 2020, operating activities used $29.0 million of cash, primarily resulting fro</w:t>
      </w:r>
      <w:r>
        <w:rPr>
          <w:rFonts w:ascii="Arial" w:eastAsia="Arial" w:hAnsi="Arial" w:cs="Arial"/>
          <w:sz w:val="20"/>
          <w:szCs w:val="20"/>
        </w:rPr>
        <w:t>m a net loss of $28.9 million and changes in our operating assets and liabilities of $4.2 million, both partially offset by non-cash charges of $4.1 million, including $3.6 million of stock-based compensation.</w:t>
      </w:r>
    </w:p>
    <w:p w:rsidR="000728AD" w:rsidRDefault="000728AD">
      <w:pPr>
        <w:spacing w:line="186" w:lineRule="exact"/>
        <w:rPr>
          <w:sz w:val="20"/>
          <w:szCs w:val="20"/>
        </w:rPr>
      </w:pPr>
    </w:p>
    <w:p w:rsidR="000728AD" w:rsidRDefault="000561BE">
      <w:pPr>
        <w:rPr>
          <w:sz w:val="20"/>
          <w:szCs w:val="20"/>
        </w:rPr>
      </w:pPr>
      <w:r>
        <w:rPr>
          <w:rFonts w:ascii="Arial" w:eastAsia="Arial" w:hAnsi="Arial" w:cs="Arial"/>
          <w:i/>
          <w:iCs/>
          <w:sz w:val="20"/>
          <w:szCs w:val="20"/>
        </w:rPr>
        <w:t>Investing Activities</w:t>
      </w:r>
    </w:p>
    <w:p w:rsidR="000728AD" w:rsidRDefault="000728AD">
      <w:pPr>
        <w:spacing w:line="216" w:lineRule="exact"/>
        <w:rPr>
          <w:sz w:val="20"/>
          <w:szCs w:val="20"/>
        </w:rPr>
      </w:pPr>
    </w:p>
    <w:p w:rsidR="000728AD" w:rsidRDefault="000561BE">
      <w:pPr>
        <w:spacing w:line="260" w:lineRule="auto"/>
        <w:ind w:right="220"/>
        <w:rPr>
          <w:sz w:val="20"/>
          <w:szCs w:val="20"/>
        </w:rPr>
      </w:pPr>
      <w:r>
        <w:rPr>
          <w:rFonts w:ascii="Arial" w:eastAsia="Arial" w:hAnsi="Arial" w:cs="Arial"/>
          <w:sz w:val="20"/>
          <w:szCs w:val="20"/>
        </w:rPr>
        <w:t>During the six months e</w:t>
      </w:r>
      <w:r>
        <w:rPr>
          <w:rFonts w:ascii="Arial" w:eastAsia="Arial" w:hAnsi="Arial" w:cs="Arial"/>
          <w:sz w:val="20"/>
          <w:szCs w:val="20"/>
        </w:rPr>
        <w:t>nded June 30, 2021, net cash used in investing activities consisted of purchases of marketable securities and capital equipment, which were partially offset by maturities of marketable securities.</w:t>
      </w:r>
    </w:p>
    <w:p w:rsidR="000728AD" w:rsidRDefault="000728AD">
      <w:pPr>
        <w:spacing w:line="177" w:lineRule="exact"/>
        <w:rPr>
          <w:sz w:val="20"/>
          <w:szCs w:val="20"/>
        </w:rPr>
      </w:pPr>
    </w:p>
    <w:p w:rsidR="000728AD" w:rsidRDefault="000561BE">
      <w:pPr>
        <w:rPr>
          <w:sz w:val="20"/>
          <w:szCs w:val="20"/>
        </w:rPr>
      </w:pPr>
      <w:r>
        <w:rPr>
          <w:rFonts w:ascii="Arial" w:eastAsia="Arial" w:hAnsi="Arial" w:cs="Arial"/>
          <w:sz w:val="19"/>
          <w:szCs w:val="19"/>
        </w:rPr>
        <w:t>During the six months ended June 30, 2020, net cash used i</w:t>
      </w:r>
      <w:r>
        <w:rPr>
          <w:rFonts w:ascii="Arial" w:eastAsia="Arial" w:hAnsi="Arial" w:cs="Arial"/>
          <w:sz w:val="19"/>
          <w:szCs w:val="19"/>
        </w:rPr>
        <w:t>n investing activities consisted of the purchase of capital equipment.</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24" w:lineRule="exact"/>
        <w:rPr>
          <w:sz w:val="20"/>
          <w:szCs w:val="20"/>
        </w:rPr>
      </w:pPr>
    </w:p>
    <w:p w:rsidR="000728AD" w:rsidRDefault="000561BE">
      <w:pPr>
        <w:jc w:val="center"/>
        <w:rPr>
          <w:sz w:val="20"/>
          <w:szCs w:val="20"/>
        </w:rPr>
      </w:pPr>
      <w:r>
        <w:rPr>
          <w:rFonts w:ascii="Arial" w:eastAsia="Arial" w:hAnsi="Arial" w:cs="Arial"/>
          <w:sz w:val="18"/>
          <w:szCs w:val="18"/>
        </w:rPr>
        <w:t>28</w:t>
      </w:r>
    </w:p>
    <w:p w:rsidR="000728AD" w:rsidRDefault="000561BE">
      <w:pPr>
        <w:spacing w:line="20" w:lineRule="exact"/>
        <w:rPr>
          <w:sz w:val="20"/>
          <w:szCs w:val="20"/>
        </w:rPr>
      </w:pPr>
      <w:r>
        <w:rPr>
          <w:noProof/>
          <w:sz w:val="20"/>
          <w:szCs w:val="20"/>
        </w:rPr>
        <w:drawing>
          <wp:anchor distT="0" distB="0" distL="114300" distR="114300" simplePos="0" relativeHeight="251636736"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29" w:name="page29"/>
    <w:bookmarkEnd w:id="29"/>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rPr>
          <w:sz w:val="20"/>
          <w:szCs w:val="20"/>
        </w:rPr>
      </w:pPr>
      <w:r>
        <w:rPr>
          <w:rFonts w:ascii="Arial" w:eastAsia="Arial" w:hAnsi="Arial" w:cs="Arial"/>
          <w:i/>
          <w:iCs/>
          <w:sz w:val="20"/>
          <w:szCs w:val="20"/>
        </w:rPr>
        <w:t>Financing Activities</w:t>
      </w:r>
    </w:p>
    <w:p w:rsidR="000728AD" w:rsidRDefault="000728AD">
      <w:pPr>
        <w:spacing w:line="216" w:lineRule="exact"/>
        <w:rPr>
          <w:sz w:val="20"/>
          <w:szCs w:val="20"/>
        </w:rPr>
      </w:pPr>
    </w:p>
    <w:p w:rsidR="000728AD" w:rsidRDefault="000561BE">
      <w:pPr>
        <w:spacing w:line="260" w:lineRule="auto"/>
        <w:rPr>
          <w:sz w:val="20"/>
          <w:szCs w:val="20"/>
        </w:rPr>
      </w:pPr>
      <w:r>
        <w:rPr>
          <w:rFonts w:ascii="Arial" w:eastAsia="Arial" w:hAnsi="Arial" w:cs="Arial"/>
          <w:sz w:val="20"/>
          <w:szCs w:val="20"/>
        </w:rPr>
        <w:t xml:space="preserve">During the six months ended June 30, 2021, net cash provided by financing </w:t>
      </w:r>
      <w:r>
        <w:rPr>
          <w:rFonts w:ascii="Arial" w:eastAsia="Arial" w:hAnsi="Arial" w:cs="Arial"/>
          <w:sz w:val="20"/>
          <w:szCs w:val="20"/>
        </w:rPr>
        <w:t>activities consisted of net proceeds from the issuance of common stock, which were partially offset by payments for leased capital equipment.</w:t>
      </w:r>
    </w:p>
    <w:p w:rsidR="000728AD" w:rsidRDefault="000728AD">
      <w:pPr>
        <w:spacing w:line="177" w:lineRule="exact"/>
        <w:rPr>
          <w:sz w:val="20"/>
          <w:szCs w:val="20"/>
        </w:rPr>
      </w:pPr>
    </w:p>
    <w:p w:rsidR="000728AD" w:rsidRDefault="000561BE">
      <w:pPr>
        <w:spacing w:line="260" w:lineRule="auto"/>
        <w:rPr>
          <w:sz w:val="20"/>
          <w:szCs w:val="20"/>
        </w:rPr>
      </w:pPr>
      <w:r>
        <w:rPr>
          <w:rFonts w:ascii="Arial" w:eastAsia="Arial" w:hAnsi="Arial" w:cs="Arial"/>
          <w:sz w:val="20"/>
          <w:szCs w:val="20"/>
        </w:rPr>
        <w:t>During the six months ended June 30, 2020, net cash provided by financing activities consisted of net proceeds fr</w:t>
      </w:r>
      <w:r>
        <w:rPr>
          <w:rFonts w:ascii="Arial" w:eastAsia="Arial" w:hAnsi="Arial" w:cs="Arial"/>
          <w:sz w:val="20"/>
          <w:szCs w:val="20"/>
        </w:rPr>
        <w:t>om the issuance of common stock.</w:t>
      </w:r>
    </w:p>
    <w:p w:rsidR="000728AD" w:rsidRDefault="000728AD">
      <w:pPr>
        <w:spacing w:line="177" w:lineRule="exact"/>
        <w:rPr>
          <w:sz w:val="20"/>
          <w:szCs w:val="20"/>
        </w:rPr>
      </w:pPr>
    </w:p>
    <w:p w:rsidR="000728AD" w:rsidRDefault="000561BE">
      <w:pPr>
        <w:rPr>
          <w:sz w:val="20"/>
          <w:szCs w:val="20"/>
        </w:rPr>
      </w:pPr>
      <w:r>
        <w:rPr>
          <w:rFonts w:ascii="Arial" w:eastAsia="Arial" w:hAnsi="Arial" w:cs="Arial"/>
          <w:b/>
          <w:bCs/>
          <w:i/>
          <w:iCs/>
          <w:sz w:val="20"/>
          <w:szCs w:val="20"/>
        </w:rPr>
        <w:t>Loan and Security Agreement</w:t>
      </w:r>
    </w:p>
    <w:p w:rsidR="000728AD" w:rsidRDefault="000728AD">
      <w:pPr>
        <w:spacing w:line="216" w:lineRule="exact"/>
        <w:rPr>
          <w:sz w:val="20"/>
          <w:szCs w:val="20"/>
        </w:rPr>
      </w:pPr>
    </w:p>
    <w:p w:rsidR="000728AD" w:rsidRDefault="000561BE">
      <w:pPr>
        <w:spacing w:line="257" w:lineRule="auto"/>
        <w:rPr>
          <w:sz w:val="20"/>
          <w:szCs w:val="20"/>
        </w:rPr>
      </w:pPr>
      <w:r>
        <w:rPr>
          <w:rFonts w:ascii="Arial" w:eastAsia="Arial" w:hAnsi="Arial" w:cs="Arial"/>
          <w:sz w:val="19"/>
          <w:szCs w:val="19"/>
        </w:rPr>
        <w:t xml:space="preserve">At June 30, 2021, we had $26.0 million in outstanding long-term debt pursuant to our loan and security agreement, of which $5.8 million is current. In accordance with the most recent amendment </w:t>
      </w:r>
      <w:r>
        <w:rPr>
          <w:rFonts w:ascii="Arial" w:eastAsia="Arial" w:hAnsi="Arial" w:cs="Arial"/>
          <w:sz w:val="19"/>
          <w:szCs w:val="19"/>
        </w:rPr>
        <w:t>of the loan and security agreement, the interest-only period was extended through April 31, 2022 as we achieved all regulatory and clinical milestones. Monthly principal payments of $2.9 million will commence May 1, 2022 for 9 months as the loan matures on</w:t>
      </w:r>
      <w:r>
        <w:rPr>
          <w:rFonts w:ascii="Arial" w:eastAsia="Arial" w:hAnsi="Arial" w:cs="Arial"/>
          <w:sz w:val="19"/>
          <w:szCs w:val="19"/>
        </w:rPr>
        <w:t xml:space="preserve"> January 1, 2023. The terminal interest fee of 6.35%, or $1.7 million, is due with the final principal payment of the loan. We granted the lender a first priority security interest in all of our assets, excluding intellectual property and granted a negativ</w:t>
      </w:r>
      <w:r>
        <w:rPr>
          <w:rFonts w:ascii="Arial" w:eastAsia="Arial" w:hAnsi="Arial" w:cs="Arial"/>
          <w:sz w:val="19"/>
          <w:szCs w:val="19"/>
        </w:rPr>
        <w:t>e pledge on such intellectual property. There are no financial covenants under our loan and security agreement; however, we adhere to non-financial covenants under our loan and security agreement.</w:t>
      </w:r>
    </w:p>
    <w:p w:rsidR="000728AD" w:rsidRDefault="000728AD">
      <w:pPr>
        <w:spacing w:line="185" w:lineRule="exact"/>
        <w:rPr>
          <w:sz w:val="20"/>
          <w:szCs w:val="20"/>
        </w:rPr>
      </w:pPr>
    </w:p>
    <w:p w:rsidR="000728AD" w:rsidRDefault="000561BE">
      <w:pPr>
        <w:rPr>
          <w:sz w:val="20"/>
          <w:szCs w:val="20"/>
        </w:rPr>
      </w:pPr>
      <w:r>
        <w:rPr>
          <w:rFonts w:ascii="Arial" w:eastAsia="Arial" w:hAnsi="Arial" w:cs="Arial"/>
          <w:b/>
          <w:bCs/>
          <w:i/>
          <w:iCs/>
          <w:sz w:val="20"/>
          <w:szCs w:val="20"/>
        </w:rPr>
        <w:t>Funding Requirements</w:t>
      </w:r>
    </w:p>
    <w:p w:rsidR="000728AD" w:rsidRDefault="000728AD">
      <w:pPr>
        <w:spacing w:line="216" w:lineRule="exact"/>
        <w:rPr>
          <w:sz w:val="20"/>
          <w:szCs w:val="20"/>
        </w:rPr>
      </w:pPr>
    </w:p>
    <w:p w:rsidR="000728AD" w:rsidRDefault="000561BE">
      <w:pPr>
        <w:spacing w:line="255" w:lineRule="auto"/>
        <w:ind w:right="60"/>
        <w:rPr>
          <w:sz w:val="20"/>
          <w:szCs w:val="20"/>
        </w:rPr>
      </w:pPr>
      <w:r>
        <w:rPr>
          <w:rFonts w:ascii="Arial" w:eastAsia="Arial" w:hAnsi="Arial" w:cs="Arial"/>
          <w:sz w:val="19"/>
          <w:szCs w:val="19"/>
        </w:rPr>
        <w:t>We expect our expenses to increase s</w:t>
      </w:r>
      <w:r>
        <w:rPr>
          <w:rFonts w:ascii="Arial" w:eastAsia="Arial" w:hAnsi="Arial" w:cs="Arial"/>
          <w:sz w:val="19"/>
          <w:szCs w:val="19"/>
        </w:rPr>
        <w:t>ubstantially in connection with our ongoing activities, particularly as we advance existing product candidates, AXA1125 and AXA1665, and develop new clinical and pre-clinical programs. Our cash requirements depend on numerous factors, including, without li</w:t>
      </w:r>
      <w:r>
        <w:rPr>
          <w:rFonts w:ascii="Arial" w:eastAsia="Arial" w:hAnsi="Arial" w:cs="Arial"/>
          <w:sz w:val="19"/>
          <w:szCs w:val="19"/>
        </w:rPr>
        <w:t>mitation, expenditures in connection with our research and development programs, including with respect to the timing and progress of Clinical Trials, Clinical Studies and preclinical development activities; payments to CROs, CMOs and other third-party pro</w:t>
      </w:r>
      <w:r>
        <w:rPr>
          <w:rFonts w:ascii="Arial" w:eastAsia="Arial" w:hAnsi="Arial" w:cs="Arial"/>
          <w:sz w:val="19"/>
          <w:szCs w:val="19"/>
        </w:rPr>
        <w:t>viders; the cost of filing, prosecuting, defending and enforcing patent claims and other intellectual property rights; our ability to raise additional equity or debt financing; potential repayments of our long-term debt; and our ability to enter into colla</w:t>
      </w:r>
      <w:r>
        <w:rPr>
          <w:rFonts w:ascii="Arial" w:eastAsia="Arial" w:hAnsi="Arial" w:cs="Arial"/>
          <w:sz w:val="19"/>
          <w:szCs w:val="19"/>
        </w:rPr>
        <w:t>boration or license agreements and our receipt of any upfront, milestone or other payments thereunder. Changes in our research and development plans or other changes affecting our operating expenses may result in changes in the timing and amount of expendi</w:t>
      </w:r>
      <w:r>
        <w:rPr>
          <w:rFonts w:ascii="Arial" w:eastAsia="Arial" w:hAnsi="Arial" w:cs="Arial"/>
          <w:sz w:val="19"/>
          <w:szCs w:val="19"/>
        </w:rPr>
        <w:t>tures of our capital resources. See “Risk Factors” for further discussion of these and additional risks and uncertainties that may significantly affect the timing and amount of expenditures of our capital resources.</w:t>
      </w:r>
    </w:p>
    <w:p w:rsidR="000728AD" w:rsidRDefault="000728AD">
      <w:pPr>
        <w:spacing w:line="190" w:lineRule="exact"/>
        <w:rPr>
          <w:sz w:val="20"/>
          <w:szCs w:val="20"/>
        </w:rPr>
      </w:pPr>
    </w:p>
    <w:p w:rsidR="000728AD" w:rsidRDefault="000561BE">
      <w:pPr>
        <w:spacing w:line="257" w:lineRule="auto"/>
        <w:rPr>
          <w:sz w:val="20"/>
          <w:szCs w:val="20"/>
        </w:rPr>
      </w:pPr>
      <w:r>
        <w:rPr>
          <w:rFonts w:ascii="Arial" w:eastAsia="Arial" w:hAnsi="Arial" w:cs="Arial"/>
          <w:sz w:val="19"/>
          <w:szCs w:val="19"/>
        </w:rPr>
        <w:t xml:space="preserve">We will need substantial </w:t>
      </w:r>
      <w:r>
        <w:rPr>
          <w:rFonts w:ascii="Arial" w:eastAsia="Arial" w:hAnsi="Arial" w:cs="Arial"/>
          <w:sz w:val="19"/>
          <w:szCs w:val="19"/>
        </w:rPr>
        <w:t xml:space="preserve">additional funding to support our continuing operations and pursue our growth strategy. Until such time as we can generate significant revenue from product sales, if ever, we expect to finance our operations through a combination of equity offerings, debt </w:t>
      </w:r>
      <w:r>
        <w:rPr>
          <w:rFonts w:ascii="Arial" w:eastAsia="Arial" w:hAnsi="Arial" w:cs="Arial"/>
          <w:sz w:val="19"/>
          <w:szCs w:val="19"/>
        </w:rPr>
        <w:t>re-financings, collaboration agreements, strategic alliances and licensing arrangements. We may be unable to raise additional funds or enter into such other agreements or arrangements when needed on favorable terms, or at all, including as a result of mark</w:t>
      </w:r>
      <w:r>
        <w:rPr>
          <w:rFonts w:ascii="Arial" w:eastAsia="Arial" w:hAnsi="Arial" w:cs="Arial"/>
          <w:sz w:val="19"/>
          <w:szCs w:val="19"/>
        </w:rPr>
        <w:t>et volatility following the COVID-19 pandemic. If we fail to raise capital or enter into such agreements as, and when, needed, we may have to significantly delay, scale back or discontinue the development and commercialization of one or more of our product</w:t>
      </w:r>
      <w:r>
        <w:rPr>
          <w:rFonts w:ascii="Arial" w:eastAsia="Arial" w:hAnsi="Arial" w:cs="Arial"/>
          <w:sz w:val="19"/>
          <w:szCs w:val="19"/>
        </w:rPr>
        <w:t xml:space="preserve"> candidates or delay our pursuit of potential in-licenses or acquisitions. We also intend to continue to evaluate options to refinance our outstanding long-term debt. The amounts involved in any such transactions, individually or in the aggregate, may be m</w:t>
      </w:r>
      <w:r>
        <w:rPr>
          <w:rFonts w:ascii="Arial" w:eastAsia="Arial" w:hAnsi="Arial" w:cs="Arial"/>
          <w:sz w:val="19"/>
          <w:szCs w:val="19"/>
        </w:rPr>
        <w:t>aterial.</w:t>
      </w:r>
    </w:p>
    <w:p w:rsidR="000728AD" w:rsidRDefault="000728AD">
      <w:pPr>
        <w:spacing w:line="200" w:lineRule="exact"/>
        <w:rPr>
          <w:sz w:val="20"/>
          <w:szCs w:val="20"/>
        </w:rPr>
      </w:pPr>
    </w:p>
    <w:p w:rsidR="000728AD" w:rsidRDefault="000728AD">
      <w:pPr>
        <w:spacing w:line="361" w:lineRule="exact"/>
        <w:rPr>
          <w:sz w:val="20"/>
          <w:szCs w:val="20"/>
        </w:rPr>
      </w:pPr>
    </w:p>
    <w:p w:rsidR="000728AD" w:rsidRDefault="000561BE">
      <w:pPr>
        <w:ind w:right="-39"/>
        <w:jc w:val="center"/>
        <w:rPr>
          <w:sz w:val="20"/>
          <w:szCs w:val="20"/>
        </w:rPr>
      </w:pPr>
      <w:r>
        <w:rPr>
          <w:rFonts w:ascii="Arial" w:eastAsia="Arial" w:hAnsi="Arial" w:cs="Arial"/>
          <w:sz w:val="18"/>
          <w:szCs w:val="18"/>
        </w:rPr>
        <w:t>29</w:t>
      </w:r>
    </w:p>
    <w:p w:rsidR="000728AD" w:rsidRDefault="000561BE">
      <w:pPr>
        <w:spacing w:line="20" w:lineRule="exact"/>
        <w:rPr>
          <w:sz w:val="20"/>
          <w:szCs w:val="20"/>
        </w:rPr>
      </w:pPr>
      <w:r>
        <w:rPr>
          <w:noProof/>
          <w:sz w:val="20"/>
          <w:szCs w:val="20"/>
        </w:rPr>
        <w:drawing>
          <wp:anchor distT="0" distB="0" distL="114300" distR="114300" simplePos="0" relativeHeight="251637760"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79" w:bottom="1440" w:left="320" w:header="0" w:footer="0" w:gutter="0"/>
          <w:cols w:space="720" w:equalWidth="0">
            <w:col w:w="11200"/>
          </w:cols>
        </w:sectPr>
      </w:pPr>
    </w:p>
    <w:bookmarkStart w:id="30" w:name="page30"/>
    <w:bookmarkEnd w:id="30"/>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11" w:lineRule="exact"/>
        <w:rPr>
          <w:sz w:val="20"/>
          <w:szCs w:val="20"/>
        </w:rPr>
      </w:pPr>
    </w:p>
    <w:p w:rsidR="000728AD" w:rsidRDefault="000561BE">
      <w:pPr>
        <w:rPr>
          <w:sz w:val="20"/>
          <w:szCs w:val="20"/>
        </w:rPr>
      </w:pPr>
      <w:r>
        <w:rPr>
          <w:rFonts w:ascii="Arial" w:eastAsia="Arial" w:hAnsi="Arial" w:cs="Arial"/>
          <w:b/>
          <w:bCs/>
          <w:sz w:val="20"/>
          <w:szCs w:val="20"/>
        </w:rPr>
        <w:t>Critical Accounting Policies and Use of Estimates</w:t>
      </w:r>
    </w:p>
    <w:p w:rsidR="000728AD" w:rsidRDefault="000728AD">
      <w:pPr>
        <w:spacing w:line="222" w:lineRule="exact"/>
        <w:rPr>
          <w:sz w:val="20"/>
          <w:szCs w:val="20"/>
        </w:rPr>
      </w:pPr>
    </w:p>
    <w:p w:rsidR="000728AD" w:rsidRDefault="000561BE">
      <w:pPr>
        <w:spacing w:line="272" w:lineRule="auto"/>
        <w:rPr>
          <w:sz w:val="20"/>
          <w:szCs w:val="20"/>
        </w:rPr>
      </w:pPr>
      <w:r>
        <w:rPr>
          <w:rFonts w:ascii="Arial" w:eastAsia="Arial" w:hAnsi="Arial" w:cs="Arial"/>
          <w:sz w:val="18"/>
          <w:szCs w:val="18"/>
        </w:rPr>
        <w:t xml:space="preserve">Our management's discussion and analysis of our financial condition and results of operations are based on our </w:t>
      </w:r>
      <w:r>
        <w:rPr>
          <w:rFonts w:ascii="Arial" w:eastAsia="Arial" w:hAnsi="Arial" w:cs="Arial"/>
          <w:sz w:val="18"/>
          <w:szCs w:val="18"/>
        </w:rPr>
        <w:t>financial statements, which have been prepared in accordance with U.S. generally accepted accounting principles. The preparation of these financial statements requires us to make judgments and estimates that affect the reported amounts of assets, liabiliti</w:t>
      </w:r>
      <w:r>
        <w:rPr>
          <w:rFonts w:ascii="Arial" w:eastAsia="Arial" w:hAnsi="Arial" w:cs="Arial"/>
          <w:sz w:val="18"/>
          <w:szCs w:val="18"/>
        </w:rPr>
        <w:t xml:space="preserve">es, revenues, and expenses and the disclosure of contingent assets and liabilities in our financial statements. We base our estimates on historical experience, known trends and events, and various other factors that are believed to be reasonable under the </w:t>
      </w:r>
      <w:r>
        <w:rPr>
          <w:rFonts w:ascii="Arial" w:eastAsia="Arial" w:hAnsi="Arial" w:cs="Arial"/>
          <w:sz w:val="18"/>
          <w:szCs w:val="18"/>
        </w:rPr>
        <w:t>circumstances. Actual results may differ from these estimates under different assumptions or conditions. On an ongoing basis, we evaluate our judgments and estimates in light of changes in circumstances, facts and experience. The effects of material revisi</w:t>
      </w:r>
      <w:r>
        <w:rPr>
          <w:rFonts w:ascii="Arial" w:eastAsia="Arial" w:hAnsi="Arial" w:cs="Arial"/>
          <w:sz w:val="18"/>
          <w:szCs w:val="18"/>
        </w:rPr>
        <w:t>ons in estimates, if any, will be reflected in the financial statements prospectively from the date of change in estimates. There have been no material changes to our critical accounting policies as reported in our Annual Report on Form 10-K for the year e</w:t>
      </w:r>
      <w:r>
        <w:rPr>
          <w:rFonts w:ascii="Arial" w:eastAsia="Arial" w:hAnsi="Arial" w:cs="Arial"/>
          <w:sz w:val="18"/>
          <w:szCs w:val="18"/>
        </w:rPr>
        <w:t>nded December 31, 2020, which was filed with the SEC on March 17, 2021.</w:t>
      </w:r>
    </w:p>
    <w:p w:rsidR="000728AD" w:rsidRDefault="000728AD">
      <w:pPr>
        <w:spacing w:line="164" w:lineRule="exact"/>
        <w:rPr>
          <w:sz w:val="20"/>
          <w:szCs w:val="20"/>
        </w:rPr>
      </w:pPr>
    </w:p>
    <w:p w:rsidR="000728AD" w:rsidRDefault="000561BE">
      <w:pPr>
        <w:rPr>
          <w:sz w:val="20"/>
          <w:szCs w:val="20"/>
        </w:rPr>
      </w:pPr>
      <w:r>
        <w:rPr>
          <w:rFonts w:ascii="Arial" w:eastAsia="Arial" w:hAnsi="Arial" w:cs="Arial"/>
          <w:b/>
          <w:bCs/>
          <w:sz w:val="20"/>
          <w:szCs w:val="20"/>
        </w:rPr>
        <w:t>Off-Balance Sheet Arrangements</w:t>
      </w:r>
    </w:p>
    <w:p w:rsidR="000728AD" w:rsidRDefault="000728AD">
      <w:pPr>
        <w:spacing w:line="222" w:lineRule="exact"/>
        <w:rPr>
          <w:sz w:val="20"/>
          <w:szCs w:val="20"/>
        </w:rPr>
      </w:pPr>
    </w:p>
    <w:p w:rsidR="000728AD" w:rsidRDefault="000561BE">
      <w:pPr>
        <w:spacing w:line="260" w:lineRule="auto"/>
        <w:ind w:right="420"/>
        <w:rPr>
          <w:sz w:val="20"/>
          <w:szCs w:val="20"/>
        </w:rPr>
      </w:pPr>
      <w:r>
        <w:rPr>
          <w:rFonts w:ascii="Arial" w:eastAsia="Arial" w:hAnsi="Arial" w:cs="Arial"/>
          <w:sz w:val="20"/>
          <w:szCs w:val="20"/>
        </w:rPr>
        <w:t>We did not have during the periods presented, and we do not have, any off-balance sheet arrangements, as defined under applicable SEC rules and regulat</w:t>
      </w:r>
      <w:r>
        <w:rPr>
          <w:rFonts w:ascii="Arial" w:eastAsia="Arial" w:hAnsi="Arial" w:cs="Arial"/>
          <w:sz w:val="20"/>
          <w:szCs w:val="20"/>
        </w:rPr>
        <w:t>ions.</w:t>
      </w:r>
    </w:p>
    <w:p w:rsidR="000728AD" w:rsidRDefault="000728AD">
      <w:pPr>
        <w:spacing w:line="171" w:lineRule="exact"/>
        <w:rPr>
          <w:sz w:val="20"/>
          <w:szCs w:val="20"/>
        </w:rPr>
      </w:pPr>
    </w:p>
    <w:p w:rsidR="000728AD" w:rsidRDefault="000561BE">
      <w:pPr>
        <w:rPr>
          <w:sz w:val="20"/>
          <w:szCs w:val="20"/>
        </w:rPr>
      </w:pPr>
      <w:r>
        <w:rPr>
          <w:rFonts w:ascii="Arial" w:eastAsia="Arial" w:hAnsi="Arial" w:cs="Arial"/>
          <w:b/>
          <w:bCs/>
          <w:sz w:val="20"/>
          <w:szCs w:val="20"/>
        </w:rPr>
        <w:t>Recently Issued Accounting Pronouncements</w:t>
      </w:r>
    </w:p>
    <w:p w:rsidR="000728AD" w:rsidRDefault="000728AD">
      <w:pPr>
        <w:spacing w:line="222" w:lineRule="exact"/>
        <w:rPr>
          <w:sz w:val="20"/>
          <w:szCs w:val="20"/>
        </w:rPr>
      </w:pPr>
    </w:p>
    <w:p w:rsidR="000728AD" w:rsidRDefault="000561BE">
      <w:pPr>
        <w:spacing w:line="316" w:lineRule="auto"/>
        <w:ind w:right="300"/>
        <w:rPr>
          <w:sz w:val="20"/>
          <w:szCs w:val="20"/>
        </w:rPr>
      </w:pPr>
      <w:r>
        <w:rPr>
          <w:rFonts w:ascii="Arial" w:eastAsia="Arial" w:hAnsi="Arial" w:cs="Arial"/>
          <w:sz w:val="18"/>
          <w:szCs w:val="18"/>
        </w:rPr>
        <w:t xml:space="preserve">A description of recently issued accounting pronouncements that may potentially impact our financial position and results of operations is disclosed in Note 2 to our condensed consolidated </w:t>
      </w:r>
      <w:r>
        <w:rPr>
          <w:rFonts w:ascii="Arial" w:eastAsia="Arial" w:hAnsi="Arial" w:cs="Arial"/>
          <w:sz w:val="18"/>
          <w:szCs w:val="18"/>
        </w:rPr>
        <w:t>financial statements appearing elsewhere in this Quarterly Report.</w:t>
      </w:r>
    </w:p>
    <w:p w:rsidR="000728AD" w:rsidRDefault="000728AD">
      <w:pPr>
        <w:spacing w:line="124" w:lineRule="exact"/>
        <w:rPr>
          <w:sz w:val="20"/>
          <w:szCs w:val="20"/>
        </w:rPr>
      </w:pPr>
    </w:p>
    <w:p w:rsidR="000728AD" w:rsidRDefault="000561BE">
      <w:pPr>
        <w:rPr>
          <w:sz w:val="20"/>
          <w:szCs w:val="20"/>
        </w:rPr>
      </w:pPr>
      <w:r>
        <w:rPr>
          <w:rFonts w:ascii="Arial" w:eastAsia="Arial" w:hAnsi="Arial" w:cs="Arial"/>
          <w:b/>
          <w:bCs/>
          <w:sz w:val="20"/>
          <w:szCs w:val="20"/>
        </w:rPr>
        <w:t>Emerging Growth Company Status</w:t>
      </w:r>
    </w:p>
    <w:p w:rsidR="000728AD" w:rsidRDefault="000728AD">
      <w:pPr>
        <w:spacing w:line="222" w:lineRule="exact"/>
        <w:rPr>
          <w:sz w:val="20"/>
          <w:szCs w:val="20"/>
        </w:rPr>
      </w:pPr>
    </w:p>
    <w:p w:rsidR="000728AD" w:rsidRDefault="000561BE">
      <w:pPr>
        <w:spacing w:line="271" w:lineRule="auto"/>
        <w:ind w:right="100"/>
        <w:rPr>
          <w:sz w:val="20"/>
          <w:szCs w:val="20"/>
        </w:rPr>
      </w:pPr>
      <w:r>
        <w:rPr>
          <w:rFonts w:ascii="Arial" w:eastAsia="Arial" w:hAnsi="Arial" w:cs="Arial"/>
          <w:sz w:val="18"/>
          <w:szCs w:val="18"/>
        </w:rPr>
        <w:t>We are an “emerging growth company,” as defined in the Jumpstart Our Business Startups Act of 2012, or the JOBS Act, and we may take advantage of certain ex</w:t>
      </w:r>
      <w:r>
        <w:rPr>
          <w:rFonts w:ascii="Arial" w:eastAsia="Arial" w:hAnsi="Arial" w:cs="Arial"/>
          <w:sz w:val="18"/>
          <w:szCs w:val="18"/>
        </w:rPr>
        <w:t>emptions from various reporting requirements that are applicable to other public companies that are not emerging growth companies. We may take advantage of these exemptions until we are no longer an emerging growth company. Section 107 of the JOBS Act prov</w:t>
      </w:r>
      <w:r>
        <w:rPr>
          <w:rFonts w:ascii="Arial" w:eastAsia="Arial" w:hAnsi="Arial" w:cs="Arial"/>
          <w:sz w:val="18"/>
          <w:szCs w:val="18"/>
        </w:rPr>
        <w:t>ides that an emerging growth company can take advantage of the extended transition period afforded by the JOBS Act for the implementation of new or revised accounting standards. We have elected to use the extended transition period for complying with new o</w:t>
      </w:r>
      <w:r>
        <w:rPr>
          <w:rFonts w:ascii="Arial" w:eastAsia="Arial" w:hAnsi="Arial" w:cs="Arial"/>
          <w:sz w:val="18"/>
          <w:szCs w:val="18"/>
        </w:rPr>
        <w:t>r revised accounting standards and, as a result of this election, our financial statements may not be comparable to companies that comply with public company effective dates. We may take advantage of these exemptions up until the last day of the fiscal yea</w:t>
      </w:r>
      <w:r>
        <w:rPr>
          <w:rFonts w:ascii="Arial" w:eastAsia="Arial" w:hAnsi="Arial" w:cs="Arial"/>
          <w:sz w:val="18"/>
          <w:szCs w:val="18"/>
        </w:rPr>
        <w:t>r following the fifth anniversary of our IPO or such earlier time that we are no longer an emerging growth company. We would cease to be an emerging growth company if we have more than $1.07 billion in annual revenue, we have more than $700.0 million in ma</w:t>
      </w:r>
      <w:r>
        <w:rPr>
          <w:rFonts w:ascii="Arial" w:eastAsia="Arial" w:hAnsi="Arial" w:cs="Arial"/>
          <w:sz w:val="18"/>
          <w:szCs w:val="18"/>
        </w:rPr>
        <w:t>rket value of our stock held by non-affiliates (and we have been a public company for at least 12 months and have filed one annual report on Form 10-K) or we issue more than $1.0 billion of non-convertible debt securities over a three-year period.</w:t>
      </w:r>
    </w:p>
    <w:p w:rsidR="000728AD" w:rsidRDefault="000728AD">
      <w:pPr>
        <w:spacing w:line="164" w:lineRule="exact"/>
        <w:rPr>
          <w:sz w:val="20"/>
          <w:szCs w:val="20"/>
        </w:rPr>
      </w:pPr>
    </w:p>
    <w:p w:rsidR="000728AD" w:rsidRDefault="000561BE">
      <w:pPr>
        <w:rPr>
          <w:sz w:val="20"/>
          <w:szCs w:val="20"/>
        </w:rPr>
      </w:pPr>
      <w:r>
        <w:rPr>
          <w:rFonts w:ascii="Arial" w:eastAsia="Arial" w:hAnsi="Arial" w:cs="Arial"/>
          <w:b/>
          <w:bCs/>
          <w:sz w:val="20"/>
          <w:szCs w:val="20"/>
        </w:rPr>
        <w:t>Item 3.</w:t>
      </w:r>
      <w:r>
        <w:rPr>
          <w:rFonts w:ascii="Arial" w:eastAsia="Arial" w:hAnsi="Arial" w:cs="Arial"/>
          <w:b/>
          <w:bCs/>
          <w:sz w:val="20"/>
          <w:szCs w:val="20"/>
        </w:rPr>
        <w:t xml:space="preserve"> Quantitative and Qualitative Disclosure About Market Risk</w:t>
      </w:r>
    </w:p>
    <w:p w:rsidR="000728AD" w:rsidRDefault="000728AD">
      <w:pPr>
        <w:spacing w:line="222" w:lineRule="exact"/>
        <w:rPr>
          <w:sz w:val="20"/>
          <w:szCs w:val="20"/>
        </w:rPr>
      </w:pPr>
    </w:p>
    <w:p w:rsidR="000728AD" w:rsidRDefault="000561BE">
      <w:pPr>
        <w:spacing w:line="260" w:lineRule="auto"/>
        <w:ind w:right="380"/>
        <w:rPr>
          <w:sz w:val="20"/>
          <w:szCs w:val="20"/>
        </w:rPr>
      </w:pPr>
      <w:r>
        <w:rPr>
          <w:rFonts w:ascii="Arial" w:eastAsia="Arial" w:hAnsi="Arial" w:cs="Arial"/>
          <w:sz w:val="20"/>
          <w:szCs w:val="20"/>
        </w:rPr>
        <w:t>We are a smaller reporting company as defined by Rule 12b-2 of the Securities Exchange Act of 1934 and are not required to provide the information under this item.</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73" w:lineRule="exact"/>
        <w:rPr>
          <w:sz w:val="20"/>
          <w:szCs w:val="20"/>
        </w:rPr>
      </w:pPr>
    </w:p>
    <w:p w:rsidR="000728AD" w:rsidRDefault="000561BE">
      <w:pPr>
        <w:ind w:right="-19"/>
        <w:jc w:val="center"/>
        <w:rPr>
          <w:sz w:val="20"/>
          <w:szCs w:val="20"/>
        </w:rPr>
      </w:pPr>
      <w:r>
        <w:rPr>
          <w:rFonts w:ascii="Arial" w:eastAsia="Arial" w:hAnsi="Arial" w:cs="Arial"/>
          <w:sz w:val="18"/>
          <w:szCs w:val="18"/>
        </w:rPr>
        <w:t>30</w:t>
      </w:r>
    </w:p>
    <w:p w:rsidR="000728AD" w:rsidRDefault="000561BE">
      <w:pPr>
        <w:spacing w:line="20" w:lineRule="exact"/>
        <w:rPr>
          <w:sz w:val="20"/>
          <w:szCs w:val="20"/>
        </w:rPr>
      </w:pPr>
      <w:r>
        <w:rPr>
          <w:noProof/>
          <w:sz w:val="20"/>
          <w:szCs w:val="20"/>
        </w:rPr>
        <w:drawing>
          <wp:anchor distT="0" distB="0" distL="114300" distR="114300" simplePos="0" relativeHeight="251638784"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31" w:name="page31"/>
    <w:bookmarkEnd w:id="31"/>
    <w:p w:rsidR="000728AD" w:rsidRDefault="000561BE">
      <w:pPr>
        <w:rPr>
          <w:rFonts w:ascii="Arial" w:eastAsia="Arial" w:hAnsi="Arial" w:cs="Arial"/>
          <w:color w:val="0000FF"/>
          <w:sz w:val="18"/>
          <w:szCs w:val="18"/>
          <w:u w:val="single"/>
        </w:rPr>
      </w:pPr>
      <w:r>
        <w:lastRenderedPageBreak/>
        <w:fldChar w:fldCharType="begin"/>
      </w:r>
      <w:r>
        <w:instrText xml:space="preserve"> H</w:instrText>
      </w:r>
      <w:r>
        <w:instrText xml:space="preserve">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11" w:lineRule="exact"/>
        <w:rPr>
          <w:sz w:val="20"/>
          <w:szCs w:val="20"/>
        </w:rPr>
      </w:pPr>
    </w:p>
    <w:p w:rsidR="000728AD" w:rsidRDefault="000561BE">
      <w:pPr>
        <w:rPr>
          <w:sz w:val="20"/>
          <w:szCs w:val="20"/>
        </w:rPr>
      </w:pPr>
      <w:r>
        <w:rPr>
          <w:rFonts w:ascii="Arial" w:eastAsia="Arial" w:hAnsi="Arial" w:cs="Arial"/>
          <w:b/>
          <w:bCs/>
          <w:sz w:val="20"/>
          <w:szCs w:val="20"/>
        </w:rPr>
        <w:t>Item 4. Controls and Procedures</w:t>
      </w:r>
    </w:p>
    <w:p w:rsidR="000728AD" w:rsidRDefault="000728AD">
      <w:pPr>
        <w:spacing w:line="216" w:lineRule="exact"/>
        <w:rPr>
          <w:sz w:val="20"/>
          <w:szCs w:val="20"/>
        </w:rPr>
      </w:pPr>
    </w:p>
    <w:p w:rsidR="000728AD" w:rsidRDefault="000561BE">
      <w:pPr>
        <w:rPr>
          <w:sz w:val="20"/>
          <w:szCs w:val="20"/>
        </w:rPr>
      </w:pPr>
      <w:r>
        <w:rPr>
          <w:rFonts w:ascii="Arial" w:eastAsia="Arial" w:hAnsi="Arial" w:cs="Arial"/>
          <w:b/>
          <w:bCs/>
          <w:sz w:val="20"/>
          <w:szCs w:val="20"/>
        </w:rPr>
        <w:t>Evaluation of Disclosure Controls and Procedures</w:t>
      </w:r>
    </w:p>
    <w:p w:rsidR="000728AD" w:rsidRDefault="000728AD">
      <w:pPr>
        <w:spacing w:line="222" w:lineRule="exact"/>
        <w:rPr>
          <w:sz w:val="20"/>
          <w:szCs w:val="20"/>
        </w:rPr>
      </w:pPr>
    </w:p>
    <w:p w:rsidR="000728AD" w:rsidRDefault="000561BE">
      <w:pPr>
        <w:spacing w:line="255" w:lineRule="auto"/>
        <w:ind w:right="80"/>
        <w:rPr>
          <w:sz w:val="20"/>
          <w:szCs w:val="20"/>
        </w:rPr>
      </w:pPr>
      <w:r>
        <w:rPr>
          <w:rFonts w:ascii="Arial" w:eastAsia="Arial" w:hAnsi="Arial" w:cs="Arial"/>
          <w:sz w:val="19"/>
          <w:szCs w:val="19"/>
        </w:rPr>
        <w:t xml:space="preserve">Our management, with the participation of our Chief Executive Officer and Chief Financial Officer, evaluated the </w:t>
      </w:r>
      <w:r>
        <w:rPr>
          <w:rFonts w:ascii="Arial" w:eastAsia="Arial" w:hAnsi="Arial" w:cs="Arial"/>
          <w:sz w:val="19"/>
          <w:szCs w:val="19"/>
        </w:rPr>
        <w:t>effectiveness of our disclosure controls and procedures (as defined in Rules 13a-15(e) and 15d-15(e) of the Securities Exchange Act of 1934, as amended, or the Exchange Act) as of June 30, 2021. Based on that evaluation, our Chief Executive Officer and Chi</w:t>
      </w:r>
      <w:r>
        <w:rPr>
          <w:rFonts w:ascii="Arial" w:eastAsia="Arial" w:hAnsi="Arial" w:cs="Arial"/>
          <w:sz w:val="19"/>
          <w:szCs w:val="19"/>
        </w:rPr>
        <w:t>ef Financial Officer concluded that our disclosure controls and procedures as of June 30, 2021 were effective at a reasonable assurance level in ensuring that information required to be disclosed by us in reports that we file or submit under the Exchange A</w:t>
      </w:r>
      <w:r>
        <w:rPr>
          <w:rFonts w:ascii="Arial" w:eastAsia="Arial" w:hAnsi="Arial" w:cs="Arial"/>
          <w:sz w:val="19"/>
          <w:szCs w:val="19"/>
        </w:rPr>
        <w:t>ct (i) is recorded, processed, summarized and reported within the time periods specified in the SEC’s rules and forms; and (ii) accumulated and communicated to management, including our Chief Executive Officer and Chief Financial Officer, as appropriate, t</w:t>
      </w:r>
      <w:r>
        <w:rPr>
          <w:rFonts w:ascii="Arial" w:eastAsia="Arial" w:hAnsi="Arial" w:cs="Arial"/>
          <w:sz w:val="19"/>
          <w:szCs w:val="19"/>
        </w:rPr>
        <w:t>o allow timely discussions regarding required disclosure. We believe that a control system, no matter how well designed and operated, cannot provide absolute assurance that the objectives of the control system are met, and no evaluation of controls can pro</w:t>
      </w:r>
      <w:r>
        <w:rPr>
          <w:rFonts w:ascii="Arial" w:eastAsia="Arial" w:hAnsi="Arial" w:cs="Arial"/>
          <w:sz w:val="19"/>
          <w:szCs w:val="19"/>
        </w:rPr>
        <w:t>vide absolute assurance that all control issues and instances of fraud, if any, within a company have been detected.</w:t>
      </w:r>
    </w:p>
    <w:p w:rsidR="000728AD" w:rsidRDefault="000728AD">
      <w:pPr>
        <w:spacing w:line="184" w:lineRule="exact"/>
        <w:rPr>
          <w:sz w:val="20"/>
          <w:szCs w:val="20"/>
        </w:rPr>
      </w:pPr>
    </w:p>
    <w:p w:rsidR="000728AD" w:rsidRDefault="000561BE">
      <w:pPr>
        <w:rPr>
          <w:sz w:val="20"/>
          <w:szCs w:val="20"/>
        </w:rPr>
      </w:pPr>
      <w:r>
        <w:rPr>
          <w:rFonts w:ascii="Arial" w:eastAsia="Arial" w:hAnsi="Arial" w:cs="Arial"/>
          <w:b/>
          <w:bCs/>
          <w:sz w:val="20"/>
          <w:szCs w:val="20"/>
        </w:rPr>
        <w:t>Changes in Internal Control over Financial Reporting</w:t>
      </w:r>
    </w:p>
    <w:p w:rsidR="000728AD" w:rsidRDefault="000728AD">
      <w:pPr>
        <w:spacing w:line="222" w:lineRule="exact"/>
        <w:rPr>
          <w:sz w:val="20"/>
          <w:szCs w:val="20"/>
        </w:rPr>
      </w:pPr>
    </w:p>
    <w:p w:rsidR="000728AD" w:rsidRDefault="000561BE">
      <w:pPr>
        <w:spacing w:line="250" w:lineRule="auto"/>
        <w:rPr>
          <w:sz w:val="20"/>
          <w:szCs w:val="20"/>
        </w:rPr>
      </w:pPr>
      <w:r>
        <w:rPr>
          <w:rFonts w:ascii="Arial" w:eastAsia="Arial" w:hAnsi="Arial" w:cs="Arial"/>
          <w:sz w:val="20"/>
          <w:szCs w:val="20"/>
        </w:rPr>
        <w:t>There were no changes in our internal control over financial reporting (as defined i</w:t>
      </w:r>
      <w:r>
        <w:rPr>
          <w:rFonts w:ascii="Arial" w:eastAsia="Arial" w:hAnsi="Arial" w:cs="Arial"/>
          <w:sz w:val="20"/>
          <w:szCs w:val="20"/>
        </w:rPr>
        <w:t>n Rule 13a-15(f) and 15(d)-15(f) of the Exchange Act) that occurred during the quarter ended June 30, 2021 that have materially affected, or are reasonably likely to materially affect, our internal control over financial reporting.</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2" w:lineRule="exact"/>
        <w:rPr>
          <w:sz w:val="20"/>
          <w:szCs w:val="20"/>
        </w:rPr>
      </w:pPr>
    </w:p>
    <w:p w:rsidR="000728AD" w:rsidRDefault="000561BE">
      <w:pPr>
        <w:ind w:right="-19"/>
        <w:jc w:val="center"/>
        <w:rPr>
          <w:sz w:val="20"/>
          <w:szCs w:val="20"/>
        </w:rPr>
      </w:pPr>
      <w:r>
        <w:rPr>
          <w:rFonts w:ascii="Arial" w:eastAsia="Arial" w:hAnsi="Arial" w:cs="Arial"/>
          <w:sz w:val="18"/>
          <w:szCs w:val="18"/>
        </w:rPr>
        <w:t>31</w:t>
      </w:r>
    </w:p>
    <w:p w:rsidR="000728AD" w:rsidRDefault="000561BE">
      <w:pPr>
        <w:spacing w:line="20"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32" w:name="page32"/>
    <w:bookmarkEnd w:id="32"/>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395" w:lineRule="exact"/>
        <w:rPr>
          <w:sz w:val="20"/>
          <w:szCs w:val="20"/>
        </w:rPr>
      </w:pPr>
    </w:p>
    <w:p w:rsidR="000728AD" w:rsidRDefault="000561BE">
      <w:pPr>
        <w:rPr>
          <w:sz w:val="20"/>
          <w:szCs w:val="20"/>
        </w:rPr>
      </w:pPr>
      <w:r>
        <w:rPr>
          <w:rFonts w:ascii="Arial" w:eastAsia="Arial" w:hAnsi="Arial" w:cs="Arial"/>
          <w:b/>
          <w:bCs/>
          <w:sz w:val="20"/>
          <w:szCs w:val="20"/>
        </w:rPr>
        <w:t>Part II. Other Information</w:t>
      </w:r>
    </w:p>
    <w:p w:rsidR="000728AD" w:rsidRDefault="000728AD">
      <w:pPr>
        <w:spacing w:line="216" w:lineRule="exact"/>
        <w:rPr>
          <w:sz w:val="20"/>
          <w:szCs w:val="20"/>
        </w:rPr>
      </w:pPr>
    </w:p>
    <w:p w:rsidR="000728AD" w:rsidRDefault="000561BE">
      <w:pPr>
        <w:rPr>
          <w:sz w:val="20"/>
          <w:szCs w:val="20"/>
        </w:rPr>
      </w:pPr>
      <w:r>
        <w:rPr>
          <w:rFonts w:ascii="Arial" w:eastAsia="Arial" w:hAnsi="Arial" w:cs="Arial"/>
          <w:b/>
          <w:bCs/>
          <w:sz w:val="20"/>
          <w:szCs w:val="20"/>
        </w:rPr>
        <w:t>Item 1. Legal Proceedings</w:t>
      </w:r>
    </w:p>
    <w:p w:rsidR="000728AD" w:rsidRDefault="000728AD">
      <w:pPr>
        <w:spacing w:line="222" w:lineRule="exact"/>
        <w:rPr>
          <w:sz w:val="20"/>
          <w:szCs w:val="20"/>
        </w:rPr>
      </w:pPr>
    </w:p>
    <w:p w:rsidR="000728AD" w:rsidRDefault="000561BE">
      <w:pPr>
        <w:spacing w:line="246" w:lineRule="auto"/>
        <w:ind w:right="220"/>
        <w:rPr>
          <w:sz w:val="20"/>
          <w:szCs w:val="20"/>
        </w:rPr>
      </w:pPr>
      <w:r>
        <w:rPr>
          <w:rFonts w:ascii="Arial" w:eastAsia="Arial" w:hAnsi="Arial" w:cs="Arial"/>
          <w:sz w:val="20"/>
          <w:szCs w:val="20"/>
        </w:rPr>
        <w:t xml:space="preserve">From time to time, we may be involved in various claims, threatened or actual, and legal proceedings relating to claims </w:t>
      </w:r>
      <w:r>
        <w:rPr>
          <w:rFonts w:ascii="Arial" w:eastAsia="Arial" w:hAnsi="Arial" w:cs="Arial"/>
          <w:sz w:val="20"/>
          <w:szCs w:val="20"/>
        </w:rPr>
        <w:t>arising out of our operations or products, if any. We are not currently a party to any material legal proceedings. The outcome of claims or litigation cannot be predicted with certainty and some lawsuits, claims or proceedings may be disposed of unfavorabl</w:t>
      </w:r>
      <w:r>
        <w:rPr>
          <w:rFonts w:ascii="Arial" w:eastAsia="Arial" w:hAnsi="Arial" w:cs="Arial"/>
          <w:sz w:val="20"/>
          <w:szCs w:val="20"/>
        </w:rPr>
        <w:t>y to us, which could materially affect our financial condition or results of operations.</w:t>
      </w:r>
    </w:p>
    <w:p w:rsidR="000728AD" w:rsidRDefault="000728AD">
      <w:pPr>
        <w:spacing w:line="185" w:lineRule="exact"/>
        <w:rPr>
          <w:sz w:val="20"/>
          <w:szCs w:val="20"/>
        </w:rPr>
      </w:pPr>
    </w:p>
    <w:p w:rsidR="000728AD" w:rsidRDefault="000561BE">
      <w:pPr>
        <w:rPr>
          <w:sz w:val="20"/>
          <w:szCs w:val="20"/>
        </w:rPr>
      </w:pPr>
      <w:r>
        <w:rPr>
          <w:rFonts w:ascii="Arial" w:eastAsia="Arial" w:hAnsi="Arial" w:cs="Arial"/>
          <w:b/>
          <w:bCs/>
          <w:sz w:val="20"/>
          <w:szCs w:val="20"/>
        </w:rPr>
        <w:t>Item 1A. Risk Factors</w:t>
      </w:r>
    </w:p>
    <w:p w:rsidR="000728AD" w:rsidRDefault="000728AD">
      <w:pPr>
        <w:spacing w:line="222" w:lineRule="exact"/>
        <w:rPr>
          <w:sz w:val="20"/>
          <w:szCs w:val="20"/>
        </w:rPr>
      </w:pPr>
    </w:p>
    <w:p w:rsidR="000728AD" w:rsidRDefault="000561BE">
      <w:pPr>
        <w:spacing w:line="259" w:lineRule="auto"/>
        <w:ind w:right="60"/>
        <w:rPr>
          <w:sz w:val="20"/>
          <w:szCs w:val="20"/>
        </w:rPr>
      </w:pPr>
      <w:r>
        <w:rPr>
          <w:rFonts w:ascii="Arial" w:eastAsia="Arial" w:hAnsi="Arial" w:cs="Arial"/>
          <w:i/>
          <w:iCs/>
          <w:sz w:val="19"/>
          <w:szCs w:val="19"/>
        </w:rPr>
        <w:t>Careful consideration should be given to the following risk factors, in addition to the other information set forth in this Quarterly Report an</w:t>
      </w:r>
      <w:r>
        <w:rPr>
          <w:rFonts w:ascii="Arial" w:eastAsia="Arial" w:hAnsi="Arial" w:cs="Arial"/>
          <w:i/>
          <w:iCs/>
          <w:sz w:val="19"/>
          <w:szCs w:val="19"/>
        </w:rPr>
        <w:t>d in other documents that we file with the SEC, in evaluating the Company and our business. Investing in our common stock involves a high degree of risk. If any of the following risks and uncertainties actually occur, our business, prospects, financial con</w:t>
      </w:r>
      <w:r>
        <w:rPr>
          <w:rFonts w:ascii="Arial" w:eastAsia="Arial" w:hAnsi="Arial" w:cs="Arial"/>
          <w:i/>
          <w:iCs/>
          <w:sz w:val="19"/>
          <w:szCs w:val="19"/>
        </w:rPr>
        <w:t>dition and results of operations could be materially and adversely affected. The risks described below are not intended to be exhaustive and are not the only risks that we face. New risk factors can emerge from time to time, and it is not possible to predi</w:t>
      </w:r>
      <w:r>
        <w:rPr>
          <w:rFonts w:ascii="Arial" w:eastAsia="Arial" w:hAnsi="Arial" w:cs="Arial"/>
          <w:i/>
          <w:iCs/>
          <w:sz w:val="19"/>
          <w:szCs w:val="19"/>
        </w:rPr>
        <w:t>ct the impact that any factor or combination of factors may have on our business, prospects, financial condition and results of operations.</w:t>
      </w:r>
    </w:p>
    <w:p w:rsidR="000728AD" w:rsidRDefault="000728AD">
      <w:pPr>
        <w:spacing w:line="172" w:lineRule="exact"/>
        <w:rPr>
          <w:sz w:val="20"/>
          <w:szCs w:val="20"/>
        </w:rPr>
      </w:pPr>
    </w:p>
    <w:p w:rsidR="000728AD" w:rsidRDefault="000561BE">
      <w:pPr>
        <w:rPr>
          <w:sz w:val="20"/>
          <w:szCs w:val="20"/>
        </w:rPr>
      </w:pPr>
      <w:r>
        <w:rPr>
          <w:rFonts w:ascii="Arial" w:eastAsia="Arial" w:hAnsi="Arial" w:cs="Arial"/>
          <w:b/>
          <w:bCs/>
          <w:sz w:val="20"/>
          <w:szCs w:val="20"/>
        </w:rPr>
        <w:t>Summary Risk Factors</w:t>
      </w:r>
    </w:p>
    <w:p w:rsidR="000728AD" w:rsidRDefault="000728AD">
      <w:pPr>
        <w:spacing w:line="222" w:lineRule="exact"/>
        <w:rPr>
          <w:sz w:val="20"/>
          <w:szCs w:val="20"/>
        </w:rPr>
      </w:pPr>
    </w:p>
    <w:p w:rsidR="000728AD" w:rsidRDefault="000561BE">
      <w:pPr>
        <w:spacing w:line="260" w:lineRule="auto"/>
        <w:ind w:right="240"/>
        <w:rPr>
          <w:sz w:val="20"/>
          <w:szCs w:val="20"/>
        </w:rPr>
      </w:pPr>
      <w:r>
        <w:rPr>
          <w:rFonts w:ascii="Arial" w:eastAsia="Arial" w:hAnsi="Arial" w:cs="Arial"/>
          <w:sz w:val="20"/>
          <w:szCs w:val="20"/>
        </w:rPr>
        <w:t>Our business is subject to numerous risks and uncertainties that you should be aware of in ev</w:t>
      </w:r>
      <w:r>
        <w:rPr>
          <w:rFonts w:ascii="Arial" w:eastAsia="Arial" w:hAnsi="Arial" w:cs="Arial"/>
          <w:sz w:val="20"/>
          <w:szCs w:val="20"/>
        </w:rPr>
        <w:t>aluating our business. These risks include, but are not limited to, the following:</w:t>
      </w:r>
    </w:p>
    <w:p w:rsidR="000728AD" w:rsidRDefault="000728AD">
      <w:pPr>
        <w:spacing w:line="204" w:lineRule="exact"/>
        <w:rPr>
          <w:sz w:val="20"/>
          <w:szCs w:val="20"/>
        </w:rPr>
      </w:pPr>
    </w:p>
    <w:p w:rsidR="000728AD" w:rsidRDefault="000561BE">
      <w:pPr>
        <w:numPr>
          <w:ilvl w:val="0"/>
          <w:numId w:val="9"/>
        </w:numPr>
        <w:tabs>
          <w:tab w:val="left" w:pos="660"/>
        </w:tabs>
        <w:ind w:left="660" w:hanging="328"/>
        <w:rPr>
          <w:rFonts w:ascii="Arial" w:eastAsia="Arial" w:hAnsi="Arial" w:cs="Arial"/>
          <w:sz w:val="19"/>
          <w:szCs w:val="19"/>
        </w:rPr>
      </w:pPr>
      <w:r>
        <w:rPr>
          <w:rFonts w:ascii="Arial" w:eastAsia="Arial" w:hAnsi="Arial" w:cs="Arial"/>
          <w:sz w:val="18"/>
          <w:szCs w:val="18"/>
        </w:rPr>
        <w:t>We have incurred net losses in every year since our inception and anticipate that we will continue to incur net losses in the future.</w:t>
      </w:r>
    </w:p>
    <w:p w:rsidR="000728AD" w:rsidRDefault="000728AD">
      <w:pPr>
        <w:spacing w:line="254" w:lineRule="exact"/>
        <w:rPr>
          <w:rFonts w:ascii="Arial" w:eastAsia="Arial" w:hAnsi="Arial" w:cs="Arial"/>
          <w:sz w:val="19"/>
          <w:szCs w:val="19"/>
        </w:rPr>
      </w:pPr>
    </w:p>
    <w:p w:rsidR="000728AD" w:rsidRDefault="000561BE">
      <w:pPr>
        <w:numPr>
          <w:ilvl w:val="0"/>
          <w:numId w:val="9"/>
        </w:numPr>
        <w:tabs>
          <w:tab w:val="left" w:pos="655"/>
        </w:tabs>
        <w:spacing w:line="238" w:lineRule="auto"/>
        <w:ind w:left="660" w:right="100" w:hanging="328"/>
        <w:rPr>
          <w:rFonts w:ascii="Arial" w:eastAsia="Arial" w:hAnsi="Arial" w:cs="Arial"/>
        </w:rPr>
      </w:pPr>
      <w:r>
        <w:rPr>
          <w:rFonts w:ascii="Arial" w:eastAsia="Arial" w:hAnsi="Arial" w:cs="Arial"/>
          <w:sz w:val="20"/>
          <w:szCs w:val="20"/>
        </w:rPr>
        <w:t>We will require additional capital to</w:t>
      </w:r>
      <w:r>
        <w:rPr>
          <w:rFonts w:ascii="Arial" w:eastAsia="Arial" w:hAnsi="Arial" w:cs="Arial"/>
          <w:sz w:val="20"/>
          <w:szCs w:val="20"/>
        </w:rPr>
        <w:t xml:space="preserve"> fund our operations and if we fail to obtain necessary financing, we will not be able to complete development and commercialization of our product candidates.</w:t>
      </w:r>
    </w:p>
    <w:p w:rsidR="000728AD" w:rsidRDefault="000728AD">
      <w:pPr>
        <w:spacing w:line="223" w:lineRule="exact"/>
        <w:rPr>
          <w:rFonts w:ascii="Arial" w:eastAsia="Arial" w:hAnsi="Arial" w:cs="Arial"/>
        </w:rPr>
      </w:pPr>
    </w:p>
    <w:p w:rsidR="000728AD" w:rsidRDefault="000561BE">
      <w:pPr>
        <w:numPr>
          <w:ilvl w:val="0"/>
          <w:numId w:val="9"/>
        </w:numPr>
        <w:tabs>
          <w:tab w:val="left" w:pos="655"/>
        </w:tabs>
        <w:spacing w:line="256" w:lineRule="auto"/>
        <w:ind w:left="660" w:right="80" w:hanging="328"/>
        <w:rPr>
          <w:rFonts w:ascii="Arial" w:eastAsia="Arial" w:hAnsi="Arial" w:cs="Arial"/>
          <w:sz w:val="21"/>
          <w:szCs w:val="21"/>
        </w:rPr>
      </w:pPr>
      <w:r>
        <w:rPr>
          <w:rFonts w:ascii="Arial" w:eastAsia="Arial" w:hAnsi="Arial" w:cs="Arial"/>
          <w:sz w:val="19"/>
          <w:szCs w:val="19"/>
        </w:rPr>
        <w:t xml:space="preserve">Clinical development is a lengthy and expensive process, with an uncertain outcome. We may </w:t>
      </w:r>
      <w:r>
        <w:rPr>
          <w:rFonts w:ascii="Arial" w:eastAsia="Arial" w:hAnsi="Arial" w:cs="Arial"/>
          <w:sz w:val="19"/>
          <w:szCs w:val="19"/>
        </w:rPr>
        <w:t xml:space="preserve">incur additional costs or experience delays in completing, or ultimately be unable to complete, the development and commercialization of any product candidates, which could impair our ability to fund our operations or obtain financing on acceptable terms, </w:t>
      </w:r>
      <w:r>
        <w:rPr>
          <w:rFonts w:ascii="Arial" w:eastAsia="Arial" w:hAnsi="Arial" w:cs="Arial"/>
          <w:sz w:val="19"/>
          <w:szCs w:val="19"/>
        </w:rPr>
        <w:t>or at all.</w:t>
      </w:r>
    </w:p>
    <w:p w:rsidR="000728AD" w:rsidRDefault="000728AD">
      <w:pPr>
        <w:spacing w:line="207" w:lineRule="exact"/>
        <w:rPr>
          <w:rFonts w:ascii="Arial" w:eastAsia="Arial" w:hAnsi="Arial" w:cs="Arial"/>
          <w:sz w:val="21"/>
          <w:szCs w:val="21"/>
        </w:rPr>
      </w:pPr>
    </w:p>
    <w:p w:rsidR="000728AD" w:rsidRDefault="000561BE">
      <w:pPr>
        <w:numPr>
          <w:ilvl w:val="0"/>
          <w:numId w:val="9"/>
        </w:numPr>
        <w:tabs>
          <w:tab w:val="left" w:pos="655"/>
        </w:tabs>
        <w:spacing w:line="254" w:lineRule="auto"/>
        <w:ind w:left="660" w:hanging="328"/>
        <w:rPr>
          <w:rFonts w:ascii="Arial" w:eastAsia="Arial" w:hAnsi="Arial" w:cs="Arial"/>
          <w:sz w:val="21"/>
          <w:szCs w:val="21"/>
        </w:rPr>
      </w:pPr>
      <w:r>
        <w:rPr>
          <w:rFonts w:ascii="Arial" w:eastAsia="Arial" w:hAnsi="Arial" w:cs="Arial"/>
          <w:sz w:val="19"/>
          <w:szCs w:val="19"/>
        </w:rPr>
        <w:t xml:space="preserve">Any use of our product candidates to support and maintain homeostasis, which helps support normal structures and functions of the body, or to modulate dysregulated metabolism is a novel approach and negative perception of any product </w:t>
      </w:r>
      <w:r>
        <w:rPr>
          <w:rFonts w:ascii="Arial" w:eastAsia="Arial" w:hAnsi="Arial" w:cs="Arial"/>
          <w:sz w:val="19"/>
          <w:szCs w:val="19"/>
        </w:rPr>
        <w:t>candidates that we develop could adversely affect our ability to conduct our business, obtain regulatory approvals or identify alternate regulatory pathways, to the extent required by applicable laws, to market such product candidates.</w:t>
      </w:r>
    </w:p>
    <w:p w:rsidR="000728AD" w:rsidRDefault="000728AD">
      <w:pPr>
        <w:spacing w:line="211" w:lineRule="exact"/>
        <w:rPr>
          <w:rFonts w:ascii="Arial" w:eastAsia="Arial" w:hAnsi="Arial" w:cs="Arial"/>
          <w:sz w:val="21"/>
          <w:szCs w:val="21"/>
        </w:rPr>
      </w:pPr>
    </w:p>
    <w:p w:rsidR="000728AD" w:rsidRDefault="000561BE">
      <w:pPr>
        <w:numPr>
          <w:ilvl w:val="0"/>
          <w:numId w:val="9"/>
        </w:numPr>
        <w:tabs>
          <w:tab w:val="left" w:pos="655"/>
        </w:tabs>
        <w:spacing w:line="238" w:lineRule="auto"/>
        <w:ind w:left="660" w:right="820" w:hanging="328"/>
        <w:rPr>
          <w:rFonts w:ascii="Arial" w:eastAsia="Arial" w:hAnsi="Arial" w:cs="Arial"/>
        </w:rPr>
      </w:pPr>
      <w:r>
        <w:rPr>
          <w:rFonts w:ascii="Arial" w:eastAsia="Arial" w:hAnsi="Arial" w:cs="Arial"/>
          <w:sz w:val="20"/>
          <w:szCs w:val="20"/>
        </w:rPr>
        <w:t>We face significant</w:t>
      </w:r>
      <w:r>
        <w:rPr>
          <w:rFonts w:ascii="Arial" w:eastAsia="Arial" w:hAnsi="Arial" w:cs="Arial"/>
          <w:sz w:val="20"/>
          <w:szCs w:val="20"/>
        </w:rPr>
        <w:t xml:space="preserve"> competition from other healthcare companies, and our operating results will suffer if we fail to compete effectively.</w:t>
      </w:r>
    </w:p>
    <w:p w:rsidR="000728AD" w:rsidRDefault="000728AD">
      <w:pPr>
        <w:spacing w:line="223" w:lineRule="exact"/>
        <w:rPr>
          <w:rFonts w:ascii="Arial" w:eastAsia="Arial" w:hAnsi="Arial" w:cs="Arial"/>
        </w:rPr>
      </w:pPr>
    </w:p>
    <w:p w:rsidR="000728AD" w:rsidRDefault="000561BE">
      <w:pPr>
        <w:numPr>
          <w:ilvl w:val="0"/>
          <w:numId w:val="9"/>
        </w:numPr>
        <w:tabs>
          <w:tab w:val="left" w:pos="655"/>
        </w:tabs>
        <w:spacing w:line="238" w:lineRule="auto"/>
        <w:ind w:left="660" w:right="140" w:hanging="328"/>
        <w:rPr>
          <w:rFonts w:ascii="Arial" w:eastAsia="Arial" w:hAnsi="Arial" w:cs="Arial"/>
        </w:rPr>
      </w:pPr>
      <w:r>
        <w:rPr>
          <w:rFonts w:ascii="Arial" w:eastAsia="Arial" w:hAnsi="Arial" w:cs="Arial"/>
          <w:sz w:val="20"/>
          <w:szCs w:val="20"/>
        </w:rPr>
        <w:t>If we lose key management personnel, or if we are unable to recruit additional highly skilled personnel, our ability to identify and dev</w:t>
      </w:r>
      <w:r>
        <w:rPr>
          <w:rFonts w:ascii="Arial" w:eastAsia="Arial" w:hAnsi="Arial" w:cs="Arial"/>
          <w:sz w:val="20"/>
          <w:szCs w:val="20"/>
        </w:rPr>
        <w:t>elop new or next generation product candidates will be impaired, could result in loss of markets or market share and could make us less competitive.</w:t>
      </w:r>
    </w:p>
    <w:p w:rsidR="000728AD" w:rsidRDefault="000728AD">
      <w:pPr>
        <w:spacing w:line="221" w:lineRule="exact"/>
        <w:rPr>
          <w:rFonts w:ascii="Arial" w:eastAsia="Arial" w:hAnsi="Arial" w:cs="Arial"/>
        </w:rPr>
      </w:pPr>
    </w:p>
    <w:p w:rsidR="000728AD" w:rsidRDefault="000561BE">
      <w:pPr>
        <w:numPr>
          <w:ilvl w:val="0"/>
          <w:numId w:val="9"/>
        </w:numPr>
        <w:tabs>
          <w:tab w:val="left" w:pos="660"/>
        </w:tabs>
        <w:ind w:left="660" w:hanging="328"/>
        <w:rPr>
          <w:rFonts w:ascii="Arial" w:eastAsia="Arial" w:hAnsi="Arial" w:cs="Arial"/>
        </w:rPr>
      </w:pPr>
      <w:r>
        <w:rPr>
          <w:rFonts w:ascii="Arial" w:eastAsia="Arial" w:hAnsi="Arial" w:cs="Arial"/>
          <w:sz w:val="20"/>
          <w:szCs w:val="20"/>
        </w:rPr>
        <w:t>COVID-19 may materially and adversely affect our business and our financial results.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92" w:lineRule="exact"/>
        <w:rPr>
          <w:sz w:val="20"/>
          <w:szCs w:val="20"/>
        </w:rPr>
      </w:pPr>
    </w:p>
    <w:p w:rsidR="000728AD" w:rsidRDefault="000561BE">
      <w:pPr>
        <w:ind w:right="-19"/>
        <w:jc w:val="center"/>
        <w:rPr>
          <w:sz w:val="20"/>
          <w:szCs w:val="20"/>
        </w:rPr>
      </w:pPr>
      <w:r>
        <w:rPr>
          <w:rFonts w:ascii="Arial" w:eastAsia="Arial" w:hAnsi="Arial" w:cs="Arial"/>
          <w:sz w:val="18"/>
          <w:szCs w:val="18"/>
        </w:rPr>
        <w:t>32</w:t>
      </w:r>
    </w:p>
    <w:p w:rsidR="000728AD" w:rsidRDefault="000561BE">
      <w:pPr>
        <w:spacing w:line="20"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33" w:name="page33"/>
    <w:bookmarkEnd w:id="33"/>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28" w:lineRule="exact"/>
        <w:rPr>
          <w:sz w:val="20"/>
          <w:szCs w:val="20"/>
        </w:rPr>
      </w:pPr>
    </w:p>
    <w:p w:rsidR="000728AD" w:rsidRDefault="000561BE">
      <w:pPr>
        <w:numPr>
          <w:ilvl w:val="0"/>
          <w:numId w:val="10"/>
        </w:numPr>
        <w:tabs>
          <w:tab w:val="left" w:pos="655"/>
        </w:tabs>
        <w:spacing w:line="238" w:lineRule="auto"/>
        <w:ind w:left="660" w:right="60" w:hanging="328"/>
        <w:rPr>
          <w:rFonts w:ascii="Arial" w:eastAsia="Arial" w:hAnsi="Arial" w:cs="Arial"/>
        </w:rPr>
      </w:pPr>
      <w:r>
        <w:rPr>
          <w:rFonts w:ascii="Arial" w:eastAsia="Arial" w:hAnsi="Arial" w:cs="Arial"/>
          <w:sz w:val="20"/>
          <w:szCs w:val="20"/>
        </w:rPr>
        <w:t xml:space="preserve">Regulatory requirements for development of our product candidates as drugs or as non-drug products are uncertain and evolving. Changes in these laws, including our ability to </w:t>
      </w:r>
      <w:r>
        <w:rPr>
          <w:rFonts w:ascii="Arial" w:eastAsia="Arial" w:hAnsi="Arial" w:cs="Arial"/>
          <w:sz w:val="20"/>
          <w:szCs w:val="20"/>
        </w:rPr>
        <w:t>conduct Clinical Studies or Clinical Trials, or the current interpretation or application of these laws, or conflicts between us and the FDA on the applicability or interpretation of applicable laws, would have a significant adverse impact on our ability t</w:t>
      </w:r>
      <w:r>
        <w:rPr>
          <w:rFonts w:ascii="Arial" w:eastAsia="Arial" w:hAnsi="Arial" w:cs="Arial"/>
          <w:sz w:val="20"/>
          <w:szCs w:val="20"/>
        </w:rPr>
        <w:t>o develop and commercialize our products.</w:t>
      </w:r>
    </w:p>
    <w:p w:rsidR="000728AD" w:rsidRDefault="000728AD">
      <w:pPr>
        <w:spacing w:line="225" w:lineRule="exact"/>
        <w:rPr>
          <w:rFonts w:ascii="Arial" w:eastAsia="Arial" w:hAnsi="Arial" w:cs="Arial"/>
        </w:rPr>
      </w:pPr>
    </w:p>
    <w:p w:rsidR="000728AD" w:rsidRDefault="000561BE">
      <w:pPr>
        <w:numPr>
          <w:ilvl w:val="0"/>
          <w:numId w:val="10"/>
        </w:numPr>
        <w:tabs>
          <w:tab w:val="left" w:pos="655"/>
        </w:tabs>
        <w:spacing w:line="283" w:lineRule="auto"/>
        <w:ind w:left="660" w:right="100" w:hanging="328"/>
        <w:rPr>
          <w:rFonts w:ascii="Arial" w:eastAsia="Arial" w:hAnsi="Arial" w:cs="Arial"/>
          <w:sz w:val="19"/>
          <w:szCs w:val="19"/>
        </w:rPr>
      </w:pPr>
      <w:r>
        <w:rPr>
          <w:rFonts w:ascii="Arial" w:eastAsia="Arial" w:hAnsi="Arial" w:cs="Arial"/>
          <w:sz w:val="18"/>
          <w:szCs w:val="18"/>
        </w:rPr>
        <w:t>If we are unable to obtain and maintain patent protection for any product candidates we develop or for our development platform or other technologies, our competitors could develop and commercialize products or te</w:t>
      </w:r>
      <w:r>
        <w:rPr>
          <w:rFonts w:ascii="Arial" w:eastAsia="Arial" w:hAnsi="Arial" w:cs="Arial"/>
          <w:sz w:val="18"/>
          <w:szCs w:val="18"/>
        </w:rPr>
        <w:t>chnology similar or identical to ours, and our ability to successfully commercialize any product candidates we may develop, and our technology may be adversely affected.</w:t>
      </w:r>
    </w:p>
    <w:p w:rsidR="000728AD" w:rsidRDefault="000728AD">
      <w:pPr>
        <w:spacing w:line="185" w:lineRule="exact"/>
        <w:rPr>
          <w:rFonts w:ascii="Arial" w:eastAsia="Arial" w:hAnsi="Arial" w:cs="Arial"/>
          <w:sz w:val="19"/>
          <w:szCs w:val="19"/>
        </w:rPr>
      </w:pPr>
    </w:p>
    <w:p w:rsidR="000728AD" w:rsidRDefault="000561BE">
      <w:pPr>
        <w:numPr>
          <w:ilvl w:val="0"/>
          <w:numId w:val="10"/>
        </w:numPr>
        <w:tabs>
          <w:tab w:val="left" w:pos="655"/>
        </w:tabs>
        <w:spacing w:line="238" w:lineRule="auto"/>
        <w:ind w:left="660" w:right="160" w:hanging="328"/>
        <w:rPr>
          <w:rFonts w:ascii="Arial" w:eastAsia="Arial" w:hAnsi="Arial" w:cs="Arial"/>
        </w:rPr>
      </w:pPr>
      <w:r>
        <w:rPr>
          <w:rFonts w:ascii="Arial" w:eastAsia="Arial" w:hAnsi="Arial" w:cs="Arial"/>
          <w:sz w:val="20"/>
          <w:szCs w:val="20"/>
        </w:rPr>
        <w:t xml:space="preserve">We rely on third parties to conduct our Clinical Studies and Clinical Trials, and to </w:t>
      </w:r>
      <w:r>
        <w:rPr>
          <w:rFonts w:ascii="Arial" w:eastAsia="Arial" w:hAnsi="Arial" w:cs="Arial"/>
          <w:sz w:val="20"/>
          <w:szCs w:val="20"/>
        </w:rPr>
        <w:t>assist us in meeting the regulatory requirements applicable to the development and marketing of our products. If these third parties do not successfully carry out their contractual duties or meet expected deadlines or comply with regulatory requirements, w</w:t>
      </w:r>
      <w:r>
        <w:rPr>
          <w:rFonts w:ascii="Arial" w:eastAsia="Arial" w:hAnsi="Arial" w:cs="Arial"/>
          <w:sz w:val="20"/>
          <w:szCs w:val="20"/>
        </w:rPr>
        <w:t>e may not be able to obtain regulatory approval for or commercialize any potential product candidates.</w:t>
      </w:r>
    </w:p>
    <w:p w:rsidR="000728AD" w:rsidRDefault="000728AD">
      <w:pPr>
        <w:spacing w:line="198" w:lineRule="exact"/>
        <w:rPr>
          <w:rFonts w:ascii="Arial" w:eastAsia="Arial" w:hAnsi="Arial" w:cs="Arial"/>
        </w:rPr>
      </w:pPr>
    </w:p>
    <w:p w:rsidR="000728AD" w:rsidRDefault="000561BE">
      <w:pPr>
        <w:numPr>
          <w:ilvl w:val="0"/>
          <w:numId w:val="10"/>
        </w:numPr>
        <w:tabs>
          <w:tab w:val="left" w:pos="648"/>
        </w:tabs>
        <w:spacing w:line="282" w:lineRule="auto"/>
        <w:ind w:left="660" w:right="200" w:hanging="328"/>
        <w:rPr>
          <w:rFonts w:ascii="Arial" w:eastAsia="Arial" w:hAnsi="Arial" w:cs="Arial"/>
          <w:sz w:val="18"/>
          <w:szCs w:val="18"/>
        </w:rPr>
      </w:pPr>
      <w:r>
        <w:rPr>
          <w:rFonts w:ascii="Arial" w:eastAsia="Arial" w:hAnsi="Arial" w:cs="Arial"/>
          <w:sz w:val="18"/>
          <w:szCs w:val="18"/>
        </w:rPr>
        <w:t xml:space="preserve">Our product candidates require precise, high-quality manufacturing capabilities. If any of our third-party manufacturers encounter </w:t>
      </w:r>
      <w:r>
        <w:rPr>
          <w:rFonts w:ascii="Arial" w:eastAsia="Arial" w:hAnsi="Arial" w:cs="Arial"/>
          <w:sz w:val="18"/>
          <w:szCs w:val="18"/>
        </w:rPr>
        <w:t>difficulties in manufacturing our product candidates, our ability to provide supply of our product candidates for Clinical Studies or Clinical Trials, or for future commercial supply of products we bring to market under applicable regulatory requirements a</w:t>
      </w:r>
      <w:r>
        <w:rPr>
          <w:rFonts w:ascii="Arial" w:eastAsia="Arial" w:hAnsi="Arial" w:cs="Arial"/>
          <w:sz w:val="18"/>
          <w:szCs w:val="18"/>
        </w:rPr>
        <w:t>nd approvals, could be delayed or terminated, or we may be unable to maintain a commercially viable cost structure.</w:t>
      </w:r>
    </w:p>
    <w:p w:rsidR="000728AD" w:rsidRDefault="000728AD">
      <w:pPr>
        <w:spacing w:line="185" w:lineRule="exact"/>
        <w:rPr>
          <w:rFonts w:ascii="Arial" w:eastAsia="Arial" w:hAnsi="Arial" w:cs="Arial"/>
          <w:sz w:val="18"/>
          <w:szCs w:val="18"/>
        </w:rPr>
      </w:pPr>
    </w:p>
    <w:p w:rsidR="000728AD" w:rsidRDefault="000561BE">
      <w:pPr>
        <w:numPr>
          <w:ilvl w:val="0"/>
          <w:numId w:val="10"/>
        </w:numPr>
        <w:tabs>
          <w:tab w:val="left" w:pos="660"/>
        </w:tabs>
        <w:ind w:left="660" w:hanging="328"/>
        <w:rPr>
          <w:rFonts w:ascii="Arial" w:eastAsia="Arial" w:hAnsi="Arial" w:cs="Arial"/>
        </w:rPr>
      </w:pPr>
      <w:r>
        <w:rPr>
          <w:rFonts w:ascii="Arial" w:eastAsia="Arial" w:hAnsi="Arial" w:cs="Arial"/>
          <w:sz w:val="20"/>
          <w:szCs w:val="20"/>
        </w:rPr>
        <w:t>The trading price of our stock is highly volatile.</w:t>
      </w:r>
    </w:p>
    <w:p w:rsidR="000728AD" w:rsidRDefault="000728AD">
      <w:pPr>
        <w:spacing w:line="195" w:lineRule="exact"/>
        <w:rPr>
          <w:sz w:val="20"/>
          <w:szCs w:val="20"/>
        </w:rPr>
      </w:pPr>
    </w:p>
    <w:p w:rsidR="000728AD" w:rsidRDefault="000561BE">
      <w:pPr>
        <w:spacing w:line="276" w:lineRule="auto"/>
        <w:rPr>
          <w:sz w:val="20"/>
          <w:szCs w:val="20"/>
        </w:rPr>
      </w:pPr>
      <w:r>
        <w:rPr>
          <w:rFonts w:ascii="Arial" w:eastAsia="Arial" w:hAnsi="Arial" w:cs="Arial"/>
          <w:sz w:val="18"/>
          <w:szCs w:val="18"/>
        </w:rPr>
        <w:t xml:space="preserve">The summary risk factors described above should be read together with the text of </w:t>
      </w:r>
      <w:r>
        <w:rPr>
          <w:rFonts w:ascii="Arial" w:eastAsia="Arial" w:hAnsi="Arial" w:cs="Arial"/>
          <w:sz w:val="18"/>
          <w:szCs w:val="18"/>
        </w:rPr>
        <w:t xml:space="preserve">the full risk factors below and in the other information set forth in this Quarterly Report on Form 10-Q, including our condensed consolidated financial statements and the related notes, as well as in other documents that we file with the SEC. If any such </w:t>
      </w:r>
      <w:r>
        <w:rPr>
          <w:rFonts w:ascii="Arial" w:eastAsia="Arial" w:hAnsi="Arial" w:cs="Arial"/>
          <w:sz w:val="18"/>
          <w:szCs w:val="18"/>
        </w:rPr>
        <w:t>risks and uncertainties actually occur, our business, prospects, financial condition and results of operations could be materially and adversely affected. The risks summarized above or described in full below are not the only risks that we face. Additional</w:t>
      </w:r>
      <w:r>
        <w:rPr>
          <w:rFonts w:ascii="Arial" w:eastAsia="Arial" w:hAnsi="Arial" w:cs="Arial"/>
          <w:sz w:val="18"/>
          <w:szCs w:val="18"/>
        </w:rPr>
        <w:t xml:space="preserve"> risks and uncertainties not currently known to us, or that we currently deem to be immaterial may also materially adversely affect our business, prospects, financial condition and results of operations.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61" w:lineRule="exact"/>
        <w:rPr>
          <w:sz w:val="20"/>
          <w:szCs w:val="20"/>
        </w:rPr>
      </w:pPr>
    </w:p>
    <w:p w:rsidR="000728AD" w:rsidRDefault="000561BE">
      <w:pPr>
        <w:ind w:right="-79"/>
        <w:jc w:val="center"/>
        <w:rPr>
          <w:sz w:val="20"/>
          <w:szCs w:val="20"/>
        </w:rPr>
      </w:pPr>
      <w:r>
        <w:rPr>
          <w:rFonts w:ascii="Arial" w:eastAsia="Arial" w:hAnsi="Arial" w:cs="Arial"/>
          <w:sz w:val="18"/>
          <w:szCs w:val="18"/>
        </w:rPr>
        <w:t>33</w:t>
      </w:r>
    </w:p>
    <w:p w:rsidR="000728AD" w:rsidRDefault="000561BE">
      <w:pPr>
        <w:spacing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99" w:bottom="1440" w:left="320" w:header="0" w:footer="0" w:gutter="0"/>
          <w:cols w:space="720" w:equalWidth="0">
            <w:col w:w="11180"/>
          </w:cols>
        </w:sectPr>
      </w:pPr>
    </w:p>
    <w:bookmarkStart w:id="34" w:name="page34"/>
    <w:bookmarkEnd w:id="34"/>
    <w:p w:rsidR="000728AD" w:rsidRDefault="000561BE">
      <w:pPr>
        <w:rPr>
          <w:rFonts w:ascii="Arial" w:eastAsia="Arial" w:hAnsi="Arial" w:cs="Arial"/>
          <w:color w:val="0000FF"/>
          <w:sz w:val="18"/>
          <w:szCs w:val="18"/>
          <w:u w:val="single"/>
        </w:rPr>
      </w:pPr>
      <w:r>
        <w:lastRenderedPageBreak/>
        <w:fldChar w:fldCharType="begin"/>
      </w:r>
      <w:r>
        <w:instrText xml:space="preserve"> HYPERLINK \l "page3" </w:instrText>
      </w:r>
      <w:r>
        <w:instrText xml:space="preserve">\h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395" w:lineRule="exact"/>
        <w:rPr>
          <w:sz w:val="20"/>
          <w:szCs w:val="20"/>
        </w:rPr>
      </w:pPr>
    </w:p>
    <w:p w:rsidR="000728AD" w:rsidRDefault="000561BE">
      <w:pPr>
        <w:rPr>
          <w:sz w:val="20"/>
          <w:szCs w:val="20"/>
        </w:rPr>
      </w:pPr>
      <w:r>
        <w:rPr>
          <w:rFonts w:ascii="Arial" w:eastAsia="Arial" w:hAnsi="Arial" w:cs="Arial"/>
          <w:b/>
          <w:bCs/>
          <w:sz w:val="20"/>
          <w:szCs w:val="20"/>
        </w:rPr>
        <w:t>Risks Related to Our Financial Position and Capital Needs</w:t>
      </w:r>
    </w:p>
    <w:p w:rsidR="000728AD" w:rsidRDefault="000728AD">
      <w:pPr>
        <w:spacing w:line="222" w:lineRule="exact"/>
        <w:rPr>
          <w:sz w:val="20"/>
          <w:szCs w:val="20"/>
        </w:rPr>
      </w:pPr>
    </w:p>
    <w:p w:rsidR="000728AD" w:rsidRDefault="000561BE">
      <w:pPr>
        <w:rPr>
          <w:sz w:val="20"/>
          <w:szCs w:val="20"/>
        </w:rPr>
      </w:pPr>
      <w:r>
        <w:rPr>
          <w:rFonts w:ascii="Arial" w:eastAsia="Arial" w:hAnsi="Arial" w:cs="Arial"/>
          <w:b/>
          <w:bCs/>
          <w:i/>
          <w:iCs/>
          <w:sz w:val="18"/>
          <w:szCs w:val="18"/>
        </w:rPr>
        <w:t>We have incurred net losses in every year since our inception and anticipate that we will continue to incur net losses in the future.</w:t>
      </w:r>
    </w:p>
    <w:p w:rsidR="000728AD" w:rsidRDefault="000728AD">
      <w:pPr>
        <w:spacing w:line="239" w:lineRule="exact"/>
        <w:rPr>
          <w:sz w:val="20"/>
          <w:szCs w:val="20"/>
        </w:rPr>
      </w:pPr>
    </w:p>
    <w:p w:rsidR="000728AD" w:rsidRDefault="000561BE">
      <w:pPr>
        <w:spacing w:line="273" w:lineRule="auto"/>
        <w:rPr>
          <w:sz w:val="20"/>
          <w:szCs w:val="20"/>
        </w:rPr>
      </w:pPr>
      <w:r>
        <w:rPr>
          <w:rFonts w:ascii="Arial" w:eastAsia="Arial" w:hAnsi="Arial" w:cs="Arial"/>
          <w:sz w:val="18"/>
          <w:szCs w:val="18"/>
        </w:rPr>
        <w:t xml:space="preserve">We are a biotechnology company with a </w:t>
      </w:r>
      <w:r>
        <w:rPr>
          <w:rFonts w:ascii="Arial" w:eastAsia="Arial" w:hAnsi="Arial" w:cs="Arial"/>
          <w:sz w:val="18"/>
          <w:szCs w:val="18"/>
        </w:rPr>
        <w:t xml:space="preserve">limited operating history. Investment in product development in the healthcare industry, including of biotechnology products, is highly speculative because it entails substantial upfront capital expenditures and significant risk that any potential product </w:t>
      </w:r>
      <w:r>
        <w:rPr>
          <w:rFonts w:ascii="Arial" w:eastAsia="Arial" w:hAnsi="Arial" w:cs="Arial"/>
          <w:sz w:val="18"/>
          <w:szCs w:val="18"/>
        </w:rPr>
        <w:t>candidate will fail to demonstrate an adequate effect or an acceptable safety profile, gain regulatory approval and/or become commercially viable. To date, our product candidates have been studied in Clinical Studies as food products. We are pursuing futur</w:t>
      </w:r>
      <w:r>
        <w:rPr>
          <w:rFonts w:ascii="Arial" w:eastAsia="Arial" w:hAnsi="Arial" w:cs="Arial"/>
          <w:sz w:val="18"/>
          <w:szCs w:val="18"/>
        </w:rPr>
        <w:t>e</w:t>
      </w:r>
    </w:p>
    <w:p w:rsidR="000728AD" w:rsidRDefault="000728AD">
      <w:pPr>
        <w:spacing w:line="3" w:lineRule="exact"/>
        <w:rPr>
          <w:sz w:val="20"/>
          <w:szCs w:val="20"/>
        </w:rPr>
      </w:pPr>
    </w:p>
    <w:p w:rsidR="000728AD" w:rsidRDefault="000561BE">
      <w:pPr>
        <w:spacing w:line="256" w:lineRule="auto"/>
        <w:rPr>
          <w:sz w:val="20"/>
          <w:szCs w:val="20"/>
        </w:rPr>
      </w:pPr>
      <w:r>
        <w:rPr>
          <w:rFonts w:ascii="Arial" w:eastAsia="Arial" w:hAnsi="Arial" w:cs="Arial"/>
          <w:sz w:val="19"/>
          <w:szCs w:val="19"/>
        </w:rPr>
        <w:t>development of AXA1665 and AXA1125 in Clinical Trials under INDs. We have no products approved for commercial sale, have not generated any revenue from product sales to date and continue to incur significant research and development and other expenses r</w:t>
      </w:r>
      <w:r>
        <w:rPr>
          <w:rFonts w:ascii="Arial" w:eastAsia="Arial" w:hAnsi="Arial" w:cs="Arial"/>
          <w:sz w:val="19"/>
          <w:szCs w:val="19"/>
        </w:rPr>
        <w:t>elated to our ongoing operations. As a result, we are not profitable and have incurred losses in each period since our inception in 2008. Our net losses were $15.9 million and $13.9 million for the three months ended and $31.1 million and $28.9 million for</w:t>
      </w:r>
      <w:r>
        <w:rPr>
          <w:rFonts w:ascii="Arial" w:eastAsia="Arial" w:hAnsi="Arial" w:cs="Arial"/>
          <w:sz w:val="19"/>
          <w:szCs w:val="19"/>
        </w:rPr>
        <w:t xml:space="preserve"> the six months ended June 30, 2021 and 2020, respectively. As of June 30, 2021, we had an accumulated deficit of $303.7 million. We expect to continue to incur significant losses for the foreseeable future, and we expect these losses to increase as we con</w:t>
      </w:r>
      <w:r>
        <w:rPr>
          <w:rFonts w:ascii="Arial" w:eastAsia="Arial" w:hAnsi="Arial" w:cs="Arial"/>
          <w:sz w:val="19"/>
          <w:szCs w:val="19"/>
        </w:rPr>
        <w:t>tinue our research and development of our product candidates in Clinical Studies, Clinical Trials for any product candidate we elect to develop as a drug product candidate under an IND and as we seek regulatory approvals, as necessary, for and commercializ</w:t>
      </w:r>
      <w:r>
        <w:rPr>
          <w:rFonts w:ascii="Arial" w:eastAsia="Arial" w:hAnsi="Arial" w:cs="Arial"/>
          <w:sz w:val="19"/>
          <w:szCs w:val="19"/>
        </w:rPr>
        <w:t>e our product candidates, if approved. We anticipate that our expenses will increase substantially if, and as, we:</w:t>
      </w:r>
    </w:p>
    <w:p w:rsidR="000728AD" w:rsidRDefault="000728AD">
      <w:pPr>
        <w:spacing w:line="211" w:lineRule="exact"/>
        <w:rPr>
          <w:sz w:val="20"/>
          <w:szCs w:val="20"/>
        </w:rPr>
      </w:pPr>
    </w:p>
    <w:p w:rsidR="000728AD" w:rsidRDefault="000561BE">
      <w:pPr>
        <w:numPr>
          <w:ilvl w:val="0"/>
          <w:numId w:val="11"/>
        </w:numPr>
        <w:tabs>
          <w:tab w:val="left" w:pos="655"/>
        </w:tabs>
        <w:spacing w:line="238" w:lineRule="auto"/>
        <w:ind w:left="660" w:right="40" w:hanging="328"/>
        <w:rPr>
          <w:rFonts w:ascii="Arial" w:eastAsia="Arial" w:hAnsi="Arial" w:cs="Arial"/>
        </w:rPr>
      </w:pPr>
      <w:r>
        <w:rPr>
          <w:rFonts w:ascii="Arial" w:eastAsia="Arial" w:hAnsi="Arial" w:cs="Arial"/>
          <w:sz w:val="20"/>
          <w:szCs w:val="20"/>
        </w:rPr>
        <w:t xml:space="preserve">conduct preclinical studies, Clinical Studies, and for those product candidates that we elect to develop as therapeutics, Clinical </w:t>
      </w:r>
      <w:r>
        <w:rPr>
          <w:rFonts w:ascii="Arial" w:eastAsia="Arial" w:hAnsi="Arial" w:cs="Arial"/>
          <w:sz w:val="20"/>
          <w:szCs w:val="20"/>
        </w:rPr>
        <w:t>Trials or their equivalent in non-U.S. jurisdictions;</w:t>
      </w:r>
    </w:p>
    <w:p w:rsidR="000728AD" w:rsidRDefault="000728AD">
      <w:pPr>
        <w:spacing w:line="169" w:lineRule="exact"/>
        <w:rPr>
          <w:rFonts w:ascii="Arial" w:eastAsia="Arial" w:hAnsi="Arial" w:cs="Arial"/>
        </w:rPr>
      </w:pPr>
    </w:p>
    <w:p w:rsidR="000728AD" w:rsidRDefault="000561BE">
      <w:pPr>
        <w:numPr>
          <w:ilvl w:val="0"/>
          <w:numId w:val="11"/>
        </w:numPr>
        <w:tabs>
          <w:tab w:val="left" w:pos="655"/>
        </w:tabs>
        <w:spacing w:line="238" w:lineRule="auto"/>
        <w:ind w:left="660" w:right="180" w:hanging="328"/>
        <w:rPr>
          <w:rFonts w:ascii="Arial" w:eastAsia="Arial" w:hAnsi="Arial" w:cs="Arial"/>
        </w:rPr>
      </w:pPr>
      <w:r>
        <w:rPr>
          <w:rFonts w:ascii="Arial" w:eastAsia="Arial" w:hAnsi="Arial" w:cs="Arial"/>
          <w:sz w:val="20"/>
          <w:szCs w:val="20"/>
        </w:rPr>
        <w:t>incur setbacks or delays to the initiation or completion of preclinical studies, product development, Clinical Studies and/or Clinical Trials due to the COVID-19 pandemic;</w:t>
      </w:r>
    </w:p>
    <w:p w:rsidR="000728AD" w:rsidRDefault="000728AD">
      <w:pPr>
        <w:spacing w:line="166" w:lineRule="exact"/>
        <w:rPr>
          <w:rFonts w:ascii="Arial" w:eastAsia="Arial" w:hAnsi="Arial" w:cs="Arial"/>
        </w:rPr>
      </w:pPr>
    </w:p>
    <w:p w:rsidR="000728AD" w:rsidRDefault="000561BE">
      <w:pPr>
        <w:numPr>
          <w:ilvl w:val="0"/>
          <w:numId w:val="11"/>
        </w:numPr>
        <w:tabs>
          <w:tab w:val="left" w:pos="660"/>
        </w:tabs>
        <w:ind w:left="660" w:hanging="328"/>
        <w:rPr>
          <w:rFonts w:ascii="Arial" w:eastAsia="Arial" w:hAnsi="Arial" w:cs="Arial"/>
        </w:rPr>
      </w:pPr>
      <w:r>
        <w:rPr>
          <w:rFonts w:ascii="Arial" w:eastAsia="Arial" w:hAnsi="Arial" w:cs="Arial"/>
          <w:sz w:val="20"/>
          <w:szCs w:val="20"/>
        </w:rPr>
        <w:t>further develop our propriet</w:t>
      </w:r>
      <w:r>
        <w:rPr>
          <w:rFonts w:ascii="Arial" w:eastAsia="Arial" w:hAnsi="Arial" w:cs="Arial"/>
          <w:sz w:val="20"/>
          <w:szCs w:val="20"/>
        </w:rPr>
        <w:t>ary human-focused product development platform;</w:t>
      </w:r>
    </w:p>
    <w:p w:rsidR="000728AD" w:rsidRDefault="000728AD">
      <w:pPr>
        <w:spacing w:line="165" w:lineRule="exact"/>
        <w:rPr>
          <w:rFonts w:ascii="Arial" w:eastAsia="Arial" w:hAnsi="Arial" w:cs="Arial"/>
        </w:rPr>
      </w:pPr>
    </w:p>
    <w:p w:rsidR="000728AD" w:rsidRDefault="000561BE">
      <w:pPr>
        <w:numPr>
          <w:ilvl w:val="0"/>
          <w:numId w:val="11"/>
        </w:numPr>
        <w:tabs>
          <w:tab w:val="left" w:pos="660"/>
        </w:tabs>
        <w:ind w:left="660" w:hanging="328"/>
        <w:rPr>
          <w:rFonts w:ascii="Arial" w:eastAsia="Arial" w:hAnsi="Arial" w:cs="Arial"/>
        </w:rPr>
      </w:pPr>
      <w:r>
        <w:rPr>
          <w:rFonts w:ascii="Arial" w:eastAsia="Arial" w:hAnsi="Arial" w:cs="Arial"/>
          <w:sz w:val="20"/>
          <w:szCs w:val="20"/>
        </w:rPr>
        <w:t>continue to discover and develop our current product candidates as well as additional product candidates;</w:t>
      </w:r>
    </w:p>
    <w:p w:rsidR="000728AD" w:rsidRDefault="000728AD">
      <w:pPr>
        <w:spacing w:line="165" w:lineRule="exact"/>
        <w:rPr>
          <w:rFonts w:ascii="Arial" w:eastAsia="Arial" w:hAnsi="Arial" w:cs="Arial"/>
        </w:rPr>
      </w:pPr>
    </w:p>
    <w:p w:rsidR="000728AD" w:rsidRDefault="000561BE">
      <w:pPr>
        <w:numPr>
          <w:ilvl w:val="0"/>
          <w:numId w:val="11"/>
        </w:numPr>
        <w:tabs>
          <w:tab w:val="left" w:pos="660"/>
        </w:tabs>
        <w:ind w:left="660" w:hanging="328"/>
        <w:rPr>
          <w:rFonts w:ascii="Arial" w:eastAsia="Arial" w:hAnsi="Arial" w:cs="Arial"/>
        </w:rPr>
      </w:pPr>
      <w:r>
        <w:rPr>
          <w:rFonts w:ascii="Arial" w:eastAsia="Arial" w:hAnsi="Arial" w:cs="Arial"/>
          <w:sz w:val="20"/>
          <w:szCs w:val="20"/>
        </w:rPr>
        <w:t>maintain, expand and protect our intellectual property portfolio;</w:t>
      </w:r>
    </w:p>
    <w:p w:rsidR="000728AD" w:rsidRDefault="000728AD">
      <w:pPr>
        <w:spacing w:line="168" w:lineRule="exact"/>
        <w:rPr>
          <w:rFonts w:ascii="Arial" w:eastAsia="Arial" w:hAnsi="Arial" w:cs="Arial"/>
        </w:rPr>
      </w:pPr>
    </w:p>
    <w:p w:rsidR="000728AD" w:rsidRDefault="000561BE">
      <w:pPr>
        <w:numPr>
          <w:ilvl w:val="0"/>
          <w:numId w:val="11"/>
        </w:numPr>
        <w:tabs>
          <w:tab w:val="left" w:pos="655"/>
        </w:tabs>
        <w:spacing w:line="238" w:lineRule="auto"/>
        <w:ind w:left="660" w:right="440" w:hanging="328"/>
        <w:rPr>
          <w:rFonts w:ascii="Arial" w:eastAsia="Arial" w:hAnsi="Arial" w:cs="Arial"/>
        </w:rPr>
      </w:pPr>
      <w:r>
        <w:rPr>
          <w:rFonts w:ascii="Arial" w:eastAsia="Arial" w:hAnsi="Arial" w:cs="Arial"/>
          <w:sz w:val="20"/>
          <w:szCs w:val="20"/>
        </w:rPr>
        <w:t>hire or contract additional clini</w:t>
      </w:r>
      <w:r>
        <w:rPr>
          <w:rFonts w:ascii="Arial" w:eastAsia="Arial" w:hAnsi="Arial" w:cs="Arial"/>
          <w:sz w:val="20"/>
          <w:szCs w:val="20"/>
        </w:rPr>
        <w:t>cal, scientific, manufacturing, quality and commercial personnel to support our product research, development and commercialization efforts;</w:t>
      </w:r>
    </w:p>
    <w:p w:rsidR="000728AD" w:rsidRDefault="000728AD">
      <w:pPr>
        <w:spacing w:line="169" w:lineRule="exact"/>
        <w:rPr>
          <w:rFonts w:ascii="Arial" w:eastAsia="Arial" w:hAnsi="Arial" w:cs="Arial"/>
        </w:rPr>
      </w:pPr>
    </w:p>
    <w:p w:rsidR="000728AD" w:rsidRDefault="000561BE">
      <w:pPr>
        <w:numPr>
          <w:ilvl w:val="0"/>
          <w:numId w:val="11"/>
        </w:numPr>
        <w:tabs>
          <w:tab w:val="left" w:pos="655"/>
        </w:tabs>
        <w:spacing w:line="238" w:lineRule="auto"/>
        <w:ind w:left="660" w:right="540" w:hanging="328"/>
        <w:rPr>
          <w:rFonts w:ascii="Arial" w:eastAsia="Arial" w:hAnsi="Arial" w:cs="Arial"/>
        </w:rPr>
      </w:pPr>
      <w:r>
        <w:rPr>
          <w:rFonts w:ascii="Arial" w:eastAsia="Arial" w:hAnsi="Arial" w:cs="Arial"/>
          <w:sz w:val="20"/>
          <w:szCs w:val="20"/>
        </w:rPr>
        <w:t>continue to develop, scale and validate a manufacturing process and specifications for our product candidates, inc</w:t>
      </w:r>
      <w:r>
        <w:rPr>
          <w:rFonts w:ascii="Arial" w:eastAsia="Arial" w:hAnsi="Arial" w:cs="Arial"/>
          <w:sz w:val="20"/>
          <w:szCs w:val="20"/>
        </w:rPr>
        <w:t>luding under requirements for drug development;</w:t>
      </w:r>
    </w:p>
    <w:p w:rsidR="000728AD" w:rsidRDefault="000728AD">
      <w:pPr>
        <w:spacing w:line="166" w:lineRule="exact"/>
        <w:rPr>
          <w:rFonts w:ascii="Arial" w:eastAsia="Arial" w:hAnsi="Arial" w:cs="Arial"/>
        </w:rPr>
      </w:pPr>
    </w:p>
    <w:p w:rsidR="000728AD" w:rsidRDefault="000561BE">
      <w:pPr>
        <w:numPr>
          <w:ilvl w:val="0"/>
          <w:numId w:val="11"/>
        </w:numPr>
        <w:tabs>
          <w:tab w:val="left" w:pos="660"/>
        </w:tabs>
        <w:ind w:left="660" w:hanging="328"/>
        <w:rPr>
          <w:rFonts w:ascii="Arial" w:eastAsia="Arial" w:hAnsi="Arial" w:cs="Arial"/>
        </w:rPr>
      </w:pPr>
      <w:r>
        <w:rPr>
          <w:rFonts w:ascii="Arial" w:eastAsia="Arial" w:hAnsi="Arial" w:cs="Arial"/>
          <w:sz w:val="20"/>
          <w:szCs w:val="20"/>
        </w:rPr>
        <w:t>incur any disruption or delays to the supply of our product candidates due to the COVID-19 pandemic;</w:t>
      </w:r>
    </w:p>
    <w:p w:rsidR="000728AD" w:rsidRDefault="000728AD">
      <w:pPr>
        <w:spacing w:line="165" w:lineRule="exact"/>
        <w:rPr>
          <w:rFonts w:ascii="Arial" w:eastAsia="Arial" w:hAnsi="Arial" w:cs="Arial"/>
        </w:rPr>
      </w:pPr>
    </w:p>
    <w:p w:rsidR="000728AD" w:rsidRDefault="000561BE">
      <w:pPr>
        <w:numPr>
          <w:ilvl w:val="0"/>
          <w:numId w:val="11"/>
        </w:numPr>
        <w:tabs>
          <w:tab w:val="left" w:pos="660"/>
        </w:tabs>
        <w:ind w:left="660" w:hanging="328"/>
        <w:rPr>
          <w:rFonts w:ascii="Arial" w:eastAsia="Arial" w:hAnsi="Arial" w:cs="Arial"/>
        </w:rPr>
      </w:pPr>
      <w:r>
        <w:rPr>
          <w:rFonts w:ascii="Arial" w:eastAsia="Arial" w:hAnsi="Arial" w:cs="Arial"/>
          <w:sz w:val="20"/>
          <w:szCs w:val="20"/>
        </w:rPr>
        <w:t xml:space="preserve">continue to establish in-house manufacturing capabilities for our research and product </w:t>
      </w:r>
      <w:r>
        <w:rPr>
          <w:rFonts w:ascii="Arial" w:eastAsia="Arial" w:hAnsi="Arial" w:cs="Arial"/>
          <w:sz w:val="20"/>
          <w:szCs w:val="20"/>
        </w:rPr>
        <w:t>development efforts;</w:t>
      </w:r>
    </w:p>
    <w:p w:rsidR="000728AD" w:rsidRDefault="000728AD">
      <w:pPr>
        <w:spacing w:line="168" w:lineRule="exact"/>
        <w:rPr>
          <w:rFonts w:ascii="Arial" w:eastAsia="Arial" w:hAnsi="Arial" w:cs="Arial"/>
        </w:rPr>
      </w:pPr>
    </w:p>
    <w:p w:rsidR="000728AD" w:rsidRDefault="000561BE">
      <w:pPr>
        <w:numPr>
          <w:ilvl w:val="0"/>
          <w:numId w:val="11"/>
        </w:numPr>
        <w:tabs>
          <w:tab w:val="left" w:pos="655"/>
        </w:tabs>
        <w:spacing w:line="238" w:lineRule="auto"/>
        <w:ind w:left="660" w:right="240" w:hanging="328"/>
        <w:rPr>
          <w:rFonts w:ascii="Arial" w:eastAsia="Arial" w:hAnsi="Arial" w:cs="Arial"/>
        </w:rPr>
      </w:pPr>
      <w:r>
        <w:rPr>
          <w:rFonts w:ascii="Arial" w:eastAsia="Arial" w:hAnsi="Arial" w:cs="Arial"/>
          <w:sz w:val="20"/>
          <w:szCs w:val="20"/>
        </w:rPr>
        <w:t>establish a commercial manufacturing source and secure supply chain capacity sufficient to provide preclinical study material, Clinical Study material, Clinical Trial material for any product candidate we elect to develop as a drug pr</w:t>
      </w:r>
      <w:r>
        <w:rPr>
          <w:rFonts w:ascii="Arial" w:eastAsia="Arial" w:hAnsi="Arial" w:cs="Arial"/>
          <w:sz w:val="20"/>
          <w:szCs w:val="20"/>
        </w:rPr>
        <w:t>oduct candidate under an IND, and commercial quantities of any product candidates that we may commercialize as drug or non-drug products, following receipt of any necessary approvals or authorizations;</w:t>
      </w:r>
    </w:p>
    <w:p w:rsidR="000728AD" w:rsidRDefault="000728AD">
      <w:pPr>
        <w:spacing w:line="169" w:lineRule="exact"/>
        <w:rPr>
          <w:rFonts w:ascii="Arial" w:eastAsia="Arial" w:hAnsi="Arial" w:cs="Arial"/>
        </w:rPr>
      </w:pPr>
    </w:p>
    <w:p w:rsidR="000728AD" w:rsidRDefault="000561BE">
      <w:pPr>
        <w:numPr>
          <w:ilvl w:val="0"/>
          <w:numId w:val="11"/>
        </w:numPr>
        <w:tabs>
          <w:tab w:val="left" w:pos="660"/>
        </w:tabs>
        <w:ind w:left="660" w:hanging="328"/>
        <w:rPr>
          <w:rFonts w:ascii="Arial" w:eastAsia="Arial" w:hAnsi="Arial" w:cs="Arial"/>
        </w:rPr>
      </w:pPr>
      <w:r>
        <w:rPr>
          <w:rFonts w:ascii="Arial" w:eastAsia="Arial" w:hAnsi="Arial" w:cs="Arial"/>
          <w:sz w:val="20"/>
          <w:szCs w:val="20"/>
        </w:rPr>
        <w:t>acquire or in-license other product candidates and te</w:t>
      </w:r>
      <w:r>
        <w:rPr>
          <w:rFonts w:ascii="Arial" w:eastAsia="Arial" w:hAnsi="Arial" w:cs="Arial"/>
          <w:sz w:val="20"/>
          <w:szCs w:val="20"/>
        </w:rPr>
        <w:t>chnologies;</w:t>
      </w:r>
    </w:p>
    <w:p w:rsidR="000728AD" w:rsidRDefault="000728AD">
      <w:pPr>
        <w:spacing w:line="165" w:lineRule="exact"/>
        <w:rPr>
          <w:rFonts w:ascii="Arial" w:eastAsia="Arial" w:hAnsi="Arial" w:cs="Arial"/>
        </w:rPr>
      </w:pPr>
    </w:p>
    <w:p w:rsidR="000728AD" w:rsidRDefault="000561BE">
      <w:pPr>
        <w:numPr>
          <w:ilvl w:val="0"/>
          <w:numId w:val="11"/>
        </w:numPr>
        <w:tabs>
          <w:tab w:val="left" w:pos="660"/>
        </w:tabs>
        <w:ind w:left="660" w:hanging="328"/>
        <w:rPr>
          <w:rFonts w:ascii="Arial" w:eastAsia="Arial" w:hAnsi="Arial" w:cs="Arial"/>
        </w:rPr>
      </w:pPr>
      <w:r>
        <w:rPr>
          <w:rFonts w:ascii="Arial" w:eastAsia="Arial" w:hAnsi="Arial" w:cs="Arial"/>
          <w:sz w:val="20"/>
          <w:szCs w:val="20"/>
        </w:rPr>
        <w:t>seek various non-drug product marketing pathways and, if applicable, drug regulatory authorizations;</w:t>
      </w:r>
    </w:p>
    <w:p w:rsidR="000728AD" w:rsidRDefault="000728AD">
      <w:pPr>
        <w:spacing w:line="168" w:lineRule="exact"/>
        <w:rPr>
          <w:rFonts w:ascii="Arial" w:eastAsia="Arial" w:hAnsi="Arial" w:cs="Arial"/>
        </w:rPr>
      </w:pPr>
    </w:p>
    <w:p w:rsidR="000728AD" w:rsidRDefault="000561BE">
      <w:pPr>
        <w:numPr>
          <w:ilvl w:val="0"/>
          <w:numId w:val="11"/>
        </w:numPr>
        <w:tabs>
          <w:tab w:val="left" w:pos="655"/>
        </w:tabs>
        <w:spacing w:line="238" w:lineRule="auto"/>
        <w:ind w:left="660" w:right="660" w:hanging="328"/>
        <w:rPr>
          <w:rFonts w:ascii="Arial" w:eastAsia="Arial" w:hAnsi="Arial" w:cs="Arial"/>
        </w:rPr>
      </w:pPr>
      <w:r>
        <w:rPr>
          <w:rFonts w:ascii="Arial" w:eastAsia="Arial" w:hAnsi="Arial" w:cs="Arial"/>
          <w:sz w:val="20"/>
          <w:szCs w:val="20"/>
        </w:rPr>
        <w:t>establish a sales, marketing and distribution infrastructure to commercialize any product candidates for which we may obtain regulatory appro</w:t>
      </w:r>
      <w:r>
        <w:rPr>
          <w:rFonts w:ascii="Arial" w:eastAsia="Arial" w:hAnsi="Arial" w:cs="Arial"/>
          <w:sz w:val="20"/>
          <w:szCs w:val="20"/>
        </w:rPr>
        <w:t>val or identify an alternate regulatory pathway to market; and</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93" w:lineRule="exact"/>
        <w:rPr>
          <w:sz w:val="20"/>
          <w:szCs w:val="20"/>
        </w:rPr>
      </w:pPr>
    </w:p>
    <w:p w:rsidR="000728AD" w:rsidRDefault="000561BE">
      <w:pPr>
        <w:ind w:right="-59"/>
        <w:jc w:val="center"/>
        <w:rPr>
          <w:sz w:val="20"/>
          <w:szCs w:val="20"/>
        </w:rPr>
      </w:pPr>
      <w:r>
        <w:rPr>
          <w:rFonts w:ascii="Arial" w:eastAsia="Arial" w:hAnsi="Arial" w:cs="Arial"/>
          <w:sz w:val="18"/>
          <w:szCs w:val="18"/>
        </w:rPr>
        <w:t>34</w:t>
      </w:r>
    </w:p>
    <w:p w:rsidR="000728AD" w:rsidRDefault="000561BE">
      <w:pPr>
        <w:spacing w:line="20" w:lineRule="exact"/>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79" w:bottom="1440" w:left="320" w:header="0" w:footer="0" w:gutter="0"/>
          <w:cols w:space="720" w:equalWidth="0">
            <w:col w:w="11200"/>
          </w:cols>
        </w:sectPr>
      </w:pPr>
    </w:p>
    <w:bookmarkStart w:id="35" w:name="page35"/>
    <w:bookmarkEnd w:id="35"/>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28" w:lineRule="exact"/>
        <w:rPr>
          <w:sz w:val="20"/>
          <w:szCs w:val="20"/>
        </w:rPr>
      </w:pPr>
    </w:p>
    <w:p w:rsidR="000728AD" w:rsidRDefault="000561BE">
      <w:pPr>
        <w:numPr>
          <w:ilvl w:val="0"/>
          <w:numId w:val="12"/>
        </w:numPr>
        <w:tabs>
          <w:tab w:val="left" w:pos="655"/>
        </w:tabs>
        <w:spacing w:line="238" w:lineRule="auto"/>
        <w:ind w:left="660" w:right="420" w:hanging="328"/>
        <w:rPr>
          <w:rFonts w:ascii="Arial" w:eastAsia="Arial" w:hAnsi="Arial" w:cs="Arial"/>
        </w:rPr>
      </w:pPr>
      <w:r>
        <w:rPr>
          <w:rFonts w:ascii="Arial" w:eastAsia="Arial" w:hAnsi="Arial" w:cs="Arial"/>
          <w:sz w:val="20"/>
          <w:szCs w:val="20"/>
        </w:rPr>
        <w:t xml:space="preserve">add operational, compliance, financial and management information systems and personnel to support our </w:t>
      </w:r>
      <w:r>
        <w:rPr>
          <w:rFonts w:ascii="Arial" w:eastAsia="Arial" w:hAnsi="Arial" w:cs="Arial"/>
          <w:sz w:val="20"/>
          <w:szCs w:val="20"/>
        </w:rPr>
        <w:t>operations as a public company.</w:t>
      </w:r>
    </w:p>
    <w:p w:rsidR="000728AD" w:rsidRDefault="000728AD">
      <w:pPr>
        <w:spacing w:line="196" w:lineRule="exact"/>
        <w:rPr>
          <w:sz w:val="20"/>
          <w:szCs w:val="20"/>
        </w:rPr>
      </w:pPr>
    </w:p>
    <w:p w:rsidR="000728AD" w:rsidRDefault="000561BE">
      <w:pPr>
        <w:spacing w:line="269" w:lineRule="auto"/>
        <w:rPr>
          <w:sz w:val="20"/>
          <w:szCs w:val="20"/>
        </w:rPr>
      </w:pPr>
      <w:r>
        <w:rPr>
          <w:rFonts w:ascii="Arial" w:eastAsia="Arial" w:hAnsi="Arial" w:cs="Arial"/>
          <w:sz w:val="18"/>
          <w:szCs w:val="18"/>
        </w:rPr>
        <w:t>To become and remain profitable, we or any potential future collaborator must develop and eventually commercialize products with significant market potential at an adequate profit margin after cost of goods sold and other e</w:t>
      </w:r>
      <w:r>
        <w:rPr>
          <w:rFonts w:ascii="Arial" w:eastAsia="Arial" w:hAnsi="Arial" w:cs="Arial"/>
          <w:sz w:val="18"/>
          <w:szCs w:val="18"/>
        </w:rPr>
        <w:t>xpenses. This will require us to be successful in a range of challenging activities, including, but not limited to: completing preclinical studies, Clinical Studies and Clinical Trials for any product candidate we elect to develop as a drug product candida</w:t>
      </w:r>
      <w:r>
        <w:rPr>
          <w:rFonts w:ascii="Arial" w:eastAsia="Arial" w:hAnsi="Arial" w:cs="Arial"/>
          <w:sz w:val="18"/>
          <w:szCs w:val="18"/>
        </w:rPr>
        <w:t>te under an IND; obtaining marketing approval or identifying alternate regulatory pathways for product candidates; manufacturing, marketing and selling products for which we may obtain marketing approval; or successfully satisfying any pre- or post-marketi</w:t>
      </w:r>
      <w:r>
        <w:rPr>
          <w:rFonts w:ascii="Arial" w:eastAsia="Arial" w:hAnsi="Arial" w:cs="Arial"/>
          <w:sz w:val="18"/>
          <w:szCs w:val="18"/>
        </w:rPr>
        <w:t>ng requirements. We may never succeed in any or all of these activities and, even if we do, we may never generate revenue that is significant enough to achieve profitability. If we do achieve profitability, we may not be able to sustain or increase profita</w:t>
      </w:r>
      <w:r>
        <w:rPr>
          <w:rFonts w:ascii="Arial" w:eastAsia="Arial" w:hAnsi="Arial" w:cs="Arial"/>
          <w:sz w:val="18"/>
          <w:szCs w:val="18"/>
        </w:rPr>
        <w:t xml:space="preserve">bility on a quarterly or annual basis. Our failure to become and remain profitable would decrease the value of our company, which could impair our ability to raise capital, maintain our research and development efforts, expand our business or continue our </w:t>
      </w:r>
      <w:r>
        <w:rPr>
          <w:rFonts w:ascii="Arial" w:eastAsia="Arial" w:hAnsi="Arial" w:cs="Arial"/>
          <w:sz w:val="18"/>
          <w:szCs w:val="18"/>
        </w:rPr>
        <w:t>operations. A decline in the value of our company also could cause you to lose all or part of your investment. Even if we succeed in commercializing one or more of our product candidates, we will continue to incur substantial research and development and o</w:t>
      </w:r>
      <w:r>
        <w:rPr>
          <w:rFonts w:ascii="Arial" w:eastAsia="Arial" w:hAnsi="Arial" w:cs="Arial"/>
          <w:sz w:val="18"/>
          <w:szCs w:val="18"/>
        </w:rPr>
        <w:t>ther expenditures to develop and market additional product candidates. We may encounter unforeseen expenses, difficulties, complications, delays and other unknown factors that may adversely affect our business, which may be significant. The size of our fut</w:t>
      </w:r>
      <w:r>
        <w:rPr>
          <w:rFonts w:ascii="Arial" w:eastAsia="Arial" w:hAnsi="Arial" w:cs="Arial"/>
          <w:sz w:val="18"/>
          <w:szCs w:val="18"/>
        </w:rPr>
        <w:t xml:space="preserve">ure net losses will depend, in part, on the rate of future growth of our expenses and our ability to generate revenue. Our prior losses and expected future losses have had and will continue to have an adverse effect on our stockholders' equity and working </w:t>
      </w:r>
      <w:r>
        <w:rPr>
          <w:rFonts w:ascii="Arial" w:eastAsia="Arial" w:hAnsi="Arial" w:cs="Arial"/>
          <w:sz w:val="18"/>
          <w:szCs w:val="18"/>
        </w:rPr>
        <w:t>capital.</w:t>
      </w:r>
    </w:p>
    <w:p w:rsidR="000728AD" w:rsidRDefault="000728AD">
      <w:pPr>
        <w:spacing w:line="179" w:lineRule="exact"/>
        <w:rPr>
          <w:sz w:val="20"/>
          <w:szCs w:val="20"/>
        </w:rPr>
      </w:pPr>
    </w:p>
    <w:p w:rsidR="000728AD" w:rsidRDefault="000561BE">
      <w:pPr>
        <w:spacing w:line="260" w:lineRule="auto"/>
        <w:ind w:right="480"/>
        <w:rPr>
          <w:sz w:val="20"/>
          <w:szCs w:val="20"/>
        </w:rPr>
      </w:pPr>
      <w:r>
        <w:rPr>
          <w:rFonts w:ascii="Arial" w:eastAsia="Arial" w:hAnsi="Arial" w:cs="Arial"/>
          <w:b/>
          <w:bCs/>
          <w:i/>
          <w:iCs/>
          <w:sz w:val="20"/>
          <w:szCs w:val="20"/>
        </w:rPr>
        <w:t>We will require additional capital to fund our operations and if we fail to obtain necessary financing, we will not be able to complete development and commercialization of our product candidates.</w:t>
      </w:r>
    </w:p>
    <w:p w:rsidR="000728AD" w:rsidRDefault="000728AD">
      <w:pPr>
        <w:spacing w:line="177" w:lineRule="exact"/>
        <w:rPr>
          <w:sz w:val="20"/>
          <w:szCs w:val="20"/>
        </w:rPr>
      </w:pPr>
    </w:p>
    <w:p w:rsidR="000728AD" w:rsidRDefault="000561BE">
      <w:pPr>
        <w:spacing w:line="272" w:lineRule="auto"/>
        <w:ind w:right="140"/>
        <w:rPr>
          <w:sz w:val="20"/>
          <w:szCs w:val="20"/>
        </w:rPr>
      </w:pPr>
      <w:r>
        <w:rPr>
          <w:rFonts w:ascii="Arial" w:eastAsia="Arial" w:hAnsi="Arial" w:cs="Arial"/>
          <w:sz w:val="18"/>
          <w:szCs w:val="18"/>
        </w:rPr>
        <w:t xml:space="preserve">Our operations have consumed </w:t>
      </w:r>
      <w:r>
        <w:rPr>
          <w:rFonts w:ascii="Arial" w:eastAsia="Arial" w:hAnsi="Arial" w:cs="Arial"/>
          <w:sz w:val="18"/>
          <w:szCs w:val="18"/>
        </w:rPr>
        <w:t>substantial amounts of cash since inception. We expect to continue to spend substantial amounts for our current and future programs: to conduct further research and development, preclinical studies, Clinical Studies and/or Clinical Trials for any product c</w:t>
      </w:r>
      <w:r>
        <w:rPr>
          <w:rFonts w:ascii="Arial" w:eastAsia="Arial" w:hAnsi="Arial" w:cs="Arial"/>
          <w:sz w:val="18"/>
          <w:szCs w:val="18"/>
        </w:rPr>
        <w:t>andidates we elect to develop as a drug product candidate under an IND; to validate the manufacturing process and specifications for our product candidates; to seek regulatory approvals for or identify alternate regulatory pathways to market for our produc</w:t>
      </w:r>
      <w:r>
        <w:rPr>
          <w:rFonts w:ascii="Arial" w:eastAsia="Arial" w:hAnsi="Arial" w:cs="Arial"/>
          <w:sz w:val="18"/>
          <w:szCs w:val="18"/>
        </w:rPr>
        <w:t>t candidates; and to launch and commercialize any products for which we receive regulatory approval or identify an alternate regulatory pathway to</w:t>
      </w:r>
    </w:p>
    <w:p w:rsidR="000728AD" w:rsidRDefault="000728AD">
      <w:pPr>
        <w:spacing w:line="2" w:lineRule="exact"/>
        <w:rPr>
          <w:sz w:val="20"/>
          <w:szCs w:val="20"/>
        </w:rPr>
      </w:pPr>
    </w:p>
    <w:p w:rsidR="000728AD" w:rsidRDefault="000561BE">
      <w:pPr>
        <w:spacing w:line="255" w:lineRule="auto"/>
        <w:ind w:right="20"/>
        <w:rPr>
          <w:sz w:val="20"/>
          <w:szCs w:val="20"/>
        </w:rPr>
      </w:pPr>
      <w:r>
        <w:rPr>
          <w:rFonts w:ascii="Arial" w:eastAsia="Arial" w:hAnsi="Arial" w:cs="Arial"/>
          <w:sz w:val="19"/>
          <w:szCs w:val="19"/>
        </w:rPr>
        <w:t>market, including potentially building our own commercial organization. As of June 30, 2021, we had $78.9 mi</w:t>
      </w:r>
      <w:r>
        <w:rPr>
          <w:rFonts w:ascii="Arial" w:eastAsia="Arial" w:hAnsi="Arial" w:cs="Arial"/>
          <w:sz w:val="19"/>
          <w:szCs w:val="19"/>
        </w:rPr>
        <w:t>llion of cash, cash equivalents and marketable securities. Based on our current operating plan, we believe that our existing cash, cash equivalents and marketable securities will enable us to fund our operating expenses, capital expenditure requirements an</w:t>
      </w:r>
      <w:r>
        <w:rPr>
          <w:rFonts w:ascii="Arial" w:eastAsia="Arial" w:hAnsi="Arial" w:cs="Arial"/>
          <w:sz w:val="19"/>
          <w:szCs w:val="19"/>
        </w:rPr>
        <w:t>d debt service obligations through at least the next 12 months following the filing date of this Quarterly Report on Form 10-Q. Our future capital requirements and the period for which our existing resources will support our operations may vary significant</w:t>
      </w:r>
      <w:r>
        <w:rPr>
          <w:rFonts w:ascii="Arial" w:eastAsia="Arial" w:hAnsi="Arial" w:cs="Arial"/>
          <w:sz w:val="19"/>
          <w:szCs w:val="19"/>
        </w:rPr>
        <w:t>ly from our expectations, and we will in any event require additional capital in order to complete clinical development of any of our current product candidates. Our monthly spending levels will vary based on new and ongoing development and corporate activ</w:t>
      </w:r>
      <w:r>
        <w:rPr>
          <w:rFonts w:ascii="Arial" w:eastAsia="Arial" w:hAnsi="Arial" w:cs="Arial"/>
          <w:sz w:val="19"/>
          <w:szCs w:val="19"/>
        </w:rPr>
        <w:t>ities. Because the length of time and activities associated with development of our product candidates is highly uncertain, we are unable to estimate the actual funds we will require for development and any approved marketing and commercialization activiti</w:t>
      </w:r>
      <w:r>
        <w:rPr>
          <w:rFonts w:ascii="Arial" w:eastAsia="Arial" w:hAnsi="Arial" w:cs="Arial"/>
          <w:sz w:val="19"/>
          <w:szCs w:val="19"/>
        </w:rPr>
        <w:t>es. Our future funding requirements, both near- and long-term, will depend on many factors, including, but not limited to:</w:t>
      </w:r>
    </w:p>
    <w:p w:rsidR="000728AD" w:rsidRDefault="000728AD">
      <w:pPr>
        <w:spacing w:line="190" w:lineRule="exact"/>
        <w:rPr>
          <w:sz w:val="20"/>
          <w:szCs w:val="20"/>
        </w:rPr>
      </w:pPr>
    </w:p>
    <w:p w:rsidR="000728AD" w:rsidRDefault="000561BE">
      <w:pPr>
        <w:numPr>
          <w:ilvl w:val="0"/>
          <w:numId w:val="13"/>
        </w:numPr>
        <w:tabs>
          <w:tab w:val="left" w:pos="648"/>
        </w:tabs>
        <w:spacing w:line="250" w:lineRule="auto"/>
        <w:ind w:left="660" w:right="60" w:hanging="328"/>
        <w:rPr>
          <w:rFonts w:ascii="Arial" w:eastAsia="Arial" w:hAnsi="Arial" w:cs="Arial"/>
          <w:sz w:val="20"/>
          <w:szCs w:val="20"/>
        </w:rPr>
      </w:pPr>
      <w:r>
        <w:rPr>
          <w:rFonts w:ascii="Arial" w:eastAsia="Arial" w:hAnsi="Arial" w:cs="Arial"/>
          <w:sz w:val="20"/>
          <w:szCs w:val="20"/>
        </w:rPr>
        <w:t xml:space="preserve">our decisions regarding the development path under which we will develop our product candidates (e.g., either continuing to develop </w:t>
      </w:r>
      <w:r>
        <w:rPr>
          <w:rFonts w:ascii="Arial" w:eastAsia="Arial" w:hAnsi="Arial" w:cs="Arial"/>
          <w:sz w:val="20"/>
          <w:szCs w:val="20"/>
        </w:rPr>
        <w:t>a product candidate as a non-drug product, or initiating development as drug product candidate under an IND or non-U.S. equivalent);</w:t>
      </w:r>
    </w:p>
    <w:p w:rsidR="000728AD" w:rsidRDefault="000728AD">
      <w:pPr>
        <w:spacing w:line="131" w:lineRule="exact"/>
        <w:rPr>
          <w:rFonts w:ascii="Arial" w:eastAsia="Arial" w:hAnsi="Arial" w:cs="Arial"/>
          <w:sz w:val="20"/>
          <w:szCs w:val="20"/>
        </w:rPr>
      </w:pPr>
    </w:p>
    <w:p w:rsidR="000728AD" w:rsidRDefault="000561BE">
      <w:pPr>
        <w:numPr>
          <w:ilvl w:val="0"/>
          <w:numId w:val="13"/>
        </w:numPr>
        <w:tabs>
          <w:tab w:val="left" w:pos="648"/>
        </w:tabs>
        <w:spacing w:line="291" w:lineRule="auto"/>
        <w:ind w:left="660" w:right="40" w:hanging="328"/>
        <w:rPr>
          <w:rFonts w:ascii="Arial" w:eastAsia="Arial" w:hAnsi="Arial" w:cs="Arial"/>
          <w:sz w:val="18"/>
          <w:szCs w:val="18"/>
        </w:rPr>
      </w:pPr>
      <w:r>
        <w:rPr>
          <w:rFonts w:ascii="Arial" w:eastAsia="Arial" w:hAnsi="Arial" w:cs="Arial"/>
          <w:sz w:val="18"/>
          <w:szCs w:val="18"/>
        </w:rPr>
        <w:t xml:space="preserve">the initiation, progress, timing, costs and results of preclinical studies, Clinical Studies, Clinical Trials, and any </w:t>
      </w:r>
      <w:r>
        <w:rPr>
          <w:rFonts w:ascii="Arial" w:eastAsia="Arial" w:hAnsi="Arial" w:cs="Arial"/>
          <w:sz w:val="18"/>
          <w:szCs w:val="18"/>
        </w:rPr>
        <w:t>need to conduct additional studies as may be required by a regulatory authority, including additional studies that may be required by a regulatory authority in order to allow the initiation of Clinical Trials under an IND or the non-U.S. equivalent for any</w:t>
      </w:r>
      <w:r>
        <w:rPr>
          <w:rFonts w:ascii="Arial" w:eastAsia="Arial" w:hAnsi="Arial" w:cs="Arial"/>
          <w:sz w:val="18"/>
          <w:szCs w:val="18"/>
        </w:rPr>
        <w:t xml:space="preserve"> of our product candidates;</w:t>
      </w:r>
    </w:p>
    <w:p w:rsidR="000728AD" w:rsidRDefault="000728AD">
      <w:pPr>
        <w:spacing w:line="97" w:lineRule="exact"/>
        <w:rPr>
          <w:rFonts w:ascii="Arial" w:eastAsia="Arial" w:hAnsi="Arial" w:cs="Arial"/>
          <w:sz w:val="18"/>
          <w:szCs w:val="18"/>
        </w:rPr>
      </w:pPr>
    </w:p>
    <w:p w:rsidR="000728AD" w:rsidRDefault="000561BE">
      <w:pPr>
        <w:numPr>
          <w:ilvl w:val="0"/>
          <w:numId w:val="13"/>
        </w:numPr>
        <w:tabs>
          <w:tab w:val="left" w:pos="640"/>
        </w:tabs>
        <w:ind w:left="640" w:hanging="308"/>
        <w:rPr>
          <w:rFonts w:ascii="Arial" w:eastAsia="Arial" w:hAnsi="Arial" w:cs="Arial"/>
          <w:sz w:val="20"/>
          <w:szCs w:val="20"/>
        </w:rPr>
      </w:pPr>
      <w:r>
        <w:rPr>
          <w:rFonts w:ascii="Arial" w:eastAsia="Arial" w:hAnsi="Arial" w:cs="Arial"/>
          <w:sz w:val="20"/>
          <w:szCs w:val="20"/>
        </w:rPr>
        <w:t>any clinical development plans we establish for these product candidates;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12" w:lineRule="exact"/>
        <w:rPr>
          <w:sz w:val="20"/>
          <w:szCs w:val="20"/>
        </w:rPr>
      </w:pPr>
    </w:p>
    <w:p w:rsidR="000728AD" w:rsidRDefault="000561BE">
      <w:pPr>
        <w:ind w:right="-19"/>
        <w:jc w:val="center"/>
        <w:rPr>
          <w:sz w:val="20"/>
          <w:szCs w:val="20"/>
        </w:rPr>
      </w:pPr>
      <w:r>
        <w:rPr>
          <w:rFonts w:ascii="Arial" w:eastAsia="Arial" w:hAnsi="Arial" w:cs="Arial"/>
          <w:sz w:val="18"/>
          <w:szCs w:val="18"/>
        </w:rPr>
        <w:t>35</w:t>
      </w:r>
    </w:p>
    <w:p w:rsidR="000728AD" w:rsidRDefault="000561BE">
      <w:pPr>
        <w:spacing w:line="20" w:lineRule="exact"/>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36" w:name="page36"/>
    <w:bookmarkEnd w:id="36"/>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numPr>
          <w:ilvl w:val="0"/>
          <w:numId w:val="14"/>
        </w:numPr>
        <w:tabs>
          <w:tab w:val="left" w:pos="648"/>
        </w:tabs>
        <w:spacing w:line="260" w:lineRule="auto"/>
        <w:ind w:left="660" w:hanging="328"/>
        <w:rPr>
          <w:rFonts w:ascii="Arial" w:eastAsia="Arial" w:hAnsi="Arial" w:cs="Arial"/>
          <w:sz w:val="20"/>
          <w:szCs w:val="20"/>
        </w:rPr>
      </w:pPr>
      <w:r>
        <w:rPr>
          <w:rFonts w:ascii="Arial" w:eastAsia="Arial" w:hAnsi="Arial" w:cs="Arial"/>
          <w:sz w:val="20"/>
          <w:szCs w:val="20"/>
        </w:rPr>
        <w:t>any setbacks or delays to the initiation or completion of preclinical studi</w:t>
      </w:r>
      <w:r>
        <w:rPr>
          <w:rFonts w:ascii="Arial" w:eastAsia="Arial" w:hAnsi="Arial" w:cs="Arial"/>
          <w:sz w:val="20"/>
          <w:szCs w:val="20"/>
        </w:rPr>
        <w:t>es, Clinical Studies and/or Clinical Trials due to the COVID-19 pandemic;</w:t>
      </w:r>
    </w:p>
    <w:p w:rsidR="000728AD" w:rsidRDefault="000728AD">
      <w:pPr>
        <w:spacing w:line="122" w:lineRule="exact"/>
        <w:rPr>
          <w:rFonts w:ascii="Arial" w:eastAsia="Arial" w:hAnsi="Arial" w:cs="Arial"/>
          <w:sz w:val="20"/>
          <w:szCs w:val="20"/>
        </w:rPr>
      </w:pPr>
    </w:p>
    <w:p w:rsidR="000728AD" w:rsidRDefault="000561BE">
      <w:pPr>
        <w:numPr>
          <w:ilvl w:val="0"/>
          <w:numId w:val="14"/>
        </w:numPr>
        <w:tabs>
          <w:tab w:val="left" w:pos="640"/>
        </w:tabs>
        <w:ind w:left="640" w:hanging="308"/>
        <w:rPr>
          <w:rFonts w:ascii="Arial" w:eastAsia="Arial" w:hAnsi="Arial" w:cs="Arial"/>
          <w:sz w:val="20"/>
          <w:szCs w:val="20"/>
        </w:rPr>
      </w:pPr>
      <w:r>
        <w:rPr>
          <w:rFonts w:ascii="Arial" w:eastAsia="Arial" w:hAnsi="Arial" w:cs="Arial"/>
          <w:sz w:val="20"/>
          <w:szCs w:val="20"/>
        </w:rPr>
        <w:t>further development of our development platform and supporting infrastructure;</w:t>
      </w:r>
    </w:p>
    <w:p w:rsidR="000728AD" w:rsidRDefault="000728AD">
      <w:pPr>
        <w:spacing w:line="161" w:lineRule="exact"/>
        <w:rPr>
          <w:rFonts w:ascii="Arial" w:eastAsia="Arial" w:hAnsi="Arial" w:cs="Arial"/>
          <w:sz w:val="20"/>
          <w:szCs w:val="20"/>
        </w:rPr>
      </w:pPr>
    </w:p>
    <w:p w:rsidR="000728AD" w:rsidRDefault="000561BE">
      <w:pPr>
        <w:numPr>
          <w:ilvl w:val="0"/>
          <w:numId w:val="14"/>
        </w:numPr>
        <w:tabs>
          <w:tab w:val="left" w:pos="640"/>
        </w:tabs>
        <w:ind w:left="640" w:hanging="308"/>
        <w:rPr>
          <w:rFonts w:ascii="Arial" w:eastAsia="Arial" w:hAnsi="Arial" w:cs="Arial"/>
          <w:sz w:val="20"/>
          <w:szCs w:val="20"/>
        </w:rPr>
      </w:pPr>
      <w:r>
        <w:rPr>
          <w:rFonts w:ascii="Arial" w:eastAsia="Arial" w:hAnsi="Arial" w:cs="Arial"/>
          <w:sz w:val="20"/>
          <w:szCs w:val="20"/>
        </w:rPr>
        <w:t>the number and characteristics of product candidates that we develop or may in-license;</w:t>
      </w:r>
    </w:p>
    <w:p w:rsidR="000728AD" w:rsidRDefault="000728AD">
      <w:pPr>
        <w:spacing w:line="161" w:lineRule="exact"/>
        <w:rPr>
          <w:rFonts w:ascii="Arial" w:eastAsia="Arial" w:hAnsi="Arial" w:cs="Arial"/>
          <w:sz w:val="20"/>
          <w:szCs w:val="20"/>
        </w:rPr>
      </w:pPr>
    </w:p>
    <w:p w:rsidR="000728AD" w:rsidRDefault="000561BE">
      <w:pPr>
        <w:numPr>
          <w:ilvl w:val="0"/>
          <w:numId w:val="14"/>
        </w:numPr>
        <w:tabs>
          <w:tab w:val="left" w:pos="640"/>
        </w:tabs>
        <w:ind w:left="640" w:hanging="308"/>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z w:val="20"/>
          <w:szCs w:val="20"/>
        </w:rPr>
        <w:t>terms of any partnership or collaboration agreements we may choose to initiate or conclude;</w:t>
      </w:r>
    </w:p>
    <w:p w:rsidR="000728AD" w:rsidRDefault="000728AD">
      <w:pPr>
        <w:spacing w:line="161" w:lineRule="exact"/>
        <w:rPr>
          <w:rFonts w:ascii="Arial" w:eastAsia="Arial" w:hAnsi="Arial" w:cs="Arial"/>
          <w:sz w:val="20"/>
          <w:szCs w:val="20"/>
        </w:rPr>
      </w:pPr>
    </w:p>
    <w:p w:rsidR="000728AD" w:rsidRDefault="000561BE">
      <w:pPr>
        <w:numPr>
          <w:ilvl w:val="0"/>
          <w:numId w:val="14"/>
        </w:numPr>
        <w:tabs>
          <w:tab w:val="left" w:pos="648"/>
        </w:tabs>
        <w:spacing w:line="287" w:lineRule="auto"/>
        <w:ind w:left="660" w:right="420" w:hanging="328"/>
        <w:rPr>
          <w:rFonts w:ascii="Arial" w:eastAsia="Arial" w:hAnsi="Arial" w:cs="Arial"/>
          <w:sz w:val="19"/>
          <w:szCs w:val="19"/>
        </w:rPr>
      </w:pPr>
      <w:r>
        <w:rPr>
          <w:rFonts w:ascii="Arial" w:eastAsia="Arial" w:hAnsi="Arial" w:cs="Arial"/>
          <w:sz w:val="19"/>
          <w:szCs w:val="19"/>
        </w:rPr>
        <w:t>the outcome, timing and cost of meeting regulatory requirements established by the FDA, any other regulatory authorities in the United States, and, when applicable</w:t>
      </w:r>
      <w:r>
        <w:rPr>
          <w:rFonts w:ascii="Arial" w:eastAsia="Arial" w:hAnsi="Arial" w:cs="Arial"/>
          <w:sz w:val="19"/>
          <w:szCs w:val="19"/>
        </w:rPr>
        <w:t>, comparable foreign regulatory authorities, such as the EMA;</w:t>
      </w:r>
    </w:p>
    <w:p w:rsidR="000728AD" w:rsidRDefault="000728AD">
      <w:pPr>
        <w:spacing w:line="98" w:lineRule="exact"/>
        <w:rPr>
          <w:rFonts w:ascii="Arial" w:eastAsia="Arial" w:hAnsi="Arial" w:cs="Arial"/>
          <w:sz w:val="19"/>
          <w:szCs w:val="19"/>
        </w:rPr>
      </w:pPr>
    </w:p>
    <w:p w:rsidR="000728AD" w:rsidRDefault="000561BE">
      <w:pPr>
        <w:numPr>
          <w:ilvl w:val="0"/>
          <w:numId w:val="14"/>
        </w:numPr>
        <w:tabs>
          <w:tab w:val="left" w:pos="648"/>
        </w:tabs>
        <w:spacing w:line="250" w:lineRule="auto"/>
        <w:ind w:left="660" w:right="340" w:hanging="328"/>
        <w:jc w:val="both"/>
        <w:rPr>
          <w:rFonts w:ascii="Arial" w:eastAsia="Arial" w:hAnsi="Arial" w:cs="Arial"/>
          <w:sz w:val="20"/>
          <w:szCs w:val="20"/>
        </w:rPr>
      </w:pPr>
      <w:r>
        <w:rPr>
          <w:rFonts w:ascii="Arial" w:eastAsia="Arial" w:hAnsi="Arial" w:cs="Arial"/>
          <w:sz w:val="20"/>
          <w:szCs w:val="20"/>
        </w:rPr>
        <w:t>the effect of changes in regulations or policy relating to the development and commercialization of our product candidates by the FDA, any other regulatory authorities in the United States and,</w:t>
      </w:r>
      <w:r>
        <w:rPr>
          <w:rFonts w:ascii="Arial" w:eastAsia="Arial" w:hAnsi="Arial" w:cs="Arial"/>
          <w:sz w:val="20"/>
          <w:szCs w:val="20"/>
        </w:rPr>
        <w:t xml:space="preserve"> when applicable, other comparable foreign regulatory authorities, such as the EMA;</w:t>
      </w:r>
    </w:p>
    <w:p w:rsidR="000728AD" w:rsidRDefault="000728AD">
      <w:pPr>
        <w:spacing w:line="77" w:lineRule="exact"/>
        <w:rPr>
          <w:rFonts w:ascii="Arial" w:eastAsia="Arial" w:hAnsi="Arial" w:cs="Arial"/>
          <w:sz w:val="20"/>
          <w:szCs w:val="20"/>
        </w:rPr>
      </w:pPr>
    </w:p>
    <w:p w:rsidR="000728AD" w:rsidRDefault="000561BE">
      <w:pPr>
        <w:numPr>
          <w:ilvl w:val="0"/>
          <w:numId w:val="14"/>
        </w:numPr>
        <w:tabs>
          <w:tab w:val="left" w:pos="648"/>
        </w:tabs>
        <w:spacing w:line="260" w:lineRule="auto"/>
        <w:ind w:left="660" w:right="220" w:hanging="328"/>
        <w:rPr>
          <w:rFonts w:ascii="Arial" w:eastAsia="Arial" w:hAnsi="Arial" w:cs="Arial"/>
          <w:sz w:val="20"/>
          <w:szCs w:val="20"/>
        </w:rPr>
      </w:pPr>
      <w:r>
        <w:rPr>
          <w:rFonts w:ascii="Arial" w:eastAsia="Arial" w:hAnsi="Arial" w:cs="Arial"/>
          <w:sz w:val="20"/>
          <w:szCs w:val="20"/>
        </w:rPr>
        <w:t>the cost of establishing, maintaining and overseeing a system to ensure our ongoing and planned Clinical Trials are compliant with Good Clinical Practice, or GCP;</w:t>
      </w:r>
    </w:p>
    <w:p w:rsidR="000728AD" w:rsidRDefault="000728AD">
      <w:pPr>
        <w:spacing w:line="122" w:lineRule="exact"/>
        <w:rPr>
          <w:rFonts w:ascii="Arial" w:eastAsia="Arial" w:hAnsi="Arial" w:cs="Arial"/>
          <w:sz w:val="20"/>
          <w:szCs w:val="20"/>
        </w:rPr>
      </w:pPr>
    </w:p>
    <w:p w:rsidR="000728AD" w:rsidRDefault="000561BE">
      <w:pPr>
        <w:numPr>
          <w:ilvl w:val="0"/>
          <w:numId w:val="14"/>
        </w:numPr>
        <w:tabs>
          <w:tab w:val="left" w:pos="648"/>
        </w:tabs>
        <w:spacing w:line="250" w:lineRule="auto"/>
        <w:ind w:left="660" w:hanging="328"/>
        <w:rPr>
          <w:rFonts w:ascii="Arial" w:eastAsia="Arial" w:hAnsi="Arial" w:cs="Arial"/>
          <w:sz w:val="20"/>
          <w:szCs w:val="20"/>
        </w:rPr>
      </w:pPr>
      <w:r>
        <w:rPr>
          <w:rFonts w:ascii="Arial" w:eastAsia="Arial" w:hAnsi="Arial" w:cs="Arial"/>
          <w:sz w:val="20"/>
          <w:szCs w:val="20"/>
        </w:rPr>
        <w:t>the cos</w:t>
      </w:r>
      <w:r>
        <w:rPr>
          <w:rFonts w:ascii="Arial" w:eastAsia="Arial" w:hAnsi="Arial" w:cs="Arial"/>
          <w:sz w:val="20"/>
          <w:szCs w:val="20"/>
        </w:rPr>
        <w:t>ts of establishing, maintaining and overseeing a quality system compliant with current Good Manufacturing Practice, or cGMP, and other quality standards applicable to non-drug and drug product development and a supply chain for the development and manufact</w:t>
      </w:r>
      <w:r>
        <w:rPr>
          <w:rFonts w:ascii="Arial" w:eastAsia="Arial" w:hAnsi="Arial" w:cs="Arial"/>
          <w:sz w:val="20"/>
          <w:szCs w:val="20"/>
        </w:rPr>
        <w:t>ure of our product candidates;</w:t>
      </w:r>
    </w:p>
    <w:p w:rsidR="000728AD" w:rsidRDefault="000728AD">
      <w:pPr>
        <w:spacing w:line="131" w:lineRule="exact"/>
        <w:rPr>
          <w:rFonts w:ascii="Arial" w:eastAsia="Arial" w:hAnsi="Arial" w:cs="Arial"/>
          <w:sz w:val="20"/>
          <w:szCs w:val="20"/>
        </w:rPr>
      </w:pPr>
    </w:p>
    <w:p w:rsidR="000728AD" w:rsidRDefault="000561BE">
      <w:pPr>
        <w:numPr>
          <w:ilvl w:val="0"/>
          <w:numId w:val="14"/>
        </w:numPr>
        <w:tabs>
          <w:tab w:val="left" w:pos="640"/>
        </w:tabs>
        <w:ind w:left="640" w:hanging="308"/>
        <w:rPr>
          <w:rFonts w:ascii="Arial" w:eastAsia="Arial" w:hAnsi="Arial" w:cs="Arial"/>
          <w:sz w:val="20"/>
          <w:szCs w:val="20"/>
        </w:rPr>
      </w:pPr>
      <w:r>
        <w:rPr>
          <w:rFonts w:ascii="Arial" w:eastAsia="Arial" w:hAnsi="Arial" w:cs="Arial"/>
          <w:sz w:val="20"/>
          <w:szCs w:val="20"/>
        </w:rPr>
        <w:t>any disruption or delays to the supply of our product candidates due to the COVID-19 pandemic;</w:t>
      </w:r>
    </w:p>
    <w:p w:rsidR="000728AD" w:rsidRDefault="000728AD">
      <w:pPr>
        <w:spacing w:line="161" w:lineRule="exact"/>
        <w:rPr>
          <w:rFonts w:ascii="Arial" w:eastAsia="Arial" w:hAnsi="Arial" w:cs="Arial"/>
          <w:sz w:val="20"/>
          <w:szCs w:val="20"/>
        </w:rPr>
      </w:pPr>
    </w:p>
    <w:p w:rsidR="000728AD" w:rsidRDefault="000561BE">
      <w:pPr>
        <w:numPr>
          <w:ilvl w:val="0"/>
          <w:numId w:val="14"/>
        </w:numPr>
        <w:tabs>
          <w:tab w:val="left" w:pos="648"/>
        </w:tabs>
        <w:spacing w:line="260" w:lineRule="auto"/>
        <w:ind w:left="660" w:right="140" w:hanging="328"/>
        <w:rPr>
          <w:rFonts w:ascii="Arial" w:eastAsia="Arial" w:hAnsi="Arial" w:cs="Arial"/>
          <w:sz w:val="20"/>
          <w:szCs w:val="20"/>
        </w:rPr>
      </w:pPr>
      <w:r>
        <w:rPr>
          <w:rFonts w:ascii="Arial" w:eastAsia="Arial" w:hAnsi="Arial" w:cs="Arial"/>
          <w:sz w:val="20"/>
          <w:szCs w:val="20"/>
        </w:rPr>
        <w:t xml:space="preserve">the cost of defending intellectual property disputes, including patent infringement actions brought by third parties </w:t>
      </w:r>
      <w:r>
        <w:rPr>
          <w:rFonts w:ascii="Arial" w:eastAsia="Arial" w:hAnsi="Arial" w:cs="Arial"/>
          <w:sz w:val="20"/>
          <w:szCs w:val="20"/>
        </w:rPr>
        <w:t>against us related to our product candidates or our development platform, or other technologies;</w:t>
      </w:r>
    </w:p>
    <w:p w:rsidR="000728AD" w:rsidRDefault="000728AD">
      <w:pPr>
        <w:spacing w:line="122" w:lineRule="exact"/>
        <w:rPr>
          <w:rFonts w:ascii="Arial" w:eastAsia="Arial" w:hAnsi="Arial" w:cs="Arial"/>
          <w:sz w:val="20"/>
          <w:szCs w:val="20"/>
        </w:rPr>
      </w:pPr>
    </w:p>
    <w:p w:rsidR="000728AD" w:rsidRDefault="000561BE">
      <w:pPr>
        <w:numPr>
          <w:ilvl w:val="0"/>
          <w:numId w:val="14"/>
        </w:numPr>
        <w:tabs>
          <w:tab w:val="left" w:pos="640"/>
        </w:tabs>
        <w:ind w:left="640" w:hanging="308"/>
        <w:rPr>
          <w:rFonts w:ascii="Arial" w:eastAsia="Arial" w:hAnsi="Arial" w:cs="Arial"/>
          <w:sz w:val="20"/>
          <w:szCs w:val="20"/>
        </w:rPr>
      </w:pPr>
      <w:r>
        <w:rPr>
          <w:rFonts w:ascii="Arial" w:eastAsia="Arial" w:hAnsi="Arial" w:cs="Arial"/>
          <w:sz w:val="20"/>
          <w:szCs w:val="20"/>
        </w:rPr>
        <w:t>the effect of competing technological and market developments;</w:t>
      </w:r>
    </w:p>
    <w:p w:rsidR="000728AD" w:rsidRDefault="000728AD">
      <w:pPr>
        <w:spacing w:line="161" w:lineRule="exact"/>
        <w:rPr>
          <w:rFonts w:ascii="Arial" w:eastAsia="Arial" w:hAnsi="Arial" w:cs="Arial"/>
          <w:sz w:val="20"/>
          <w:szCs w:val="20"/>
        </w:rPr>
      </w:pPr>
    </w:p>
    <w:p w:rsidR="000728AD" w:rsidRDefault="000561BE">
      <w:pPr>
        <w:numPr>
          <w:ilvl w:val="0"/>
          <w:numId w:val="14"/>
        </w:numPr>
        <w:tabs>
          <w:tab w:val="left" w:pos="648"/>
        </w:tabs>
        <w:spacing w:line="385" w:lineRule="auto"/>
        <w:ind w:left="660" w:right="540" w:hanging="328"/>
        <w:rPr>
          <w:rFonts w:ascii="Arial" w:eastAsia="Arial" w:hAnsi="Arial" w:cs="Arial"/>
          <w:sz w:val="16"/>
          <w:szCs w:val="16"/>
        </w:rPr>
      </w:pPr>
      <w:r>
        <w:rPr>
          <w:rFonts w:ascii="Arial" w:eastAsia="Arial" w:hAnsi="Arial" w:cs="Arial"/>
          <w:sz w:val="16"/>
          <w:szCs w:val="16"/>
        </w:rPr>
        <w:t xml:space="preserve">the cost and timing of establishing, expanding and scaling compliance programs related to our </w:t>
      </w:r>
      <w:r>
        <w:rPr>
          <w:rFonts w:ascii="Arial" w:eastAsia="Arial" w:hAnsi="Arial" w:cs="Arial"/>
          <w:sz w:val="16"/>
          <w:szCs w:val="16"/>
        </w:rPr>
        <w:t>activities and product candidate development and commercialization and related legal activities, including defense of any potential litigation against us;</w:t>
      </w:r>
    </w:p>
    <w:p w:rsidR="000728AD" w:rsidRDefault="000728AD">
      <w:pPr>
        <w:spacing w:line="30" w:lineRule="exact"/>
        <w:rPr>
          <w:rFonts w:ascii="Arial" w:eastAsia="Arial" w:hAnsi="Arial" w:cs="Arial"/>
          <w:sz w:val="16"/>
          <w:szCs w:val="16"/>
        </w:rPr>
      </w:pPr>
    </w:p>
    <w:p w:rsidR="000728AD" w:rsidRDefault="000561BE">
      <w:pPr>
        <w:numPr>
          <w:ilvl w:val="0"/>
          <w:numId w:val="14"/>
        </w:numPr>
        <w:tabs>
          <w:tab w:val="left" w:pos="648"/>
        </w:tabs>
        <w:spacing w:line="260" w:lineRule="auto"/>
        <w:ind w:left="660" w:right="160" w:hanging="328"/>
        <w:rPr>
          <w:rFonts w:ascii="Arial" w:eastAsia="Arial" w:hAnsi="Arial" w:cs="Arial"/>
          <w:sz w:val="20"/>
          <w:szCs w:val="20"/>
        </w:rPr>
      </w:pPr>
      <w:r>
        <w:rPr>
          <w:rFonts w:ascii="Arial" w:eastAsia="Arial" w:hAnsi="Arial" w:cs="Arial"/>
          <w:sz w:val="20"/>
          <w:szCs w:val="20"/>
        </w:rPr>
        <w:t>the cost and timing of establishing, expanding and scaling of manufacturing capabilities, or contrac</w:t>
      </w:r>
      <w:r>
        <w:rPr>
          <w:rFonts w:ascii="Arial" w:eastAsia="Arial" w:hAnsi="Arial" w:cs="Arial"/>
          <w:sz w:val="20"/>
          <w:szCs w:val="20"/>
        </w:rPr>
        <w:t>ting with third parties for access to such capabilities; and</w:t>
      </w:r>
    </w:p>
    <w:p w:rsidR="000728AD" w:rsidRDefault="000728AD">
      <w:pPr>
        <w:spacing w:line="122" w:lineRule="exact"/>
        <w:rPr>
          <w:rFonts w:ascii="Arial" w:eastAsia="Arial" w:hAnsi="Arial" w:cs="Arial"/>
          <w:sz w:val="20"/>
          <w:szCs w:val="20"/>
        </w:rPr>
      </w:pPr>
    </w:p>
    <w:p w:rsidR="000728AD" w:rsidRDefault="000561BE">
      <w:pPr>
        <w:numPr>
          <w:ilvl w:val="0"/>
          <w:numId w:val="14"/>
        </w:numPr>
        <w:tabs>
          <w:tab w:val="left" w:pos="648"/>
        </w:tabs>
        <w:spacing w:line="287" w:lineRule="auto"/>
        <w:ind w:left="660" w:right="40" w:hanging="328"/>
        <w:rPr>
          <w:rFonts w:ascii="Arial" w:eastAsia="Arial" w:hAnsi="Arial" w:cs="Arial"/>
          <w:sz w:val="19"/>
          <w:szCs w:val="19"/>
        </w:rPr>
      </w:pPr>
      <w:r>
        <w:rPr>
          <w:rFonts w:ascii="Arial" w:eastAsia="Arial" w:hAnsi="Arial" w:cs="Arial"/>
          <w:sz w:val="19"/>
          <w:szCs w:val="19"/>
        </w:rPr>
        <w:t>the cost of establishing sales, marketing and distribution capabilities for any product candidates for which we may receive regulatory approval or identify alternate regulatory pathways in regio</w:t>
      </w:r>
      <w:r>
        <w:rPr>
          <w:rFonts w:ascii="Arial" w:eastAsia="Arial" w:hAnsi="Arial" w:cs="Arial"/>
          <w:sz w:val="19"/>
          <w:szCs w:val="19"/>
        </w:rPr>
        <w:t>ns where we choose to commercialize our products.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49" w:lineRule="exact"/>
        <w:rPr>
          <w:sz w:val="20"/>
          <w:szCs w:val="20"/>
        </w:rPr>
      </w:pPr>
    </w:p>
    <w:p w:rsidR="000728AD" w:rsidRDefault="000561BE">
      <w:pPr>
        <w:ind w:right="-39"/>
        <w:jc w:val="center"/>
        <w:rPr>
          <w:sz w:val="20"/>
          <w:szCs w:val="20"/>
        </w:rPr>
      </w:pPr>
      <w:r>
        <w:rPr>
          <w:rFonts w:ascii="Arial" w:eastAsia="Arial" w:hAnsi="Arial" w:cs="Arial"/>
          <w:sz w:val="18"/>
          <w:szCs w:val="18"/>
        </w:rPr>
        <w:t>36</w:t>
      </w:r>
    </w:p>
    <w:p w:rsidR="000728AD" w:rsidRDefault="000561BE">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79" w:bottom="1440" w:left="320" w:header="0" w:footer="0" w:gutter="0"/>
          <w:cols w:space="720" w:equalWidth="0">
            <w:col w:w="11200"/>
          </w:cols>
        </w:sectPr>
      </w:pPr>
    </w:p>
    <w:bookmarkStart w:id="37" w:name="page37"/>
    <w:bookmarkEnd w:id="37"/>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69" w:lineRule="auto"/>
        <w:rPr>
          <w:sz w:val="20"/>
          <w:szCs w:val="20"/>
        </w:rPr>
      </w:pPr>
      <w:r>
        <w:rPr>
          <w:rFonts w:ascii="Arial" w:eastAsia="Arial" w:hAnsi="Arial" w:cs="Arial"/>
          <w:sz w:val="18"/>
          <w:szCs w:val="18"/>
        </w:rPr>
        <w:t xml:space="preserve">We do not have any committed external source of funds or other support for our development efforts and we cannot be </w:t>
      </w:r>
      <w:r>
        <w:rPr>
          <w:rFonts w:ascii="Arial" w:eastAsia="Arial" w:hAnsi="Arial" w:cs="Arial"/>
          <w:sz w:val="18"/>
          <w:szCs w:val="18"/>
        </w:rPr>
        <w:t>certain that additional funding will be available on acceptable terms, or at all. Until we can generate sufficient product revenue or, if we were to enter into third-party agreements, sufficient royalty revenue to finance our cash requirements, which we ma</w:t>
      </w:r>
      <w:r>
        <w:rPr>
          <w:rFonts w:ascii="Arial" w:eastAsia="Arial" w:hAnsi="Arial" w:cs="Arial"/>
          <w:sz w:val="18"/>
          <w:szCs w:val="18"/>
        </w:rPr>
        <w:t>y never do, we expect to finance our future cash needs through a combination of public or private equity offerings, debt financings, collaborations, strategic alliances, licensing arrangements and other marketing or distribution arrangements. If we raise a</w:t>
      </w:r>
      <w:r>
        <w:rPr>
          <w:rFonts w:ascii="Arial" w:eastAsia="Arial" w:hAnsi="Arial" w:cs="Arial"/>
          <w:sz w:val="18"/>
          <w:szCs w:val="18"/>
        </w:rPr>
        <w:t xml:space="preserve">dditional funds through public or private equity offerings, the terms of these securities may include liquidation or other preferences that adversely affect our stockholders' rights. Further, to the extent that we raise additional capital through the sale </w:t>
      </w:r>
      <w:r>
        <w:rPr>
          <w:rFonts w:ascii="Arial" w:eastAsia="Arial" w:hAnsi="Arial" w:cs="Arial"/>
          <w:sz w:val="18"/>
          <w:szCs w:val="18"/>
        </w:rPr>
        <w:t>of common stock or securities convertible into or exchangeable for common stock, your ownership interest will be diluted. If we raise additional capital through debt financing, we would be subject to fixed payment obligations and may be subject to covenant</w:t>
      </w:r>
      <w:r>
        <w:rPr>
          <w:rFonts w:ascii="Arial" w:eastAsia="Arial" w:hAnsi="Arial" w:cs="Arial"/>
          <w:sz w:val="18"/>
          <w:szCs w:val="18"/>
        </w:rPr>
        <w:t>s limiting or restricting our ability to take specific actions, such as incurring additional debt, making capital expenditures, declaring dividends or acquiring or licensing intellectual property rights. If we raise additional capital through marketing and</w:t>
      </w:r>
      <w:r>
        <w:rPr>
          <w:rFonts w:ascii="Arial" w:eastAsia="Arial" w:hAnsi="Arial" w:cs="Arial"/>
          <w:sz w:val="18"/>
          <w:szCs w:val="18"/>
        </w:rPr>
        <w:t xml:space="preserve"> distribution arrangements or other collaborations, strategic alliances or licensing arrangements with third parties, we may have to relinquish certain valuable rights to our product candidates, technologies, future revenue streams or research programs or </w:t>
      </w:r>
      <w:r>
        <w:rPr>
          <w:rFonts w:ascii="Arial" w:eastAsia="Arial" w:hAnsi="Arial" w:cs="Arial"/>
          <w:sz w:val="18"/>
          <w:szCs w:val="18"/>
        </w:rPr>
        <w:t>grant licenses on terms that may not be favorable to us. We also could be required to seek collaborators for one or more of our current or future product candidates at an earlier stage than otherwise would be desirable or relinquish our rights to product c</w:t>
      </w:r>
      <w:r>
        <w:rPr>
          <w:rFonts w:ascii="Arial" w:eastAsia="Arial" w:hAnsi="Arial" w:cs="Arial"/>
          <w:sz w:val="18"/>
          <w:szCs w:val="18"/>
        </w:rPr>
        <w:t>andidates or technologies that we otherwise would seek to develop or commercialize ourselves. If we are unable to raise additional capital in sufficient amounts or on terms acceptable to us, we may have to significantly delay, scale back or discontinue the</w:t>
      </w:r>
      <w:r>
        <w:rPr>
          <w:rFonts w:ascii="Arial" w:eastAsia="Arial" w:hAnsi="Arial" w:cs="Arial"/>
          <w:sz w:val="18"/>
          <w:szCs w:val="18"/>
        </w:rPr>
        <w:t xml:space="preserve"> development or commercialization of one or more of our product candidates or one or more of our other research and development initiatives. Any of the above events could significantly harm our business, prospects, financial condition and results of operat</w:t>
      </w:r>
      <w:r>
        <w:rPr>
          <w:rFonts w:ascii="Arial" w:eastAsia="Arial" w:hAnsi="Arial" w:cs="Arial"/>
          <w:sz w:val="18"/>
          <w:szCs w:val="18"/>
        </w:rPr>
        <w:t>ions and cause the price of our common stock to decline, causing you to lose all or part of your investment.</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68" w:lineRule="exact"/>
        <w:rPr>
          <w:sz w:val="20"/>
          <w:szCs w:val="20"/>
        </w:rPr>
      </w:pPr>
    </w:p>
    <w:p w:rsidR="000728AD" w:rsidRDefault="000561BE">
      <w:pPr>
        <w:ind w:right="-39"/>
        <w:jc w:val="center"/>
        <w:rPr>
          <w:sz w:val="20"/>
          <w:szCs w:val="20"/>
        </w:rPr>
      </w:pPr>
      <w:r>
        <w:rPr>
          <w:rFonts w:ascii="Arial" w:eastAsia="Arial" w:hAnsi="Arial" w:cs="Arial"/>
          <w:sz w:val="18"/>
          <w:szCs w:val="18"/>
        </w:rPr>
        <w:t>37</w:t>
      </w:r>
    </w:p>
    <w:p w:rsidR="000728AD" w:rsidRDefault="000561BE">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59" w:bottom="1440" w:left="320" w:header="0" w:footer="0" w:gutter="0"/>
          <w:cols w:space="720" w:equalWidth="0">
            <w:col w:w="11220"/>
          </w:cols>
        </w:sectPr>
      </w:pPr>
    </w:p>
    <w:bookmarkStart w:id="38" w:name="page38"/>
    <w:bookmarkEnd w:id="38"/>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69" w:lineRule="auto"/>
        <w:rPr>
          <w:sz w:val="20"/>
          <w:szCs w:val="20"/>
        </w:rPr>
      </w:pPr>
      <w:r>
        <w:rPr>
          <w:rFonts w:ascii="Arial" w:eastAsia="Arial" w:hAnsi="Arial" w:cs="Arial"/>
          <w:b/>
          <w:bCs/>
          <w:i/>
          <w:iCs/>
          <w:sz w:val="19"/>
          <w:szCs w:val="19"/>
        </w:rPr>
        <w:t>Clinical development is a lengthy and expensive process, with a highly</w:t>
      </w:r>
      <w:r>
        <w:rPr>
          <w:rFonts w:ascii="Arial" w:eastAsia="Arial" w:hAnsi="Arial" w:cs="Arial"/>
          <w:b/>
          <w:bCs/>
          <w:i/>
          <w:iCs/>
          <w:sz w:val="19"/>
          <w:szCs w:val="19"/>
        </w:rPr>
        <w:t xml:space="preserve"> uncertain outcome. We may incur additional costs or experience delays in completing, or ultimately be unable to complete, the development and commercialization of any product candidates, which could impair our ability to fund our operations or obtain fina</w:t>
      </w:r>
      <w:r>
        <w:rPr>
          <w:rFonts w:ascii="Arial" w:eastAsia="Arial" w:hAnsi="Arial" w:cs="Arial"/>
          <w:b/>
          <w:bCs/>
          <w:i/>
          <w:iCs/>
          <w:sz w:val="19"/>
          <w:szCs w:val="19"/>
        </w:rPr>
        <w:t>ncing on acceptable terms, or at all.</w:t>
      </w:r>
    </w:p>
    <w:p w:rsidR="000728AD" w:rsidRDefault="000728AD">
      <w:pPr>
        <w:spacing w:line="170" w:lineRule="exact"/>
        <w:rPr>
          <w:sz w:val="20"/>
          <w:szCs w:val="20"/>
        </w:rPr>
      </w:pPr>
    </w:p>
    <w:p w:rsidR="000728AD" w:rsidRDefault="000561BE">
      <w:pPr>
        <w:spacing w:line="303" w:lineRule="auto"/>
        <w:ind w:right="20"/>
        <w:rPr>
          <w:sz w:val="20"/>
          <w:szCs w:val="20"/>
        </w:rPr>
      </w:pPr>
      <w:r>
        <w:rPr>
          <w:rFonts w:ascii="Arial" w:eastAsia="Arial" w:hAnsi="Arial" w:cs="Arial"/>
          <w:sz w:val="16"/>
          <w:szCs w:val="16"/>
        </w:rPr>
        <w:t>To obtain the requisite regulatory approvals to commercialize any of our product candidates that we decide to develop as a drug product candidate, such as AXA1665 and AXA1125, we must demonstrate through extensive pre</w:t>
      </w:r>
      <w:r>
        <w:rPr>
          <w:rFonts w:ascii="Arial" w:eastAsia="Arial" w:hAnsi="Arial" w:cs="Arial"/>
          <w:sz w:val="16"/>
          <w:szCs w:val="16"/>
        </w:rPr>
        <w:t>clinical studies and Clinical Trials that our product candidates are safe and effective in humans for their intended use. Clinical Studies to commercialize non-drug products also require a significant financial investment to generate data that supports cla</w:t>
      </w:r>
      <w:r>
        <w:rPr>
          <w:rFonts w:ascii="Arial" w:eastAsia="Arial" w:hAnsi="Arial" w:cs="Arial"/>
          <w:sz w:val="16"/>
          <w:szCs w:val="16"/>
        </w:rPr>
        <w:t>ims we may make for such products and establish their safety and tolerability. Clinical testing is expensive, difficult to design and implement and can take many years to complete, and its outcome is inherently uncertain. We may be unable to establish, whe</w:t>
      </w:r>
      <w:r>
        <w:rPr>
          <w:rFonts w:ascii="Arial" w:eastAsia="Arial" w:hAnsi="Arial" w:cs="Arial"/>
          <w:sz w:val="16"/>
          <w:szCs w:val="16"/>
        </w:rPr>
        <w:t>re applicable, endpoints, dose levels and regimens or bioanalytical assay methods that applicable regulatory authorities would consider clinically meaningful or legally permissible. Results from preclinical or Clinical Studies may demonstrate that our prod</w:t>
      </w:r>
      <w:r>
        <w:rPr>
          <w:rFonts w:ascii="Arial" w:eastAsia="Arial" w:hAnsi="Arial" w:cs="Arial"/>
          <w:sz w:val="16"/>
          <w:szCs w:val="16"/>
        </w:rPr>
        <w:t>uct candidates are not safe, not tolerable or have unanticipated impacts on the normal structure and function of</w:t>
      </w:r>
    </w:p>
    <w:p w:rsidR="000728AD" w:rsidRDefault="000728AD">
      <w:pPr>
        <w:spacing w:line="5" w:lineRule="exact"/>
        <w:rPr>
          <w:sz w:val="20"/>
          <w:szCs w:val="20"/>
        </w:rPr>
      </w:pPr>
    </w:p>
    <w:p w:rsidR="000728AD" w:rsidRDefault="000561BE">
      <w:pPr>
        <w:spacing w:line="254" w:lineRule="auto"/>
        <w:rPr>
          <w:sz w:val="20"/>
          <w:szCs w:val="20"/>
        </w:rPr>
      </w:pPr>
      <w:r>
        <w:rPr>
          <w:rFonts w:ascii="Arial" w:eastAsia="Arial" w:hAnsi="Arial" w:cs="Arial"/>
          <w:sz w:val="19"/>
          <w:szCs w:val="19"/>
        </w:rPr>
        <w:t xml:space="preserve">the body and could result in data showing one or more product candidates to have harmful or problematic side effects or toxicities. A </w:t>
      </w:r>
      <w:r>
        <w:rPr>
          <w:rFonts w:ascii="Arial" w:eastAsia="Arial" w:hAnsi="Arial" w:cs="Arial"/>
          <w:sz w:val="19"/>
          <w:szCs w:val="19"/>
        </w:rPr>
        <w:t>Clinical Study or Clinical Trial can fail at any stage of testing. Additionally, our Clinical Studies, Clinical Trials or other studies may not result in data that supports intended claims for our product candidates. For example, Clinical Trial results may</w:t>
      </w:r>
      <w:r>
        <w:rPr>
          <w:rFonts w:ascii="Arial" w:eastAsia="Arial" w:hAnsi="Arial" w:cs="Arial"/>
          <w:sz w:val="19"/>
          <w:szCs w:val="19"/>
        </w:rPr>
        <w:t xml:space="preserve"> show any drug product candidate to be less effective than expected (e.g., a Clinical Trial could fail to meet its primary endpoint(s)) or have unacceptable side effects or toxicities. The outcome of preclinical studies, Clinical Studies and early Clinical</w:t>
      </w:r>
      <w:r>
        <w:rPr>
          <w:rFonts w:ascii="Arial" w:eastAsia="Arial" w:hAnsi="Arial" w:cs="Arial"/>
          <w:sz w:val="19"/>
          <w:szCs w:val="19"/>
        </w:rPr>
        <w:t xml:space="preserve"> Trials may not be predictive of the success of later preclinical studies, Clinical Studies and/or Clinical Trials, and interim results of these studies or trials do not necessarily predict final results. Interim and preliminary data are subject to the ris</w:t>
      </w:r>
      <w:r>
        <w:rPr>
          <w:rFonts w:ascii="Arial" w:eastAsia="Arial" w:hAnsi="Arial" w:cs="Arial"/>
          <w:sz w:val="19"/>
          <w:szCs w:val="19"/>
        </w:rPr>
        <w:t>k that one or more of the outcomes may materially change as subject enrollment continues, more subject data become available and as the study is completed. Preliminary or top-line data also remain subject to audit and verification procedures that may resul</w:t>
      </w:r>
      <w:r>
        <w:rPr>
          <w:rFonts w:ascii="Arial" w:eastAsia="Arial" w:hAnsi="Arial" w:cs="Arial"/>
          <w:sz w:val="19"/>
          <w:szCs w:val="19"/>
        </w:rPr>
        <w:t>t in the final data being materially different from the preliminary data we previously published. As a result, interim and preliminary data should be viewed with caution until the final data are available. Material inconsistencies between preliminary or in</w:t>
      </w:r>
      <w:r>
        <w:rPr>
          <w:rFonts w:ascii="Arial" w:eastAsia="Arial" w:hAnsi="Arial" w:cs="Arial"/>
          <w:sz w:val="19"/>
          <w:szCs w:val="19"/>
        </w:rPr>
        <w:t>terim data and final data could significantly harm our business prospects. Further, differences in trial design between Clinical Studies and early-stage Clinical Trials and later-stage Clinical Trials make it difficult to extrapolate from the results of Cl</w:t>
      </w:r>
      <w:r>
        <w:rPr>
          <w:rFonts w:ascii="Arial" w:eastAsia="Arial" w:hAnsi="Arial" w:cs="Arial"/>
          <w:sz w:val="19"/>
          <w:szCs w:val="19"/>
        </w:rPr>
        <w:t>inical Studies and earlier Clinical Trials to the results from later Clinical Trials. Moreover, preclinical and clinical data are often susceptible to varying interpretations and analyses, and many companies that have believed their product candidates perf</w:t>
      </w:r>
      <w:r>
        <w:rPr>
          <w:rFonts w:ascii="Arial" w:eastAsia="Arial" w:hAnsi="Arial" w:cs="Arial"/>
          <w:sz w:val="19"/>
          <w:szCs w:val="19"/>
        </w:rPr>
        <w:t>ormed satisfactorily in preclinical studies and Clinical Trials have nonetheless failed to obtain marketing approval of their product candidates, or have data that supports desirable marketing claims even where marketing approval is not required. Successfu</w:t>
      </w:r>
      <w:r>
        <w:rPr>
          <w:rFonts w:ascii="Arial" w:eastAsia="Arial" w:hAnsi="Arial" w:cs="Arial"/>
          <w:sz w:val="19"/>
          <w:szCs w:val="19"/>
        </w:rPr>
        <w:t>l completion of Clinical Trials is a prerequisite to submitting an NDA to the FDA, or its equivalent in other jurisdictions such as a marketing authorization application to the EMA, for each product candidate targeting therapeutic indication(s) and, conseq</w:t>
      </w:r>
      <w:r>
        <w:rPr>
          <w:rFonts w:ascii="Arial" w:eastAsia="Arial" w:hAnsi="Arial" w:cs="Arial"/>
          <w:sz w:val="19"/>
          <w:szCs w:val="19"/>
        </w:rPr>
        <w:t>uently, a pre-requisite for the ultimate approval and commercial marketing of any product candidate for therapeutic indication(s).</w:t>
      </w:r>
    </w:p>
    <w:p w:rsidR="000728AD" w:rsidRDefault="000728AD">
      <w:pPr>
        <w:spacing w:line="183" w:lineRule="exact"/>
        <w:rPr>
          <w:sz w:val="20"/>
          <w:szCs w:val="20"/>
        </w:rPr>
      </w:pPr>
    </w:p>
    <w:p w:rsidR="000728AD" w:rsidRDefault="000561BE">
      <w:pPr>
        <w:spacing w:line="260" w:lineRule="auto"/>
        <w:ind w:right="40"/>
        <w:rPr>
          <w:sz w:val="20"/>
          <w:szCs w:val="20"/>
        </w:rPr>
      </w:pPr>
      <w:r>
        <w:rPr>
          <w:rFonts w:ascii="Arial" w:eastAsia="Arial" w:hAnsi="Arial" w:cs="Arial"/>
          <w:sz w:val="19"/>
          <w:szCs w:val="19"/>
        </w:rPr>
        <w:t>We do not know whether we will be able to initiate or complete Clinical Trials for product candidates we decide to develop a</w:t>
      </w:r>
      <w:r>
        <w:rPr>
          <w:rFonts w:ascii="Arial" w:eastAsia="Arial" w:hAnsi="Arial" w:cs="Arial"/>
          <w:sz w:val="19"/>
          <w:szCs w:val="19"/>
        </w:rPr>
        <w:t>s drug product candidates on schedule, if at all. Additionally, we may determine as a result of factors in or out of control to terminate plans or efforts in connection with Clinical Studies or Clinical Trials. For example, if we do not have sufficient fun</w:t>
      </w:r>
      <w:r>
        <w:rPr>
          <w:rFonts w:ascii="Arial" w:eastAsia="Arial" w:hAnsi="Arial" w:cs="Arial"/>
          <w:sz w:val="19"/>
          <w:szCs w:val="19"/>
        </w:rPr>
        <w:t>ds to finance our Clinical Studies or Clinical Trials or the FDA or equivalent regulatory authority has requirements we are not able to comply with, or that we decide to not comply with, we may need to delay or cancel one or more of our Clinical Studies or</w:t>
      </w:r>
      <w:r>
        <w:rPr>
          <w:rFonts w:ascii="Arial" w:eastAsia="Arial" w:hAnsi="Arial" w:cs="Arial"/>
          <w:sz w:val="19"/>
          <w:szCs w:val="19"/>
        </w:rPr>
        <w:t xml:space="preserve"> Clinical Trials.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77" w:lineRule="exact"/>
        <w:rPr>
          <w:sz w:val="20"/>
          <w:szCs w:val="20"/>
        </w:rPr>
      </w:pPr>
    </w:p>
    <w:p w:rsidR="000728AD" w:rsidRDefault="000561BE">
      <w:pPr>
        <w:ind w:right="-19"/>
        <w:jc w:val="center"/>
        <w:rPr>
          <w:sz w:val="20"/>
          <w:szCs w:val="20"/>
        </w:rPr>
      </w:pPr>
      <w:r>
        <w:rPr>
          <w:rFonts w:ascii="Arial" w:eastAsia="Arial" w:hAnsi="Arial" w:cs="Arial"/>
          <w:sz w:val="18"/>
          <w:szCs w:val="18"/>
        </w:rPr>
        <w:t>38</w:t>
      </w:r>
    </w:p>
    <w:p w:rsidR="000728AD" w:rsidRDefault="000561BE">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59" w:bottom="1440" w:left="320" w:header="0" w:footer="0" w:gutter="0"/>
          <w:cols w:space="720" w:equalWidth="0">
            <w:col w:w="11220"/>
          </w:cols>
        </w:sectPr>
      </w:pPr>
    </w:p>
    <w:bookmarkStart w:id="39" w:name="page39"/>
    <w:bookmarkEnd w:id="39"/>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82" w:lineRule="auto"/>
        <w:ind w:right="20"/>
        <w:rPr>
          <w:sz w:val="20"/>
          <w:szCs w:val="20"/>
        </w:rPr>
      </w:pPr>
      <w:r>
        <w:rPr>
          <w:rFonts w:ascii="Arial" w:eastAsia="Arial" w:hAnsi="Arial" w:cs="Arial"/>
          <w:sz w:val="18"/>
          <w:szCs w:val="18"/>
        </w:rPr>
        <w:t xml:space="preserve">We may experience delays in completing our preclinical studies and initiating or completing Clinical Studies and, for those product candidates that we decide to </w:t>
      </w:r>
      <w:r>
        <w:rPr>
          <w:rFonts w:ascii="Arial" w:eastAsia="Arial" w:hAnsi="Arial" w:cs="Arial"/>
          <w:sz w:val="18"/>
          <w:szCs w:val="18"/>
        </w:rPr>
        <w:t xml:space="preserve">develop as drug product candidates, including AXA1665 and AXA1125, Clinical Trials. We also may experience numerous unforeseen events during, or as a result of, any future Clinical Studies or Clinical Trials that we may conduct that could delay or prevent </w:t>
      </w:r>
      <w:r>
        <w:rPr>
          <w:rFonts w:ascii="Arial" w:eastAsia="Arial" w:hAnsi="Arial" w:cs="Arial"/>
          <w:sz w:val="18"/>
          <w:szCs w:val="18"/>
        </w:rPr>
        <w:t>our ability to receive marketing approval or commercialize our product candidates, including, but not limited to:</w:t>
      </w:r>
    </w:p>
    <w:p w:rsidR="000728AD" w:rsidRDefault="000728AD">
      <w:pPr>
        <w:spacing w:line="188" w:lineRule="exact"/>
        <w:rPr>
          <w:sz w:val="20"/>
          <w:szCs w:val="20"/>
        </w:rPr>
      </w:pPr>
    </w:p>
    <w:p w:rsidR="000728AD" w:rsidRDefault="000561BE">
      <w:pPr>
        <w:numPr>
          <w:ilvl w:val="0"/>
          <w:numId w:val="15"/>
        </w:numPr>
        <w:tabs>
          <w:tab w:val="left" w:pos="655"/>
        </w:tabs>
        <w:spacing w:line="256" w:lineRule="auto"/>
        <w:ind w:left="660" w:hanging="328"/>
        <w:jc w:val="both"/>
        <w:rPr>
          <w:rFonts w:ascii="Arial" w:eastAsia="Arial" w:hAnsi="Arial" w:cs="Arial"/>
          <w:sz w:val="21"/>
          <w:szCs w:val="21"/>
        </w:rPr>
      </w:pPr>
      <w:r>
        <w:rPr>
          <w:rFonts w:ascii="Arial" w:eastAsia="Arial" w:hAnsi="Arial" w:cs="Arial"/>
          <w:sz w:val="19"/>
          <w:szCs w:val="19"/>
        </w:rPr>
        <w:t xml:space="preserve">unforeseen events or events over which we have little to no control, such as the COVID-19 pandemic, can cause execution delays for our </w:t>
      </w:r>
      <w:r>
        <w:rPr>
          <w:rFonts w:ascii="Arial" w:eastAsia="Arial" w:hAnsi="Arial" w:cs="Arial"/>
          <w:sz w:val="19"/>
          <w:szCs w:val="19"/>
        </w:rPr>
        <w:t>Clinical Studies or Clinical Trials, and issues related to the quality, completeness and interpretability of our data that could result in significant delays or additional costs and impact development plans for our product candidates;</w:t>
      </w:r>
    </w:p>
    <w:p w:rsidR="000728AD" w:rsidRDefault="000728AD">
      <w:pPr>
        <w:spacing w:line="153" w:lineRule="exact"/>
        <w:rPr>
          <w:rFonts w:ascii="Arial" w:eastAsia="Arial" w:hAnsi="Arial" w:cs="Arial"/>
          <w:sz w:val="21"/>
          <w:szCs w:val="21"/>
        </w:rPr>
      </w:pPr>
    </w:p>
    <w:p w:rsidR="000728AD" w:rsidRDefault="000561BE">
      <w:pPr>
        <w:numPr>
          <w:ilvl w:val="0"/>
          <w:numId w:val="15"/>
        </w:numPr>
        <w:tabs>
          <w:tab w:val="left" w:pos="655"/>
        </w:tabs>
        <w:spacing w:line="303" w:lineRule="auto"/>
        <w:ind w:left="660" w:right="280" w:hanging="328"/>
        <w:rPr>
          <w:rFonts w:ascii="Arial" w:eastAsia="Arial" w:hAnsi="Arial" w:cs="Arial"/>
          <w:sz w:val="19"/>
          <w:szCs w:val="19"/>
        </w:rPr>
      </w:pPr>
      <w:r>
        <w:rPr>
          <w:rFonts w:ascii="Arial" w:eastAsia="Arial" w:hAnsi="Arial" w:cs="Arial"/>
          <w:sz w:val="18"/>
          <w:szCs w:val="18"/>
        </w:rPr>
        <w:t xml:space="preserve">we may be </w:t>
      </w:r>
      <w:r>
        <w:rPr>
          <w:rFonts w:ascii="Arial" w:eastAsia="Arial" w:hAnsi="Arial" w:cs="Arial"/>
          <w:sz w:val="18"/>
          <w:szCs w:val="18"/>
        </w:rPr>
        <w:t>unable to generate sufficient preclinical, toxicology or other in vivo or in vitro data to support the initiation of Clinical Trials for therapeutic indications for any drug product candidates or the marketing of our products as non-drug products;</w:t>
      </w:r>
    </w:p>
    <w:p w:rsidR="000728AD" w:rsidRDefault="000728AD">
      <w:pPr>
        <w:spacing w:line="110" w:lineRule="exact"/>
        <w:rPr>
          <w:rFonts w:ascii="Arial" w:eastAsia="Arial" w:hAnsi="Arial" w:cs="Arial"/>
          <w:sz w:val="19"/>
          <w:szCs w:val="19"/>
        </w:rPr>
      </w:pPr>
    </w:p>
    <w:p w:rsidR="000728AD" w:rsidRDefault="000561BE">
      <w:pPr>
        <w:numPr>
          <w:ilvl w:val="0"/>
          <w:numId w:val="15"/>
        </w:numPr>
        <w:tabs>
          <w:tab w:val="left" w:pos="655"/>
        </w:tabs>
        <w:spacing w:line="303" w:lineRule="auto"/>
        <w:ind w:left="660" w:hanging="328"/>
        <w:rPr>
          <w:rFonts w:ascii="Arial" w:eastAsia="Arial" w:hAnsi="Arial" w:cs="Arial"/>
          <w:sz w:val="19"/>
          <w:szCs w:val="19"/>
        </w:rPr>
      </w:pPr>
      <w:r>
        <w:rPr>
          <w:rFonts w:ascii="Arial" w:eastAsia="Arial" w:hAnsi="Arial" w:cs="Arial"/>
          <w:sz w:val="18"/>
          <w:szCs w:val="18"/>
        </w:rPr>
        <w:t>the FDA</w:t>
      </w:r>
      <w:r>
        <w:rPr>
          <w:rFonts w:ascii="Arial" w:eastAsia="Arial" w:hAnsi="Arial" w:cs="Arial"/>
          <w:sz w:val="18"/>
          <w:szCs w:val="18"/>
        </w:rPr>
        <w:t xml:space="preserve"> may not allow us to use data from our Clinical Studies to support a late-phase IND Clinical Trial or an IND Clinical Trial of any phase for a product candidate we decide to develop as a drug product candidate instead of a non-drug product candidate;</w:t>
      </w:r>
    </w:p>
    <w:p w:rsidR="000728AD" w:rsidRDefault="000728AD">
      <w:pPr>
        <w:spacing w:line="110" w:lineRule="exact"/>
        <w:rPr>
          <w:rFonts w:ascii="Arial" w:eastAsia="Arial" w:hAnsi="Arial" w:cs="Arial"/>
          <w:sz w:val="19"/>
          <w:szCs w:val="19"/>
        </w:rPr>
      </w:pPr>
    </w:p>
    <w:p w:rsidR="000728AD" w:rsidRDefault="000561BE">
      <w:pPr>
        <w:numPr>
          <w:ilvl w:val="0"/>
          <w:numId w:val="15"/>
        </w:numPr>
        <w:tabs>
          <w:tab w:val="left" w:pos="655"/>
        </w:tabs>
        <w:spacing w:line="253" w:lineRule="auto"/>
        <w:ind w:left="660" w:right="160" w:hanging="328"/>
        <w:rPr>
          <w:rFonts w:ascii="Arial" w:eastAsia="Arial" w:hAnsi="Arial" w:cs="Arial"/>
          <w:sz w:val="21"/>
          <w:szCs w:val="21"/>
        </w:rPr>
      </w:pPr>
      <w:r>
        <w:rPr>
          <w:rFonts w:ascii="Arial" w:eastAsia="Arial" w:hAnsi="Arial" w:cs="Arial"/>
          <w:sz w:val="19"/>
          <w:szCs w:val="19"/>
        </w:rPr>
        <w:t xml:space="preserve">the </w:t>
      </w:r>
      <w:r>
        <w:rPr>
          <w:rFonts w:ascii="Arial" w:eastAsia="Arial" w:hAnsi="Arial" w:cs="Arial"/>
          <w:sz w:val="19"/>
          <w:szCs w:val="19"/>
        </w:rPr>
        <w:t>FDA or other regulatory authorities may disagree with the design, implementation or results of our Clinical Studies or Clinical Trials, which may delay or prevent us from pursuing certain regulatory pathways for product developments, or require us to submi</w:t>
      </w:r>
      <w:r>
        <w:rPr>
          <w:rFonts w:ascii="Arial" w:eastAsia="Arial" w:hAnsi="Arial" w:cs="Arial"/>
          <w:sz w:val="19"/>
          <w:szCs w:val="19"/>
        </w:rPr>
        <w:t>t additional data such as long-term toxicology studies or impose other requirements before permitting us to initiate or complete a Clinical Trial of any phase. For example, the FDA could require that we terminate a Clinical Study for a product candidate an</w:t>
      </w:r>
      <w:r>
        <w:rPr>
          <w:rFonts w:ascii="Arial" w:eastAsia="Arial" w:hAnsi="Arial" w:cs="Arial"/>
          <w:sz w:val="19"/>
          <w:szCs w:val="19"/>
        </w:rPr>
        <w:t>d continue such study only under an IND, and we may not be able to obtain such an IND, or we may be subject to an enforcement action for conducting a Clinical Study not under an IND;</w:t>
      </w:r>
    </w:p>
    <w:p w:rsidR="000728AD" w:rsidRDefault="000728AD">
      <w:pPr>
        <w:spacing w:line="159" w:lineRule="exact"/>
        <w:rPr>
          <w:rFonts w:ascii="Arial" w:eastAsia="Arial" w:hAnsi="Arial" w:cs="Arial"/>
          <w:sz w:val="21"/>
          <w:szCs w:val="21"/>
        </w:rPr>
      </w:pPr>
    </w:p>
    <w:p w:rsidR="000728AD" w:rsidRDefault="000561BE">
      <w:pPr>
        <w:numPr>
          <w:ilvl w:val="0"/>
          <w:numId w:val="15"/>
        </w:numPr>
        <w:tabs>
          <w:tab w:val="left" w:pos="655"/>
        </w:tabs>
        <w:spacing w:line="303" w:lineRule="auto"/>
        <w:ind w:left="660" w:right="40" w:hanging="328"/>
        <w:rPr>
          <w:rFonts w:ascii="Arial" w:eastAsia="Arial" w:hAnsi="Arial" w:cs="Arial"/>
          <w:sz w:val="19"/>
          <w:szCs w:val="19"/>
        </w:rPr>
      </w:pPr>
      <w:r>
        <w:rPr>
          <w:rFonts w:ascii="Arial" w:eastAsia="Arial" w:hAnsi="Arial" w:cs="Arial"/>
          <w:sz w:val="18"/>
          <w:szCs w:val="18"/>
        </w:rPr>
        <w:t>regulatory authorities, IRBs or ethics committees may not authorize us o</w:t>
      </w:r>
      <w:r>
        <w:rPr>
          <w:rFonts w:ascii="Arial" w:eastAsia="Arial" w:hAnsi="Arial" w:cs="Arial"/>
          <w:sz w:val="18"/>
          <w:szCs w:val="18"/>
        </w:rPr>
        <w:t>r our investigators to commence or conduct a Clinical Study or Clinical Trial at a prospective study or trial site or may request early termination of a Clinical Study or Clinical Trial;</w:t>
      </w:r>
    </w:p>
    <w:p w:rsidR="000728AD" w:rsidRDefault="000728AD">
      <w:pPr>
        <w:spacing w:line="110" w:lineRule="exact"/>
        <w:rPr>
          <w:rFonts w:ascii="Arial" w:eastAsia="Arial" w:hAnsi="Arial" w:cs="Arial"/>
          <w:sz w:val="19"/>
          <w:szCs w:val="19"/>
        </w:rPr>
      </w:pPr>
    </w:p>
    <w:p w:rsidR="000728AD" w:rsidRDefault="000561BE">
      <w:pPr>
        <w:numPr>
          <w:ilvl w:val="0"/>
          <w:numId w:val="15"/>
        </w:numPr>
        <w:tabs>
          <w:tab w:val="left" w:pos="655"/>
        </w:tabs>
        <w:spacing w:line="238" w:lineRule="auto"/>
        <w:ind w:left="660" w:right="520" w:hanging="328"/>
        <w:jc w:val="both"/>
        <w:rPr>
          <w:rFonts w:ascii="Arial" w:eastAsia="Arial" w:hAnsi="Arial" w:cs="Arial"/>
        </w:rPr>
      </w:pPr>
      <w:r>
        <w:rPr>
          <w:rFonts w:ascii="Arial" w:eastAsia="Arial" w:hAnsi="Arial" w:cs="Arial"/>
          <w:sz w:val="20"/>
          <w:szCs w:val="20"/>
        </w:rPr>
        <w:t>we may experience delays in reaching, or fail to reach, agreement on</w:t>
      </w:r>
      <w:r>
        <w:rPr>
          <w:rFonts w:ascii="Arial" w:eastAsia="Arial" w:hAnsi="Arial" w:cs="Arial"/>
          <w:sz w:val="20"/>
          <w:szCs w:val="20"/>
        </w:rPr>
        <w:t xml:space="preserve"> acceptable terms with prospective study or trial sites and prospective contract research organizations, or CROs, the terms of which can be subject to extensive negotiation and may vary significantly among different CROs and study or trial sites;</w:t>
      </w:r>
    </w:p>
    <w:p w:rsidR="000728AD" w:rsidRDefault="000728AD">
      <w:pPr>
        <w:spacing w:line="170" w:lineRule="exact"/>
        <w:rPr>
          <w:rFonts w:ascii="Arial" w:eastAsia="Arial" w:hAnsi="Arial" w:cs="Arial"/>
        </w:rPr>
      </w:pPr>
    </w:p>
    <w:p w:rsidR="000728AD" w:rsidRDefault="000561BE">
      <w:pPr>
        <w:numPr>
          <w:ilvl w:val="0"/>
          <w:numId w:val="15"/>
        </w:numPr>
        <w:tabs>
          <w:tab w:val="left" w:pos="655"/>
        </w:tabs>
        <w:spacing w:line="238" w:lineRule="auto"/>
        <w:ind w:left="660" w:right="60" w:hanging="328"/>
        <w:jc w:val="both"/>
        <w:rPr>
          <w:rFonts w:ascii="Arial" w:eastAsia="Arial" w:hAnsi="Arial" w:cs="Arial"/>
        </w:rPr>
      </w:pPr>
      <w:r>
        <w:rPr>
          <w:rFonts w:ascii="Arial" w:eastAsia="Arial" w:hAnsi="Arial" w:cs="Arial"/>
          <w:sz w:val="20"/>
          <w:szCs w:val="20"/>
        </w:rPr>
        <w:t xml:space="preserve">preclinical studies, Clinical Studies or Clinical Trials of any of our product candidates may produce negative or inconclusive results and we may need to conduct additional preclinical studies, Clinical Studies, Clinical Trials or any other studies, or we </w:t>
      </w:r>
      <w:r>
        <w:rPr>
          <w:rFonts w:ascii="Arial" w:eastAsia="Arial" w:hAnsi="Arial" w:cs="Arial"/>
          <w:sz w:val="20"/>
          <w:szCs w:val="20"/>
        </w:rPr>
        <w:t>may decide to abandon product development programs;</w:t>
      </w:r>
    </w:p>
    <w:p w:rsidR="000728AD" w:rsidRDefault="000728AD">
      <w:pPr>
        <w:spacing w:line="170" w:lineRule="exact"/>
        <w:rPr>
          <w:rFonts w:ascii="Arial" w:eastAsia="Arial" w:hAnsi="Arial" w:cs="Arial"/>
        </w:rPr>
      </w:pPr>
    </w:p>
    <w:p w:rsidR="000728AD" w:rsidRDefault="000561BE">
      <w:pPr>
        <w:numPr>
          <w:ilvl w:val="0"/>
          <w:numId w:val="15"/>
        </w:numPr>
        <w:tabs>
          <w:tab w:val="left" w:pos="655"/>
        </w:tabs>
        <w:spacing w:line="239" w:lineRule="auto"/>
        <w:ind w:left="660" w:right="40" w:hanging="328"/>
        <w:rPr>
          <w:rFonts w:ascii="Arial" w:eastAsia="Arial" w:hAnsi="Arial" w:cs="Arial"/>
        </w:rPr>
      </w:pPr>
      <w:r>
        <w:rPr>
          <w:rFonts w:ascii="Arial" w:eastAsia="Arial" w:hAnsi="Arial" w:cs="Arial"/>
          <w:sz w:val="20"/>
          <w:szCs w:val="20"/>
        </w:rPr>
        <w:t>the number of subjects or patients required for Clinical Studies or Clinical Trials of any of our product candidates may be larger than we anticipate, or we may fail to execute the Clinical Studies or Cl</w:t>
      </w:r>
      <w:r>
        <w:rPr>
          <w:rFonts w:ascii="Arial" w:eastAsia="Arial" w:hAnsi="Arial" w:cs="Arial"/>
          <w:sz w:val="20"/>
          <w:szCs w:val="20"/>
        </w:rPr>
        <w:t>inical Trials caused by slow enrollment, subjects dropping out of the Clinical Studies or Clinical Trials or other factors, including some which are out of our control, such as COVID-19, length of time to achieve clinical endpoints, additional time require</w:t>
      </w:r>
      <w:r>
        <w:rPr>
          <w:rFonts w:ascii="Arial" w:eastAsia="Arial" w:hAnsi="Arial" w:cs="Arial"/>
          <w:sz w:val="20"/>
          <w:szCs w:val="20"/>
        </w:rPr>
        <w:t>ments for data analysis, or an inability to validate the manufacturing process or to achieve cGMP compliance for our product candidates;</w:t>
      </w:r>
    </w:p>
    <w:p w:rsidR="000728AD" w:rsidRDefault="000728AD">
      <w:pPr>
        <w:spacing w:line="168" w:lineRule="exact"/>
        <w:rPr>
          <w:rFonts w:ascii="Arial" w:eastAsia="Arial" w:hAnsi="Arial" w:cs="Arial"/>
        </w:rPr>
      </w:pPr>
    </w:p>
    <w:p w:rsidR="000728AD" w:rsidRDefault="000561BE">
      <w:pPr>
        <w:numPr>
          <w:ilvl w:val="0"/>
          <w:numId w:val="15"/>
        </w:numPr>
        <w:tabs>
          <w:tab w:val="left" w:pos="655"/>
        </w:tabs>
        <w:spacing w:line="238" w:lineRule="auto"/>
        <w:ind w:left="660" w:right="120" w:hanging="328"/>
        <w:rPr>
          <w:rFonts w:ascii="Arial" w:eastAsia="Arial" w:hAnsi="Arial" w:cs="Arial"/>
        </w:rPr>
      </w:pPr>
      <w:r>
        <w:rPr>
          <w:rFonts w:ascii="Arial" w:eastAsia="Arial" w:hAnsi="Arial" w:cs="Arial"/>
          <w:sz w:val="20"/>
          <w:szCs w:val="20"/>
        </w:rPr>
        <w:t>we may need to add new or additional Clinical Study or Clinical Trial sites for various reasons, for example, our thir</w:t>
      </w:r>
      <w:r>
        <w:rPr>
          <w:rFonts w:ascii="Arial" w:eastAsia="Arial" w:hAnsi="Arial" w:cs="Arial"/>
          <w:sz w:val="20"/>
          <w:szCs w:val="20"/>
        </w:rPr>
        <w:t>d-party contractors may fail to comply with regulatory requirements or meet their contractual obligations to us in a timely manner, or at all, or may deviate from the Clinical Study or Clinical Trial protocol or stop providing services for the study or tri</w:t>
      </w:r>
      <w:r>
        <w:rPr>
          <w:rFonts w:ascii="Arial" w:eastAsia="Arial" w:hAnsi="Arial" w:cs="Arial"/>
          <w:sz w:val="20"/>
          <w:szCs w:val="20"/>
        </w:rPr>
        <w:t>al, which may require that we add new clinical study or trial sites or investigators;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95" w:lineRule="exact"/>
        <w:rPr>
          <w:sz w:val="20"/>
          <w:szCs w:val="20"/>
        </w:rPr>
      </w:pPr>
    </w:p>
    <w:p w:rsidR="000728AD" w:rsidRDefault="000561BE">
      <w:pPr>
        <w:ind w:right="-39"/>
        <w:jc w:val="center"/>
        <w:rPr>
          <w:sz w:val="20"/>
          <w:szCs w:val="20"/>
        </w:rPr>
      </w:pPr>
      <w:r>
        <w:rPr>
          <w:rFonts w:ascii="Arial" w:eastAsia="Arial" w:hAnsi="Arial" w:cs="Arial"/>
          <w:sz w:val="18"/>
          <w:szCs w:val="18"/>
        </w:rPr>
        <w:t>39</w:t>
      </w:r>
    </w:p>
    <w:p w:rsidR="000728AD" w:rsidRDefault="000561BE">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79" w:bottom="1440" w:left="320" w:header="0" w:footer="0" w:gutter="0"/>
          <w:cols w:space="720" w:equalWidth="0">
            <w:col w:w="11200"/>
          </w:cols>
        </w:sectPr>
      </w:pPr>
    </w:p>
    <w:bookmarkStart w:id="40" w:name="page40"/>
    <w:bookmarkEnd w:id="40"/>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28" w:lineRule="exact"/>
        <w:rPr>
          <w:sz w:val="20"/>
          <w:szCs w:val="20"/>
        </w:rPr>
      </w:pPr>
    </w:p>
    <w:p w:rsidR="000728AD" w:rsidRDefault="000561BE">
      <w:pPr>
        <w:numPr>
          <w:ilvl w:val="0"/>
          <w:numId w:val="16"/>
        </w:numPr>
        <w:tabs>
          <w:tab w:val="left" w:pos="655"/>
        </w:tabs>
        <w:spacing w:line="238" w:lineRule="auto"/>
        <w:ind w:left="660" w:right="220" w:hanging="328"/>
        <w:rPr>
          <w:rFonts w:ascii="Arial" w:eastAsia="Arial" w:hAnsi="Arial" w:cs="Arial"/>
        </w:rPr>
      </w:pPr>
      <w:r>
        <w:rPr>
          <w:rFonts w:ascii="Arial" w:eastAsia="Arial" w:hAnsi="Arial" w:cs="Arial"/>
          <w:sz w:val="20"/>
          <w:szCs w:val="20"/>
        </w:rPr>
        <w:t xml:space="preserve">the cost of preclinical studies, Clinical Studies, Clinical Trials or any other </w:t>
      </w:r>
      <w:r>
        <w:rPr>
          <w:rFonts w:ascii="Arial" w:eastAsia="Arial" w:hAnsi="Arial" w:cs="Arial"/>
          <w:sz w:val="20"/>
          <w:szCs w:val="20"/>
        </w:rPr>
        <w:t>studies of any product candidates may be more than we anticipate or more than our available financial resources; and</w:t>
      </w:r>
    </w:p>
    <w:p w:rsidR="000728AD" w:rsidRDefault="000728AD">
      <w:pPr>
        <w:spacing w:line="169" w:lineRule="exact"/>
        <w:rPr>
          <w:rFonts w:ascii="Arial" w:eastAsia="Arial" w:hAnsi="Arial" w:cs="Arial"/>
        </w:rPr>
      </w:pPr>
    </w:p>
    <w:p w:rsidR="000728AD" w:rsidRDefault="000561BE">
      <w:pPr>
        <w:numPr>
          <w:ilvl w:val="0"/>
          <w:numId w:val="16"/>
        </w:numPr>
        <w:tabs>
          <w:tab w:val="left" w:pos="655"/>
        </w:tabs>
        <w:spacing w:line="254" w:lineRule="auto"/>
        <w:ind w:left="660" w:right="40" w:hanging="328"/>
        <w:rPr>
          <w:rFonts w:ascii="Arial" w:eastAsia="Arial" w:hAnsi="Arial" w:cs="Arial"/>
          <w:sz w:val="21"/>
          <w:szCs w:val="21"/>
        </w:rPr>
      </w:pPr>
      <w:r>
        <w:rPr>
          <w:rFonts w:ascii="Arial" w:eastAsia="Arial" w:hAnsi="Arial" w:cs="Arial"/>
          <w:sz w:val="19"/>
          <w:szCs w:val="19"/>
        </w:rPr>
        <w:t>the supply or quality of our product candidates or other materials necessary to conduct Clinical Studies and Clinical Trials, for which we</w:t>
      </w:r>
      <w:r>
        <w:rPr>
          <w:rFonts w:ascii="Arial" w:eastAsia="Arial" w:hAnsi="Arial" w:cs="Arial"/>
          <w:sz w:val="19"/>
          <w:szCs w:val="19"/>
        </w:rPr>
        <w:t xml:space="preserve"> expect to continue to rely on third party manufacturers and suppliers, may be insufficient or inadequate and may not achieve compliance with applicable cGMP and other quality standards applicable to drug or non-drug product development for various reasons</w:t>
      </w:r>
      <w:r>
        <w:rPr>
          <w:rFonts w:ascii="Arial" w:eastAsia="Arial" w:hAnsi="Arial" w:cs="Arial"/>
          <w:sz w:val="19"/>
          <w:szCs w:val="19"/>
        </w:rPr>
        <w:t xml:space="preserve"> including any potential failure of our oversight of their services or any potential inability of such third parties to successfully execute services in compliance with applicable rules and regulations.</w:t>
      </w:r>
    </w:p>
    <w:p w:rsidR="000728AD" w:rsidRDefault="000728AD">
      <w:pPr>
        <w:spacing w:line="210" w:lineRule="exact"/>
        <w:rPr>
          <w:sz w:val="20"/>
          <w:szCs w:val="20"/>
        </w:rPr>
      </w:pPr>
    </w:p>
    <w:p w:rsidR="000728AD" w:rsidRDefault="000561BE">
      <w:pPr>
        <w:spacing w:line="271" w:lineRule="auto"/>
        <w:rPr>
          <w:sz w:val="20"/>
          <w:szCs w:val="20"/>
        </w:rPr>
      </w:pPr>
      <w:r>
        <w:rPr>
          <w:rFonts w:ascii="Arial" w:eastAsia="Arial" w:hAnsi="Arial" w:cs="Arial"/>
          <w:sz w:val="18"/>
          <w:szCs w:val="18"/>
        </w:rPr>
        <w:t>We could also encounter delays if a preclinical stud</w:t>
      </w:r>
      <w:r>
        <w:rPr>
          <w:rFonts w:ascii="Arial" w:eastAsia="Arial" w:hAnsi="Arial" w:cs="Arial"/>
          <w:sz w:val="18"/>
          <w:szCs w:val="18"/>
        </w:rPr>
        <w:t>y, Clinical Study or Clinical Trial is suspended or terminated for any reason. A suspension or termination may be imposed due to a number of factors, including failure to conduct the Clinical Study or Clinical Trial in accordance with regulatory requiremen</w:t>
      </w:r>
      <w:r>
        <w:rPr>
          <w:rFonts w:ascii="Arial" w:eastAsia="Arial" w:hAnsi="Arial" w:cs="Arial"/>
          <w:sz w:val="18"/>
          <w:szCs w:val="18"/>
        </w:rPr>
        <w:t xml:space="preserve">ts or our clinical protocols, inspection of the Clinical Study or Clinical Trial operations or trial site by the FDA, comparable foreign regulatory authorities or IRB resulting in the imposition of a clinical hold, unforeseen safety issues or adverse side </w:t>
      </w:r>
      <w:r>
        <w:rPr>
          <w:rFonts w:ascii="Arial" w:eastAsia="Arial" w:hAnsi="Arial" w:cs="Arial"/>
          <w:sz w:val="18"/>
          <w:szCs w:val="18"/>
        </w:rPr>
        <w:t>effects, including death of a study subject, failure to demonstrate a benefit from using a product or treatment, failure to establish or achieve clinically meaningful or legally permissible endpoints, changes in governmental regulations or administrative a</w:t>
      </w:r>
      <w:r>
        <w:rPr>
          <w:rFonts w:ascii="Arial" w:eastAsia="Arial" w:hAnsi="Arial" w:cs="Arial"/>
          <w:sz w:val="18"/>
          <w:szCs w:val="18"/>
        </w:rPr>
        <w:t>ctions or lack of adequate funding to continue the Clinical Study or Clinical Trial. Many of the factors that cause, or lead to, a delay in the commencement or completion of Clinical Studies or Clinical Trials may also ultimately lead to the denial of regu</w:t>
      </w:r>
      <w:r>
        <w:rPr>
          <w:rFonts w:ascii="Arial" w:eastAsia="Arial" w:hAnsi="Arial" w:cs="Arial"/>
          <w:sz w:val="18"/>
          <w:szCs w:val="18"/>
        </w:rPr>
        <w:t>latory approval of our product candidates for therapeutic indications, where applicable, or the failure to meet applicable regulatory requirements to support and commercialize non-drug products. Further, the FDA or comparable foreign regulatory authorities</w:t>
      </w:r>
      <w:r>
        <w:rPr>
          <w:rFonts w:ascii="Arial" w:eastAsia="Arial" w:hAnsi="Arial" w:cs="Arial"/>
          <w:sz w:val="18"/>
          <w:szCs w:val="18"/>
        </w:rPr>
        <w:t xml:space="preserve"> may change the requirements for regulatory approval of a drug even after they have reviewed and commented on the design for our preclinical studies, Clinical Studies or Clinical Trials.</w:t>
      </w:r>
    </w:p>
    <w:p w:rsidR="000728AD" w:rsidRDefault="000728AD">
      <w:pPr>
        <w:spacing w:line="170" w:lineRule="exact"/>
        <w:rPr>
          <w:sz w:val="20"/>
          <w:szCs w:val="20"/>
        </w:rPr>
      </w:pPr>
    </w:p>
    <w:p w:rsidR="000728AD" w:rsidRDefault="000561BE">
      <w:pPr>
        <w:spacing w:line="255" w:lineRule="auto"/>
        <w:rPr>
          <w:sz w:val="20"/>
          <w:szCs w:val="20"/>
        </w:rPr>
      </w:pPr>
      <w:r>
        <w:rPr>
          <w:rFonts w:ascii="Arial" w:eastAsia="Arial" w:hAnsi="Arial" w:cs="Arial"/>
          <w:sz w:val="19"/>
          <w:szCs w:val="19"/>
        </w:rPr>
        <w:t>Our product development costs will increase, or our operations may b</w:t>
      </w:r>
      <w:r>
        <w:rPr>
          <w:rFonts w:ascii="Arial" w:eastAsia="Arial" w:hAnsi="Arial" w:cs="Arial"/>
          <w:sz w:val="19"/>
          <w:szCs w:val="19"/>
        </w:rPr>
        <w:t xml:space="preserve">e hindered or prevented if we experience delays in clinical testing and marketing approvals, if applicable, or otherwise meeting regulatory requirements to commercialize our product candidates, including, but not limited to, delays in NDA preparation, the </w:t>
      </w:r>
      <w:r>
        <w:rPr>
          <w:rFonts w:ascii="Arial" w:eastAsia="Arial" w:hAnsi="Arial" w:cs="Arial"/>
          <w:sz w:val="19"/>
          <w:szCs w:val="19"/>
        </w:rPr>
        <w:t>need to submit a New Dietary Ingredient, or NDI, notification or other filings with the FDA, discussions with the FDA and comparable foreign regulatory authorities in jurisdictions we target or pursue, responding to an FDA request or other regulatory autho</w:t>
      </w:r>
      <w:r>
        <w:rPr>
          <w:rFonts w:ascii="Arial" w:eastAsia="Arial" w:hAnsi="Arial" w:cs="Arial"/>
          <w:sz w:val="19"/>
          <w:szCs w:val="19"/>
        </w:rPr>
        <w:t>rity for additional preclinical or clinical data or unexpected safety or manufacturing issues. We do not know whether any of our preclinical studies, Clinical Studies or Clinical Trials, if applicable, will begin or be completed as planned, will need to be</w:t>
      </w:r>
      <w:r>
        <w:rPr>
          <w:rFonts w:ascii="Arial" w:eastAsia="Arial" w:hAnsi="Arial" w:cs="Arial"/>
          <w:sz w:val="19"/>
          <w:szCs w:val="19"/>
        </w:rPr>
        <w:t xml:space="preserve"> restructured or will be completed on schedule, or at all. Significant delays in our preclinical studies, Clinical Studies or Clinical Trial also could shorten any periods during which we may have the exclusive right to commercialize our product candidates</w:t>
      </w:r>
      <w:r>
        <w:rPr>
          <w:rFonts w:ascii="Arial" w:eastAsia="Arial" w:hAnsi="Arial" w:cs="Arial"/>
          <w:sz w:val="19"/>
          <w:szCs w:val="19"/>
        </w:rPr>
        <w:t xml:space="preserve"> and may allow our competitors to bring products to market before we do, potentially impairing our ability to successfully commercialize our product candidates and harming our business and results of operations. Any delays in our preclinical or future clin</w:t>
      </w:r>
      <w:r>
        <w:rPr>
          <w:rFonts w:ascii="Arial" w:eastAsia="Arial" w:hAnsi="Arial" w:cs="Arial"/>
          <w:sz w:val="19"/>
          <w:szCs w:val="19"/>
        </w:rPr>
        <w:t>ical development programs may harm our business, financial condition and prospects significantly, and could impair our ability to fund our operations or obtain financing on acceptable terms, or at all.</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1" w:lineRule="exact"/>
        <w:rPr>
          <w:sz w:val="20"/>
          <w:szCs w:val="20"/>
        </w:rPr>
      </w:pPr>
    </w:p>
    <w:p w:rsidR="000728AD" w:rsidRDefault="000561BE">
      <w:pPr>
        <w:ind w:right="-19"/>
        <w:jc w:val="center"/>
        <w:rPr>
          <w:sz w:val="20"/>
          <w:szCs w:val="20"/>
        </w:rPr>
      </w:pPr>
      <w:r>
        <w:rPr>
          <w:rFonts w:ascii="Arial" w:eastAsia="Arial" w:hAnsi="Arial" w:cs="Arial"/>
          <w:sz w:val="18"/>
          <w:szCs w:val="18"/>
        </w:rPr>
        <w:t>40</w:t>
      </w:r>
    </w:p>
    <w:p w:rsidR="000728AD" w:rsidRDefault="000561BE">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59" w:bottom="1440" w:left="320" w:header="0" w:footer="0" w:gutter="0"/>
          <w:cols w:space="720" w:equalWidth="0">
            <w:col w:w="11220"/>
          </w:cols>
        </w:sectPr>
      </w:pPr>
    </w:p>
    <w:bookmarkStart w:id="41" w:name="page41"/>
    <w:bookmarkEnd w:id="41"/>
    <w:p w:rsidR="000728AD" w:rsidRDefault="000561BE">
      <w:pPr>
        <w:rPr>
          <w:rFonts w:ascii="Arial" w:eastAsia="Arial" w:hAnsi="Arial" w:cs="Arial"/>
          <w:color w:val="0000FF"/>
          <w:sz w:val="18"/>
          <w:szCs w:val="18"/>
          <w:u w:val="single"/>
        </w:rPr>
      </w:pPr>
      <w:r>
        <w:lastRenderedPageBreak/>
        <w:fldChar w:fldCharType="begin"/>
      </w:r>
      <w:r>
        <w:instrText xml:space="preserve"> HYPERLINK \l "page3" \h</w:instrText>
      </w:r>
      <w:r>
        <w:instrText xml:space="preserve">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395" w:lineRule="exact"/>
        <w:rPr>
          <w:sz w:val="20"/>
          <w:szCs w:val="20"/>
        </w:rPr>
      </w:pPr>
    </w:p>
    <w:p w:rsidR="000728AD" w:rsidRDefault="000561BE">
      <w:pPr>
        <w:rPr>
          <w:sz w:val="20"/>
          <w:szCs w:val="20"/>
        </w:rPr>
      </w:pPr>
      <w:r>
        <w:rPr>
          <w:rFonts w:ascii="Arial" w:eastAsia="Arial" w:hAnsi="Arial" w:cs="Arial"/>
          <w:b/>
          <w:bCs/>
          <w:sz w:val="20"/>
          <w:szCs w:val="20"/>
        </w:rPr>
        <w:t>Risks Related to Our Business, Technology and Industry</w:t>
      </w:r>
    </w:p>
    <w:p w:rsidR="000728AD" w:rsidRDefault="000728AD">
      <w:pPr>
        <w:spacing w:line="222" w:lineRule="exact"/>
        <w:rPr>
          <w:sz w:val="20"/>
          <w:szCs w:val="20"/>
        </w:rPr>
      </w:pPr>
    </w:p>
    <w:p w:rsidR="000728AD" w:rsidRDefault="000561BE">
      <w:pPr>
        <w:spacing w:line="282" w:lineRule="auto"/>
        <w:ind w:right="320"/>
        <w:jc w:val="both"/>
        <w:rPr>
          <w:sz w:val="20"/>
          <w:szCs w:val="20"/>
        </w:rPr>
      </w:pPr>
      <w:r>
        <w:rPr>
          <w:rFonts w:ascii="Arial" w:eastAsia="Arial" w:hAnsi="Arial" w:cs="Arial"/>
          <w:b/>
          <w:bCs/>
          <w:i/>
          <w:iCs/>
          <w:sz w:val="18"/>
          <w:szCs w:val="18"/>
        </w:rPr>
        <w:t xml:space="preserve">Any use of our product candidates to support and maintain homeostasis, which helps support normal structures and functions of the body, or to modulate dysregulated </w:t>
      </w:r>
      <w:r>
        <w:rPr>
          <w:rFonts w:ascii="Arial" w:eastAsia="Arial" w:hAnsi="Arial" w:cs="Arial"/>
          <w:b/>
          <w:bCs/>
          <w:i/>
          <w:iCs/>
          <w:sz w:val="18"/>
          <w:szCs w:val="18"/>
        </w:rPr>
        <w:t>metabolism is a novel approach and negative perception of any product candidates that we develop could adversely affect our ability to conduct our business, obtain regulatory approvals or identify alternate regulatory pathways, to the extent required by ap</w:t>
      </w:r>
      <w:r>
        <w:rPr>
          <w:rFonts w:ascii="Arial" w:eastAsia="Arial" w:hAnsi="Arial" w:cs="Arial"/>
          <w:b/>
          <w:bCs/>
          <w:i/>
          <w:iCs/>
          <w:sz w:val="18"/>
          <w:szCs w:val="18"/>
        </w:rPr>
        <w:t>plicable laws, to market such product candidates.</w:t>
      </w:r>
    </w:p>
    <w:p w:rsidR="000728AD" w:rsidRDefault="000728AD">
      <w:pPr>
        <w:spacing w:line="161" w:lineRule="exact"/>
        <w:rPr>
          <w:sz w:val="20"/>
          <w:szCs w:val="20"/>
        </w:rPr>
      </w:pPr>
    </w:p>
    <w:p w:rsidR="000728AD" w:rsidRDefault="000561BE">
      <w:pPr>
        <w:spacing w:line="269" w:lineRule="auto"/>
        <w:ind w:right="20"/>
        <w:rPr>
          <w:sz w:val="20"/>
          <w:szCs w:val="20"/>
        </w:rPr>
      </w:pPr>
      <w:r>
        <w:rPr>
          <w:rFonts w:ascii="Arial" w:eastAsia="Arial" w:hAnsi="Arial" w:cs="Arial"/>
          <w:sz w:val="18"/>
          <w:szCs w:val="18"/>
        </w:rPr>
        <w:t xml:space="preserve">The development of EMM compositions with defined ratios and formulations, and the potential drug and non-drug applications of these product candidates represents a novel approach. Our product </w:t>
      </w:r>
      <w:r>
        <w:rPr>
          <w:rFonts w:ascii="Arial" w:eastAsia="Arial" w:hAnsi="Arial" w:cs="Arial"/>
          <w:sz w:val="18"/>
          <w:szCs w:val="18"/>
        </w:rPr>
        <w:t>candidates in general may not be successfully developed or commercialized or gain the acceptance of the public or the medical community. For any product candidate that we choose to develop as a drug product candidate, our success will depend upon physician</w:t>
      </w:r>
      <w:r>
        <w:rPr>
          <w:rFonts w:ascii="Arial" w:eastAsia="Arial" w:hAnsi="Arial" w:cs="Arial"/>
          <w:sz w:val="18"/>
          <w:szCs w:val="18"/>
        </w:rPr>
        <w:t>s who specialize in the treatment of diseases targeted by our product candidates, prescribing potential treatments that involve the use of our product candidates in lieu of, or in addition to, existing treatments with which they are more familiar and for w</w:t>
      </w:r>
      <w:r>
        <w:rPr>
          <w:rFonts w:ascii="Arial" w:eastAsia="Arial" w:hAnsi="Arial" w:cs="Arial"/>
          <w:sz w:val="18"/>
          <w:szCs w:val="18"/>
        </w:rPr>
        <w:t>hich greater clinical data may be available. For any product candidate that we choose to develop as a non-drug product candidate, our success will depend on finding partners in a non-drug market who can help successfully commercialize product candidates as</w:t>
      </w:r>
      <w:r>
        <w:rPr>
          <w:rFonts w:ascii="Arial" w:eastAsia="Arial" w:hAnsi="Arial" w:cs="Arial"/>
          <w:sz w:val="18"/>
          <w:szCs w:val="18"/>
        </w:rPr>
        <w:t xml:space="preserve"> non-drug product candidates, such as dietary supplements. In addition, our success will also depend on consumer acceptance and adoption of our products that we, or a future partner, commercialize, if any. Adverse events, which may include death, in Clinic</w:t>
      </w:r>
      <w:r>
        <w:rPr>
          <w:rFonts w:ascii="Arial" w:eastAsia="Arial" w:hAnsi="Arial" w:cs="Arial"/>
          <w:sz w:val="18"/>
          <w:szCs w:val="18"/>
        </w:rPr>
        <w:t>al Studies and Clinical Trials of our product candidates or in studies or Clinical Trials of other parties developing similar products and the resulting publicity, as well as any other adverse events in the field of EMMs and metabolic pathways, could resul</w:t>
      </w:r>
      <w:r>
        <w:rPr>
          <w:rFonts w:ascii="Arial" w:eastAsia="Arial" w:hAnsi="Arial" w:cs="Arial"/>
          <w:sz w:val="18"/>
          <w:szCs w:val="18"/>
        </w:rPr>
        <w:t>t in a decrease in demand for any product that we may develop. In addition, responses by the U.S. federal, state or foreign governments to negative public perception or ethical concerns may result in new legislation or regulations that could limit our abil</w:t>
      </w:r>
      <w:r>
        <w:rPr>
          <w:rFonts w:ascii="Arial" w:eastAsia="Arial" w:hAnsi="Arial" w:cs="Arial"/>
          <w:sz w:val="18"/>
          <w:szCs w:val="18"/>
        </w:rPr>
        <w:t>ity to develop or commercialize any product candidates, obtain or maintain regulatory approval, if applicable, identify alternate regulatory pathways to market or otherwise achieve profitability. More restrictive statutory regimes, government regulations o</w:t>
      </w:r>
      <w:r>
        <w:rPr>
          <w:rFonts w:ascii="Arial" w:eastAsia="Arial" w:hAnsi="Arial" w:cs="Arial"/>
          <w:sz w:val="18"/>
          <w:szCs w:val="18"/>
        </w:rPr>
        <w:t>r negative public opinion would have an adverse effect on our business, financial condition, results of operations and prospects, and may delay or impair the development and commercialization of our product candidates or demand for any products we may comm</w:t>
      </w:r>
      <w:r>
        <w:rPr>
          <w:rFonts w:ascii="Arial" w:eastAsia="Arial" w:hAnsi="Arial" w:cs="Arial"/>
          <w:sz w:val="18"/>
          <w:szCs w:val="18"/>
        </w:rPr>
        <w:t>ercialize.</w:t>
      </w:r>
    </w:p>
    <w:p w:rsidR="000728AD" w:rsidRDefault="000728AD">
      <w:pPr>
        <w:spacing w:line="174" w:lineRule="exact"/>
        <w:rPr>
          <w:sz w:val="20"/>
          <w:szCs w:val="20"/>
        </w:rPr>
      </w:pPr>
    </w:p>
    <w:p w:rsidR="000728AD" w:rsidRDefault="000561BE">
      <w:pPr>
        <w:rPr>
          <w:sz w:val="20"/>
          <w:szCs w:val="20"/>
        </w:rPr>
      </w:pPr>
      <w:r>
        <w:rPr>
          <w:rFonts w:ascii="Arial" w:eastAsia="Arial" w:hAnsi="Arial" w:cs="Arial"/>
          <w:b/>
          <w:bCs/>
          <w:i/>
          <w:iCs/>
          <w:sz w:val="16"/>
          <w:szCs w:val="16"/>
        </w:rPr>
        <w:t>We face significant competition from other healthcare companies, and our operating results will suffer if we fail to compete effectively.</w:t>
      </w:r>
    </w:p>
    <w:p w:rsidR="000728AD" w:rsidRDefault="000728AD">
      <w:pPr>
        <w:spacing w:line="262" w:lineRule="exact"/>
        <w:rPr>
          <w:sz w:val="20"/>
          <w:szCs w:val="20"/>
        </w:rPr>
      </w:pPr>
    </w:p>
    <w:p w:rsidR="000728AD" w:rsidRDefault="000561BE">
      <w:pPr>
        <w:spacing w:line="270" w:lineRule="auto"/>
        <w:rPr>
          <w:sz w:val="20"/>
          <w:szCs w:val="20"/>
        </w:rPr>
      </w:pPr>
      <w:r>
        <w:rPr>
          <w:rFonts w:ascii="Arial" w:eastAsia="Arial" w:hAnsi="Arial" w:cs="Arial"/>
          <w:sz w:val="18"/>
          <w:szCs w:val="18"/>
        </w:rPr>
        <w:t>The healthcare industry is characterized by intense competition and rapid innovation. Our competitors may</w:t>
      </w:r>
      <w:r>
        <w:rPr>
          <w:rFonts w:ascii="Arial" w:eastAsia="Arial" w:hAnsi="Arial" w:cs="Arial"/>
          <w:sz w:val="18"/>
          <w:szCs w:val="18"/>
        </w:rPr>
        <w:t xml:space="preserve"> be able to develop other drug or non-drug products that are able to achieve similar or better results. Our potential competitors include major multinational pharmaceutical, nutritional foods companies, established biotechnology companies, specialty pharma</w:t>
      </w:r>
      <w:r>
        <w:rPr>
          <w:rFonts w:ascii="Arial" w:eastAsia="Arial" w:hAnsi="Arial" w:cs="Arial"/>
          <w:sz w:val="18"/>
          <w:szCs w:val="18"/>
        </w:rPr>
        <w:t>ceutical companies and universities and other research institutions. Many of our competitors have substantially greater financial, technical and other resources, such as larger research and development staff, experienced marketing and manufacturing organiz</w:t>
      </w:r>
      <w:r>
        <w:rPr>
          <w:rFonts w:ascii="Arial" w:eastAsia="Arial" w:hAnsi="Arial" w:cs="Arial"/>
          <w:sz w:val="18"/>
          <w:szCs w:val="18"/>
        </w:rPr>
        <w:t>ations and well-established sales forces. Smaller or early-stage companies may also prove to be significant competitors, particularly through collaborative arrangements with large, established companies. Established pharmaceutical companies may also invest</w:t>
      </w:r>
      <w:r>
        <w:rPr>
          <w:rFonts w:ascii="Arial" w:eastAsia="Arial" w:hAnsi="Arial" w:cs="Arial"/>
          <w:sz w:val="18"/>
          <w:szCs w:val="18"/>
        </w:rPr>
        <w:t xml:space="preserve"> heavily to accelerate discovery and development of novel drugs or to in-license novel drugs that could make any product candidate that we develop as a drug product candidate obsolete. Mergers and acquisitions in the healthcare industry may result in even </w:t>
      </w:r>
      <w:r>
        <w:rPr>
          <w:rFonts w:ascii="Arial" w:eastAsia="Arial" w:hAnsi="Arial" w:cs="Arial"/>
          <w:sz w:val="18"/>
          <w:szCs w:val="18"/>
        </w:rPr>
        <w:t>more resources being concentrated amongst our competitors. Competition may increase further as a result of advances in the commercial applicability of technologies and greater availability of capital for investment in these industries. Our competitors, eit</w:t>
      </w:r>
      <w:r>
        <w:rPr>
          <w:rFonts w:ascii="Arial" w:eastAsia="Arial" w:hAnsi="Arial" w:cs="Arial"/>
          <w:sz w:val="18"/>
          <w:szCs w:val="18"/>
        </w:rPr>
        <w:t>her alone or with collaborative partners, may succeed in developing, acquiring or licensing on exclusive non-drug products that are safer, more easily commercialized or less costly than our product candidates or may develop proprietary technologies or secu</w:t>
      </w:r>
      <w:r>
        <w:rPr>
          <w:rFonts w:ascii="Arial" w:eastAsia="Arial" w:hAnsi="Arial" w:cs="Arial"/>
          <w:sz w:val="18"/>
          <w:szCs w:val="18"/>
        </w:rPr>
        <w:t>re patent protection that we may need for the development of our technologies and products.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69" w:lineRule="exact"/>
        <w:rPr>
          <w:sz w:val="20"/>
          <w:szCs w:val="20"/>
        </w:rPr>
      </w:pPr>
    </w:p>
    <w:p w:rsidR="000728AD" w:rsidRDefault="000561BE">
      <w:pPr>
        <w:ind w:right="-19"/>
        <w:jc w:val="center"/>
        <w:rPr>
          <w:sz w:val="20"/>
          <w:szCs w:val="20"/>
        </w:rPr>
      </w:pPr>
      <w:r>
        <w:rPr>
          <w:rFonts w:ascii="Arial" w:eastAsia="Arial" w:hAnsi="Arial" w:cs="Arial"/>
          <w:sz w:val="18"/>
          <w:szCs w:val="18"/>
        </w:rPr>
        <w:t>41</w:t>
      </w:r>
    </w:p>
    <w:p w:rsidR="000728AD" w:rsidRDefault="000561BE">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42" w:name="page42"/>
    <w:bookmarkEnd w:id="42"/>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63" w:lineRule="auto"/>
        <w:ind w:right="80"/>
        <w:rPr>
          <w:sz w:val="20"/>
          <w:szCs w:val="20"/>
        </w:rPr>
      </w:pPr>
      <w:r>
        <w:rPr>
          <w:rFonts w:ascii="Arial" w:eastAsia="Arial" w:hAnsi="Arial" w:cs="Arial"/>
          <w:sz w:val="19"/>
          <w:szCs w:val="19"/>
        </w:rPr>
        <w:t xml:space="preserve">We believe the key competitive factors that will affect the development and commercial </w:t>
      </w:r>
      <w:r>
        <w:rPr>
          <w:rFonts w:ascii="Arial" w:eastAsia="Arial" w:hAnsi="Arial" w:cs="Arial"/>
          <w:sz w:val="19"/>
          <w:szCs w:val="19"/>
        </w:rPr>
        <w:t>success of our product candidates are efficacy, safety, tolerability, reliability, convenience of use, price and reimbursement, if applicable depending on the development path we choose. We also anticipate that we will face increased competition in the fut</w:t>
      </w:r>
      <w:r>
        <w:rPr>
          <w:rFonts w:ascii="Arial" w:eastAsia="Arial" w:hAnsi="Arial" w:cs="Arial"/>
          <w:sz w:val="19"/>
          <w:szCs w:val="19"/>
        </w:rPr>
        <w:t>ure as additional companies enter our market and scientific developments surrounding other non-drug products and drugs targeted at metabolic pathways continue to accelerate.</w:t>
      </w:r>
    </w:p>
    <w:p w:rsidR="000728AD" w:rsidRDefault="000728AD">
      <w:pPr>
        <w:spacing w:line="176" w:lineRule="exact"/>
        <w:rPr>
          <w:sz w:val="20"/>
          <w:szCs w:val="20"/>
        </w:rPr>
      </w:pPr>
    </w:p>
    <w:p w:rsidR="000728AD" w:rsidRDefault="000561BE">
      <w:pPr>
        <w:spacing w:line="274" w:lineRule="auto"/>
        <w:ind w:right="220"/>
        <w:rPr>
          <w:sz w:val="20"/>
          <w:szCs w:val="20"/>
        </w:rPr>
      </w:pPr>
      <w:r>
        <w:rPr>
          <w:rFonts w:ascii="Arial" w:eastAsia="Arial" w:hAnsi="Arial" w:cs="Arial"/>
          <w:sz w:val="18"/>
          <w:szCs w:val="18"/>
        </w:rPr>
        <w:t xml:space="preserve">In addition, there are additional companies that are working on </w:t>
      </w:r>
      <w:r>
        <w:rPr>
          <w:rFonts w:ascii="Arial" w:eastAsia="Arial" w:hAnsi="Arial" w:cs="Arial"/>
          <w:sz w:val="18"/>
          <w:szCs w:val="18"/>
        </w:rPr>
        <w:t>modulating specific metabolic pathways involved in various health and disease conditions. Although we are not aware of any company creating products targeting metabolic multifactorial activity for the same indications and targets as us, Entrinsic Bioscienc</w:t>
      </w:r>
      <w:r>
        <w:rPr>
          <w:rFonts w:ascii="Arial" w:eastAsia="Arial" w:hAnsi="Arial" w:cs="Arial"/>
          <w:sz w:val="18"/>
          <w:szCs w:val="18"/>
        </w:rPr>
        <w:t>es, Inc. is developing amino acid combinations to treat gastrointestinal disorders and other conditions associated with dysfunctional transport membrane proteins. Companies with clinical programs that could compete with our current pipeline of product cand</w:t>
      </w:r>
      <w:r>
        <w:rPr>
          <w:rFonts w:ascii="Arial" w:eastAsia="Arial" w:hAnsi="Arial" w:cs="Arial"/>
          <w:sz w:val="18"/>
          <w:szCs w:val="18"/>
        </w:rPr>
        <w:t>idates include 89bio, Inc., Akero Therapeutics, Inc., Bausch Health, Bristol-Myers Squibb Co., Esperion Therapeutics, Inc., Genfit SA, Gilead Sciences, Inc., Intercept Pharmaceuticals, Inc., Kaleido Biosciences, Inc., Madrigal Pharmaceuticals, Inc., Mallin</w:t>
      </w:r>
      <w:r>
        <w:rPr>
          <w:rFonts w:ascii="Arial" w:eastAsia="Arial" w:hAnsi="Arial" w:cs="Arial"/>
          <w:sz w:val="18"/>
          <w:szCs w:val="18"/>
        </w:rPr>
        <w:t>ckrodt plc, Novartis AG, Scholar Rock Holding Corporation, and Viking Therapeutics, Inc., among others.</w:t>
      </w:r>
    </w:p>
    <w:p w:rsidR="000728AD" w:rsidRDefault="000728AD">
      <w:pPr>
        <w:spacing w:line="168" w:lineRule="exact"/>
        <w:rPr>
          <w:sz w:val="20"/>
          <w:szCs w:val="20"/>
        </w:rPr>
      </w:pPr>
    </w:p>
    <w:p w:rsidR="000728AD" w:rsidRDefault="000561BE">
      <w:pPr>
        <w:spacing w:line="274" w:lineRule="auto"/>
        <w:ind w:right="220"/>
        <w:rPr>
          <w:sz w:val="20"/>
          <w:szCs w:val="20"/>
        </w:rPr>
      </w:pPr>
      <w:r>
        <w:rPr>
          <w:rFonts w:ascii="Arial" w:eastAsia="Arial" w:hAnsi="Arial" w:cs="Arial"/>
          <w:sz w:val="18"/>
          <w:szCs w:val="18"/>
        </w:rPr>
        <w:t>Even if we obtain regulatory approval to market our product candidates as drugs or are successful in identifying alternate regulatory pathways to marke</w:t>
      </w:r>
      <w:r>
        <w:rPr>
          <w:rFonts w:ascii="Arial" w:eastAsia="Arial" w:hAnsi="Arial" w:cs="Arial"/>
          <w:sz w:val="18"/>
          <w:szCs w:val="18"/>
        </w:rPr>
        <w:t>t our product candidates under regulations that would apply to non-drug products, the availability and price of our competitors' products could limit the demand and the price we are able to charge for our product candidates. We may not be able to implement</w:t>
      </w:r>
      <w:r>
        <w:rPr>
          <w:rFonts w:ascii="Arial" w:eastAsia="Arial" w:hAnsi="Arial" w:cs="Arial"/>
          <w:sz w:val="18"/>
          <w:szCs w:val="18"/>
        </w:rPr>
        <w:t xml:space="preserve"> our business plan if the acceptance of our product candidates is inhibited by price competition or the reluctance of consumers to accept of our product candidates and choose them over other competitive products on the market or, for product candidates we </w:t>
      </w:r>
      <w:r>
        <w:rPr>
          <w:rFonts w:ascii="Arial" w:eastAsia="Arial" w:hAnsi="Arial" w:cs="Arial"/>
          <w:sz w:val="18"/>
          <w:szCs w:val="18"/>
        </w:rPr>
        <w:t>develop as drugs, of physicians to switch from existing methods of treatment to our product candidates, or if physicians switch to other new drug or biologic products or choose to reserve our product candidates for use in limited circumstances.</w:t>
      </w:r>
    </w:p>
    <w:p w:rsidR="000728AD" w:rsidRDefault="000728AD">
      <w:pPr>
        <w:spacing w:line="168" w:lineRule="exact"/>
        <w:rPr>
          <w:sz w:val="20"/>
          <w:szCs w:val="20"/>
        </w:rPr>
      </w:pPr>
    </w:p>
    <w:p w:rsidR="000728AD" w:rsidRDefault="000561BE">
      <w:pPr>
        <w:spacing w:line="250" w:lineRule="auto"/>
        <w:ind w:right="40"/>
        <w:rPr>
          <w:sz w:val="20"/>
          <w:szCs w:val="20"/>
        </w:rPr>
      </w:pPr>
      <w:r>
        <w:rPr>
          <w:rFonts w:ascii="Arial" w:eastAsia="Arial" w:hAnsi="Arial" w:cs="Arial"/>
          <w:b/>
          <w:bCs/>
          <w:i/>
          <w:iCs/>
          <w:sz w:val="20"/>
          <w:szCs w:val="20"/>
        </w:rPr>
        <w:t>If we lose</w:t>
      </w:r>
      <w:r>
        <w:rPr>
          <w:rFonts w:ascii="Arial" w:eastAsia="Arial" w:hAnsi="Arial" w:cs="Arial"/>
          <w:b/>
          <w:bCs/>
          <w:i/>
          <w:iCs/>
          <w:sz w:val="20"/>
          <w:szCs w:val="20"/>
        </w:rPr>
        <w:t xml:space="preserve"> key management personnel, or if we are unable to recruit additional highly skilled personnel, our ability to identify and develop new or next generation product candidates will be impaired, could result in loss of markets or market share and could make us</w:t>
      </w:r>
      <w:r>
        <w:rPr>
          <w:rFonts w:ascii="Arial" w:eastAsia="Arial" w:hAnsi="Arial" w:cs="Arial"/>
          <w:b/>
          <w:bCs/>
          <w:i/>
          <w:iCs/>
          <w:sz w:val="20"/>
          <w:szCs w:val="20"/>
        </w:rPr>
        <w:t xml:space="preserve"> less competitive.</w:t>
      </w:r>
    </w:p>
    <w:p w:rsidR="000728AD" w:rsidRDefault="000728AD">
      <w:pPr>
        <w:spacing w:line="186" w:lineRule="exact"/>
        <w:rPr>
          <w:sz w:val="20"/>
          <w:szCs w:val="20"/>
        </w:rPr>
      </w:pPr>
    </w:p>
    <w:p w:rsidR="000728AD" w:rsidRDefault="000561BE">
      <w:pPr>
        <w:spacing w:line="255" w:lineRule="auto"/>
        <w:ind w:right="80"/>
        <w:rPr>
          <w:sz w:val="20"/>
          <w:szCs w:val="20"/>
        </w:rPr>
      </w:pPr>
      <w:r>
        <w:rPr>
          <w:rFonts w:ascii="Arial" w:eastAsia="Arial" w:hAnsi="Arial" w:cs="Arial"/>
          <w:sz w:val="19"/>
          <w:szCs w:val="19"/>
        </w:rPr>
        <w:t>Our ability to compete in the highly competitive biotechnology industry depends upon our ability to attract and retain highly qualified managerial, scientific, medical and other personnel. We are highly dependent on our management, scie</w:t>
      </w:r>
      <w:r>
        <w:rPr>
          <w:rFonts w:ascii="Arial" w:eastAsia="Arial" w:hAnsi="Arial" w:cs="Arial"/>
          <w:sz w:val="19"/>
          <w:szCs w:val="19"/>
        </w:rPr>
        <w:t>ntific and medical personnel. The loss of the services of any of our executive officers, other key employees and other scientific and medical advisors, and our inability to find suitable replacements could result in delays in product development and harm o</w:t>
      </w:r>
      <w:r>
        <w:rPr>
          <w:rFonts w:ascii="Arial" w:eastAsia="Arial" w:hAnsi="Arial" w:cs="Arial"/>
          <w:sz w:val="19"/>
          <w:szCs w:val="19"/>
        </w:rPr>
        <w:t>ur business. We conduct our operations in Massachusetts. Competition for skilled personnel in our market is intense and may limit our ability to hire and retain highly qualified personnel on acceptable terms or at all. To induce valuable employees to remai</w:t>
      </w:r>
      <w:r>
        <w:rPr>
          <w:rFonts w:ascii="Arial" w:eastAsia="Arial" w:hAnsi="Arial" w:cs="Arial"/>
          <w:sz w:val="19"/>
          <w:szCs w:val="19"/>
        </w:rPr>
        <w:t>n at our company, in addition to salary and cash incentives, we have provided stock options that vest over time. The value to employees of stock options that vest over time may be significantly affected by movements in our stock price that are beyond our c</w:t>
      </w:r>
      <w:r>
        <w:rPr>
          <w:rFonts w:ascii="Arial" w:eastAsia="Arial" w:hAnsi="Arial" w:cs="Arial"/>
          <w:sz w:val="19"/>
          <w:szCs w:val="19"/>
        </w:rPr>
        <w:t>ontrol and may at any time be insufficient to counteract more lucrative offers from other companies. Despite our efforts to retain valuable employees, members of our management, scientific and development teams may terminate their employment with us on sho</w:t>
      </w:r>
      <w:r>
        <w:rPr>
          <w:rFonts w:ascii="Arial" w:eastAsia="Arial" w:hAnsi="Arial" w:cs="Arial"/>
          <w:sz w:val="19"/>
          <w:szCs w:val="19"/>
        </w:rPr>
        <w:t>rt notice.</w:t>
      </w:r>
    </w:p>
    <w:p w:rsidR="000728AD" w:rsidRDefault="000728AD">
      <w:pPr>
        <w:spacing w:line="190" w:lineRule="exact"/>
        <w:rPr>
          <w:sz w:val="20"/>
          <w:szCs w:val="20"/>
        </w:rPr>
      </w:pPr>
    </w:p>
    <w:p w:rsidR="000728AD" w:rsidRDefault="000561BE">
      <w:pPr>
        <w:spacing w:line="246" w:lineRule="auto"/>
        <w:rPr>
          <w:sz w:val="20"/>
          <w:szCs w:val="20"/>
        </w:rPr>
      </w:pPr>
      <w:r>
        <w:rPr>
          <w:rFonts w:ascii="Arial" w:eastAsia="Arial" w:hAnsi="Arial" w:cs="Arial"/>
          <w:sz w:val="20"/>
          <w:szCs w:val="20"/>
        </w:rPr>
        <w:t xml:space="preserve">Employment of our key employees is at-will, which means that any of our employees could leave our employment at any time, with or without notice. We do not maintain "key man" insurance policies on the lives of these individuals or the lives of </w:t>
      </w:r>
      <w:r>
        <w:rPr>
          <w:rFonts w:ascii="Arial" w:eastAsia="Arial" w:hAnsi="Arial" w:cs="Arial"/>
          <w:sz w:val="20"/>
          <w:szCs w:val="20"/>
        </w:rPr>
        <w:t>any of our other employees. Our success also depends on our ability to continue to attract, retain and motivate highly skilled junior, mid-level and senior managers as well as junior, mid-level and senior scientific and medical personnel.</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8" w:lineRule="exact"/>
        <w:rPr>
          <w:sz w:val="20"/>
          <w:szCs w:val="20"/>
        </w:rPr>
      </w:pPr>
    </w:p>
    <w:p w:rsidR="000728AD" w:rsidRDefault="000561BE">
      <w:pPr>
        <w:ind w:right="-19"/>
        <w:jc w:val="center"/>
        <w:rPr>
          <w:sz w:val="20"/>
          <w:szCs w:val="20"/>
        </w:rPr>
      </w:pPr>
      <w:r>
        <w:rPr>
          <w:rFonts w:ascii="Arial" w:eastAsia="Arial" w:hAnsi="Arial" w:cs="Arial"/>
          <w:sz w:val="18"/>
          <w:szCs w:val="18"/>
        </w:rPr>
        <w:t>42</w:t>
      </w:r>
    </w:p>
    <w:p w:rsidR="000728AD" w:rsidRDefault="000561BE">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43" w:name="page43"/>
    <w:bookmarkEnd w:id="43"/>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rPr>
          <w:sz w:val="20"/>
          <w:szCs w:val="20"/>
        </w:rPr>
      </w:pPr>
      <w:r>
        <w:rPr>
          <w:rFonts w:ascii="Arial" w:eastAsia="Arial" w:hAnsi="Arial" w:cs="Arial"/>
          <w:b/>
          <w:bCs/>
          <w:i/>
          <w:iCs/>
          <w:sz w:val="20"/>
          <w:szCs w:val="20"/>
        </w:rPr>
        <w:t>COVID-19 may materially and adversely affect our business and our financial results.</w:t>
      </w:r>
    </w:p>
    <w:p w:rsidR="000728AD" w:rsidRDefault="000728AD">
      <w:pPr>
        <w:spacing w:line="216" w:lineRule="exact"/>
        <w:rPr>
          <w:sz w:val="20"/>
          <w:szCs w:val="20"/>
        </w:rPr>
      </w:pPr>
    </w:p>
    <w:p w:rsidR="000728AD" w:rsidRDefault="000561BE">
      <w:pPr>
        <w:spacing w:line="268" w:lineRule="auto"/>
        <w:rPr>
          <w:sz w:val="20"/>
          <w:szCs w:val="20"/>
        </w:rPr>
      </w:pPr>
      <w:r>
        <w:rPr>
          <w:rFonts w:ascii="Arial" w:eastAsia="Arial" w:hAnsi="Arial" w:cs="Arial"/>
          <w:sz w:val="18"/>
          <w:szCs w:val="18"/>
        </w:rPr>
        <w:t xml:space="preserve">The COVID-19 pandemic has resulted in significant governmental measures being implemented to </w:t>
      </w:r>
      <w:r>
        <w:rPr>
          <w:rFonts w:ascii="Arial" w:eastAsia="Arial" w:hAnsi="Arial" w:cs="Arial"/>
          <w:sz w:val="18"/>
          <w:szCs w:val="18"/>
        </w:rPr>
        <w:t>control the spread of the virus, including quarantines, travel restrictions, business shutdowns and clinical site closures to non-essential care and clinical trials. For example, our AXA1957-002 Clinical Study was temporarily suspended in March 2020 due to</w:t>
      </w:r>
      <w:r>
        <w:rPr>
          <w:rFonts w:ascii="Arial" w:eastAsia="Arial" w:hAnsi="Arial" w:cs="Arial"/>
          <w:sz w:val="18"/>
          <w:szCs w:val="18"/>
        </w:rPr>
        <w:t xml:space="preserve"> COVID-19's impact on our Clinical Study sites. Subsequently, based on positive data in our AXA1125-003 Clinical Study announced on May 6, 2020, we decided against reinitiating our AXA1957-002 Clinical Study and to move forward with AXA1125 as our NASH pro</w:t>
      </w:r>
      <w:r>
        <w:rPr>
          <w:rFonts w:ascii="Arial" w:eastAsia="Arial" w:hAnsi="Arial" w:cs="Arial"/>
          <w:sz w:val="18"/>
          <w:szCs w:val="18"/>
        </w:rPr>
        <w:t>duct candidate for both adult and pediatric patients. Although we cannot presently predict the full scope and severity of COVID-19, these developments and measures could materially and adversely affect our business, our results of operation and financial c</w:t>
      </w:r>
      <w:r>
        <w:rPr>
          <w:rFonts w:ascii="Arial" w:eastAsia="Arial" w:hAnsi="Arial" w:cs="Arial"/>
          <w:sz w:val="18"/>
          <w:szCs w:val="18"/>
        </w:rPr>
        <w:t>ondition. Furthermore, the COVID-19 pandemic may adversely impact our ability to complete our Clinical Trials for AXA1665 and AXA1125 in a timely manner or at all due to patient or principal investigator recruitment or availability challenges, Clinical Tri</w:t>
      </w:r>
      <w:r>
        <w:rPr>
          <w:rFonts w:ascii="Arial" w:eastAsia="Arial" w:hAnsi="Arial" w:cs="Arial"/>
          <w:sz w:val="18"/>
          <w:szCs w:val="18"/>
        </w:rPr>
        <w:t>al site shutdowns or other interruptions. Additionally, we may also experience potential limitations on the quality, completeness and interpretability of data we are able to collect. For instance, on May 7, 2020, a subject death was reported as a result of</w:t>
      </w:r>
      <w:r>
        <w:rPr>
          <w:rFonts w:ascii="Arial" w:eastAsia="Arial" w:hAnsi="Arial" w:cs="Arial"/>
          <w:sz w:val="18"/>
          <w:szCs w:val="18"/>
        </w:rPr>
        <w:t xml:space="preserve"> COVID-19 by one of our principal investigators in our recently completed AXA1665-002 Clinical Study. This serious adverse event and any others that may result from COVID-19 may impact the quality, completeness and interpretability of the data that we were</w:t>
      </w:r>
      <w:r>
        <w:rPr>
          <w:rFonts w:ascii="Arial" w:eastAsia="Arial" w:hAnsi="Arial" w:cs="Arial"/>
          <w:sz w:val="18"/>
          <w:szCs w:val="18"/>
        </w:rPr>
        <w:t xml:space="preserve"> able to collect. In addition, as a result of the COVID-19 pandemic, we or our key third-party service providers may be not able to complete key program and product development milestones on time or at all; quarantines, shelter-in-place and similar governm</w:t>
      </w:r>
      <w:r>
        <w:rPr>
          <w:rFonts w:ascii="Arial" w:eastAsia="Arial" w:hAnsi="Arial" w:cs="Arial"/>
          <w:sz w:val="18"/>
          <w:szCs w:val="18"/>
        </w:rPr>
        <w:t>ent orders may impact personnel at third-party manufacturing facilities that negatively impact the availability or cost of materials used in our product candidates; market volatility and conditions may limit our ability to raise additional capital to finan</w:t>
      </w:r>
      <w:r>
        <w:rPr>
          <w:rFonts w:ascii="Arial" w:eastAsia="Arial" w:hAnsi="Arial" w:cs="Arial"/>
          <w:sz w:val="18"/>
          <w:szCs w:val="18"/>
        </w:rPr>
        <w:t xml:space="preserve">ce our business plans on attractive terms or at all; our business continuity plans may not be effective at limiting operational disruptions or delays; we may suffer negative impacts to operations that may be vulnerable as a result of government or company </w:t>
      </w:r>
      <w:r>
        <w:rPr>
          <w:rFonts w:ascii="Arial" w:eastAsia="Arial" w:hAnsi="Arial" w:cs="Arial"/>
          <w:sz w:val="18"/>
          <w:szCs w:val="18"/>
        </w:rPr>
        <w:t xml:space="preserve">measures taken to control the spread of COVID-19; potential shutdowns of government agencies such as the SEC or FDA may limit our ability to raise capital and negatively impact our product development timelines; the passage of new legislation may increase </w:t>
      </w:r>
      <w:r>
        <w:rPr>
          <w:rFonts w:ascii="Arial" w:eastAsia="Arial" w:hAnsi="Arial" w:cs="Arial"/>
          <w:sz w:val="18"/>
          <w:szCs w:val="18"/>
        </w:rPr>
        <w:t xml:space="preserve">our operating costs or limit our operations, such as the Families First Coronavirus Response Act; we may suffer negative consequences due to vulnerabilities that emerge as a result of our limited operations, such as a cybersecurity incident; or one of our </w:t>
      </w:r>
      <w:r>
        <w:rPr>
          <w:rFonts w:ascii="Arial" w:eastAsia="Arial" w:hAnsi="Arial" w:cs="Arial"/>
          <w:sz w:val="18"/>
          <w:szCs w:val="18"/>
        </w:rPr>
        <w:t>key executives, scientists or other personnel may become incapacitated by COVID-19.</w:t>
      </w:r>
    </w:p>
    <w:p w:rsidR="000728AD" w:rsidRDefault="000728AD">
      <w:pPr>
        <w:spacing w:line="180" w:lineRule="exact"/>
        <w:rPr>
          <w:sz w:val="20"/>
          <w:szCs w:val="20"/>
        </w:rPr>
      </w:pPr>
    </w:p>
    <w:p w:rsidR="000728AD" w:rsidRDefault="000561BE">
      <w:pPr>
        <w:spacing w:line="243" w:lineRule="auto"/>
        <w:ind w:right="180"/>
        <w:rPr>
          <w:sz w:val="20"/>
          <w:szCs w:val="20"/>
        </w:rPr>
      </w:pPr>
      <w:r>
        <w:rPr>
          <w:rFonts w:ascii="Arial" w:eastAsia="Arial" w:hAnsi="Arial" w:cs="Arial"/>
          <w:sz w:val="20"/>
          <w:szCs w:val="20"/>
        </w:rPr>
        <w:t>The extent to which COVID-19 impacts our business, operations or financial results will depend on future developments, which are highly uncertain and cannot be predicted w</w:t>
      </w:r>
      <w:r>
        <w:rPr>
          <w:rFonts w:ascii="Arial" w:eastAsia="Arial" w:hAnsi="Arial" w:cs="Arial"/>
          <w:sz w:val="20"/>
          <w:szCs w:val="20"/>
        </w:rPr>
        <w:t>ith confidence, such as the duration of the pandemic, new information that may emerge concerning the severity of COVID-19 or the nature or effectiveness of actions to contain COVID-19 or treat its impact, among others. We cannot presently predict the scope</w:t>
      </w:r>
      <w:r>
        <w:rPr>
          <w:rFonts w:ascii="Arial" w:eastAsia="Arial" w:hAnsi="Arial" w:cs="Arial"/>
          <w:sz w:val="20"/>
          <w:szCs w:val="20"/>
        </w:rPr>
        <w:t xml:space="preserve"> and severity of any potential business shutdowns or disruptions. However, if we or any of the third parties with whom we engage were to experience shutdowns or other business disruptions, our ability to conduct our business in the manner and on the timeli</w:t>
      </w:r>
      <w:r>
        <w:rPr>
          <w:rFonts w:ascii="Arial" w:eastAsia="Arial" w:hAnsi="Arial" w:cs="Arial"/>
          <w:sz w:val="20"/>
          <w:szCs w:val="20"/>
        </w:rPr>
        <w:t>nes presently planned could be materially and negatively affected, which could have a material adverse impact on our business, results of operation and financial condition.</w:t>
      </w:r>
    </w:p>
    <w:p w:rsidR="000728AD" w:rsidRDefault="000728AD">
      <w:pPr>
        <w:spacing w:line="193" w:lineRule="exact"/>
        <w:rPr>
          <w:sz w:val="20"/>
          <w:szCs w:val="20"/>
        </w:rPr>
      </w:pPr>
    </w:p>
    <w:p w:rsidR="000728AD" w:rsidRDefault="000561BE">
      <w:pPr>
        <w:spacing w:line="260" w:lineRule="auto"/>
        <w:ind w:right="360"/>
        <w:rPr>
          <w:sz w:val="20"/>
          <w:szCs w:val="20"/>
        </w:rPr>
      </w:pPr>
      <w:r>
        <w:rPr>
          <w:rFonts w:ascii="Arial" w:eastAsia="Arial" w:hAnsi="Arial" w:cs="Arial"/>
          <w:b/>
          <w:bCs/>
          <w:i/>
          <w:iCs/>
          <w:sz w:val="20"/>
          <w:szCs w:val="20"/>
        </w:rPr>
        <w:t>We have a limited operating history, which may make it difficult to evaluate our t</w:t>
      </w:r>
      <w:r>
        <w:rPr>
          <w:rFonts w:ascii="Arial" w:eastAsia="Arial" w:hAnsi="Arial" w:cs="Arial"/>
          <w:b/>
          <w:bCs/>
          <w:i/>
          <w:iCs/>
          <w:sz w:val="20"/>
          <w:szCs w:val="20"/>
        </w:rPr>
        <w:t>echnology and product development capabilities and predict our future performance.</w:t>
      </w:r>
    </w:p>
    <w:p w:rsidR="000728AD" w:rsidRDefault="000728AD">
      <w:pPr>
        <w:spacing w:line="177" w:lineRule="exact"/>
        <w:rPr>
          <w:sz w:val="20"/>
          <w:szCs w:val="20"/>
        </w:rPr>
      </w:pPr>
    </w:p>
    <w:p w:rsidR="000728AD" w:rsidRDefault="000561BE">
      <w:pPr>
        <w:spacing w:line="246" w:lineRule="auto"/>
        <w:ind w:right="160"/>
        <w:rPr>
          <w:sz w:val="20"/>
          <w:szCs w:val="20"/>
        </w:rPr>
      </w:pPr>
      <w:r>
        <w:rPr>
          <w:rFonts w:ascii="Arial" w:eastAsia="Arial" w:hAnsi="Arial" w:cs="Arial"/>
          <w:sz w:val="20"/>
          <w:szCs w:val="20"/>
        </w:rPr>
        <w:t>As an organization, we have not yet completed any Clinical Trials. We completed our AXA1125-003 Clinical Study in 2020, and initiated a Phase 2b Clinical Trial of AXA1125 i</w:t>
      </w:r>
      <w:r>
        <w:rPr>
          <w:rFonts w:ascii="Arial" w:eastAsia="Arial" w:hAnsi="Arial" w:cs="Arial"/>
          <w:sz w:val="20"/>
          <w:szCs w:val="20"/>
        </w:rPr>
        <w:t>n the second quarter of 2021, in which we are enrolling patients with NASH. We also completed our AXA1665-002 Clinical Study in 2020, and initiated a Phase 2 Clinical Trial of AXA1665 in the second quarter of 2021, in which we are enrolling patients who ha</w:t>
      </w:r>
      <w:r>
        <w:rPr>
          <w:rFonts w:ascii="Arial" w:eastAsia="Arial" w:hAnsi="Arial" w:cs="Arial"/>
          <w:sz w:val="20"/>
          <w:szCs w:val="20"/>
        </w:rPr>
        <w:t>ve experienced a prior OHE episode.</w:t>
      </w:r>
    </w:p>
    <w:p w:rsidR="000728AD" w:rsidRDefault="000728AD">
      <w:pPr>
        <w:spacing w:line="191" w:lineRule="exact"/>
        <w:rPr>
          <w:sz w:val="20"/>
          <w:szCs w:val="20"/>
        </w:rPr>
      </w:pPr>
    </w:p>
    <w:p w:rsidR="000728AD" w:rsidRDefault="000561BE">
      <w:pPr>
        <w:spacing w:line="246" w:lineRule="auto"/>
        <w:ind w:right="60"/>
        <w:rPr>
          <w:sz w:val="20"/>
          <w:szCs w:val="20"/>
        </w:rPr>
      </w:pPr>
      <w:r>
        <w:rPr>
          <w:rFonts w:ascii="Arial" w:eastAsia="Arial" w:hAnsi="Arial" w:cs="Arial"/>
          <w:sz w:val="20"/>
          <w:szCs w:val="20"/>
        </w:rPr>
        <w:t>We were formed in 2008, have no products approved for commercial sale as drugs or marketed via other regulatory pathways (e.g., non-drug products such as dietary supplements) and have not generated any revenue from prod</w:t>
      </w:r>
      <w:r>
        <w:rPr>
          <w:rFonts w:ascii="Arial" w:eastAsia="Arial" w:hAnsi="Arial" w:cs="Arial"/>
          <w:sz w:val="20"/>
          <w:szCs w:val="20"/>
        </w:rPr>
        <w:t>uct sales. Our ability to generate product revenue or profits, which we do not expect will occur for many years, if ever, will depend on the successful development and eventual commercialization of our product candidates, which may never occur.</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8" w:lineRule="exact"/>
        <w:rPr>
          <w:sz w:val="20"/>
          <w:szCs w:val="20"/>
        </w:rPr>
      </w:pPr>
    </w:p>
    <w:p w:rsidR="000728AD" w:rsidRDefault="000561BE">
      <w:pPr>
        <w:ind w:right="-19"/>
        <w:jc w:val="center"/>
        <w:rPr>
          <w:sz w:val="20"/>
          <w:szCs w:val="20"/>
        </w:rPr>
      </w:pPr>
      <w:r>
        <w:rPr>
          <w:rFonts w:ascii="Arial" w:eastAsia="Arial" w:hAnsi="Arial" w:cs="Arial"/>
          <w:sz w:val="18"/>
          <w:szCs w:val="18"/>
        </w:rPr>
        <w:t>43</w:t>
      </w:r>
    </w:p>
    <w:p w:rsidR="000728AD" w:rsidRDefault="000561BE">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59" w:bottom="1440" w:left="320" w:header="0" w:footer="0" w:gutter="0"/>
          <w:cols w:space="720" w:equalWidth="0">
            <w:col w:w="11220"/>
          </w:cols>
        </w:sectPr>
      </w:pPr>
    </w:p>
    <w:bookmarkStart w:id="44" w:name="page44"/>
    <w:bookmarkEnd w:id="44"/>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56" w:lineRule="auto"/>
        <w:ind w:right="120"/>
        <w:rPr>
          <w:sz w:val="20"/>
          <w:szCs w:val="20"/>
        </w:rPr>
      </w:pPr>
      <w:r>
        <w:rPr>
          <w:rFonts w:ascii="Arial" w:eastAsia="Arial" w:hAnsi="Arial" w:cs="Arial"/>
          <w:sz w:val="19"/>
          <w:szCs w:val="19"/>
        </w:rPr>
        <w:t xml:space="preserve">Our limited operating history may make it difficult to evaluate our technology and industry and predict our future performance. Specifically, to date we have conducted Clinical </w:t>
      </w:r>
      <w:r>
        <w:rPr>
          <w:rFonts w:ascii="Arial" w:eastAsia="Arial" w:hAnsi="Arial" w:cs="Arial"/>
          <w:sz w:val="19"/>
          <w:szCs w:val="19"/>
        </w:rPr>
        <w:t>Studies for our product candidates to evaluate safety and tolerability and impact on normal structure and function only in healthy subjects or subjects with certain disease conditions. For product candidates we develop under an IND with patient populations</w:t>
      </w:r>
      <w:r>
        <w:rPr>
          <w:rFonts w:ascii="Arial" w:eastAsia="Arial" w:hAnsi="Arial" w:cs="Arial"/>
          <w:sz w:val="19"/>
          <w:szCs w:val="19"/>
        </w:rPr>
        <w:t xml:space="preserve"> reflecting the desired indication for such product candidate, the physiological structure and function data we observed in our Clinical Studies for such product candidate may not be replicated in or be consistent with results from Clinical Trials and such</w:t>
      </w:r>
      <w:r>
        <w:rPr>
          <w:rFonts w:ascii="Arial" w:eastAsia="Arial" w:hAnsi="Arial" w:cs="Arial"/>
          <w:sz w:val="19"/>
          <w:szCs w:val="19"/>
        </w:rPr>
        <w:t xml:space="preserve"> product candidate may not meet therapeutic efficacy endpoints in Clinical Trials. For instance, while we previously announced positive top-line data in both our (i) AXA1125-003 Clinical Study, including reductions in liver fat content and markers of fibro</w:t>
      </w:r>
      <w:r>
        <w:rPr>
          <w:rFonts w:ascii="Arial" w:eastAsia="Arial" w:hAnsi="Arial" w:cs="Arial"/>
          <w:sz w:val="19"/>
          <w:szCs w:val="19"/>
        </w:rPr>
        <w:t>inflammation and (ii) AXA1665-002 Clinical Study, including a balancing of plasma amino acids, stabilizing ammonia levels and an improvement in measures of neurocognition, such results may not be replicated in Clinical Trials.</w:t>
      </w:r>
    </w:p>
    <w:p w:rsidR="000728AD" w:rsidRDefault="000728AD">
      <w:pPr>
        <w:spacing w:line="184" w:lineRule="exact"/>
        <w:rPr>
          <w:sz w:val="20"/>
          <w:szCs w:val="20"/>
        </w:rPr>
      </w:pPr>
    </w:p>
    <w:p w:rsidR="000728AD" w:rsidRDefault="000561BE">
      <w:pPr>
        <w:spacing w:line="278" w:lineRule="auto"/>
        <w:ind w:right="80"/>
        <w:rPr>
          <w:sz w:val="20"/>
          <w:szCs w:val="20"/>
        </w:rPr>
      </w:pPr>
      <w:r>
        <w:rPr>
          <w:rFonts w:ascii="Arial" w:eastAsia="Arial" w:hAnsi="Arial" w:cs="Arial"/>
          <w:sz w:val="18"/>
          <w:szCs w:val="18"/>
        </w:rPr>
        <w:t>Our short history as an oper</w:t>
      </w:r>
      <w:r>
        <w:rPr>
          <w:rFonts w:ascii="Arial" w:eastAsia="Arial" w:hAnsi="Arial" w:cs="Arial"/>
          <w:sz w:val="18"/>
          <w:szCs w:val="18"/>
        </w:rPr>
        <w:t>ating company makes any assessment of our future success or viability subject to significant uncertainty. We will encounter risks and difficulties frequently experienced by early-stage companies in evolving fields. If we do not address these or other risks</w:t>
      </w:r>
      <w:r>
        <w:rPr>
          <w:rFonts w:ascii="Arial" w:eastAsia="Arial" w:hAnsi="Arial" w:cs="Arial"/>
          <w:sz w:val="18"/>
          <w:szCs w:val="18"/>
        </w:rPr>
        <w:t xml:space="preserve"> successfully, our business will suffer. Similarly, we expect that our financial condition, expenditures and operating results will fluctuate significantly from quarter to quarter and year to year due to a variety of factors, many of which are beyond our c</w:t>
      </w:r>
      <w:r>
        <w:rPr>
          <w:rFonts w:ascii="Arial" w:eastAsia="Arial" w:hAnsi="Arial" w:cs="Arial"/>
          <w:sz w:val="18"/>
          <w:szCs w:val="18"/>
        </w:rPr>
        <w:t>ontrol. As a result, our stockholders should not rely upon the results of any quarterly or annual period as an indicator of future operating performance.</w:t>
      </w:r>
    </w:p>
    <w:p w:rsidR="000728AD" w:rsidRDefault="000728AD">
      <w:pPr>
        <w:spacing w:line="165" w:lineRule="exact"/>
        <w:rPr>
          <w:sz w:val="20"/>
          <w:szCs w:val="20"/>
        </w:rPr>
      </w:pPr>
    </w:p>
    <w:p w:rsidR="000728AD" w:rsidRDefault="000561BE">
      <w:pPr>
        <w:spacing w:line="263" w:lineRule="auto"/>
        <w:ind w:right="300"/>
        <w:rPr>
          <w:sz w:val="20"/>
          <w:szCs w:val="20"/>
        </w:rPr>
      </w:pPr>
      <w:r>
        <w:rPr>
          <w:rFonts w:ascii="Arial" w:eastAsia="Arial" w:hAnsi="Arial" w:cs="Arial"/>
          <w:sz w:val="19"/>
          <w:szCs w:val="19"/>
        </w:rPr>
        <w:t>In addition, as an early-stage company, we may encounter unforeseen expenses, difficulties, complicat</w:t>
      </w:r>
      <w:r>
        <w:rPr>
          <w:rFonts w:ascii="Arial" w:eastAsia="Arial" w:hAnsi="Arial" w:cs="Arial"/>
          <w:sz w:val="19"/>
          <w:szCs w:val="19"/>
        </w:rPr>
        <w:t>ions, delays and other known and unknown circumstances, which may be significant. Given the recent initiation of our first Clinical Trials for AXA1665 and AXA1125, we will need to transition from a company with a Clinical Study focus to a company capable o</w:t>
      </w:r>
      <w:r>
        <w:rPr>
          <w:rFonts w:ascii="Arial" w:eastAsia="Arial" w:hAnsi="Arial" w:cs="Arial"/>
          <w:sz w:val="19"/>
          <w:szCs w:val="19"/>
        </w:rPr>
        <w:t>f supporting clinical development in Clinical Trials and, if successful, commercial activities. We may not be successful in such transitions.</w:t>
      </w:r>
    </w:p>
    <w:p w:rsidR="000728AD" w:rsidRDefault="000728AD">
      <w:pPr>
        <w:spacing w:line="176" w:lineRule="exact"/>
        <w:rPr>
          <w:sz w:val="20"/>
          <w:szCs w:val="20"/>
        </w:rPr>
      </w:pPr>
    </w:p>
    <w:p w:rsidR="000728AD" w:rsidRDefault="000561BE">
      <w:pPr>
        <w:spacing w:line="250" w:lineRule="auto"/>
        <w:ind w:right="360"/>
        <w:rPr>
          <w:sz w:val="20"/>
          <w:szCs w:val="20"/>
        </w:rPr>
      </w:pPr>
      <w:r>
        <w:rPr>
          <w:rFonts w:ascii="Arial" w:eastAsia="Arial" w:hAnsi="Arial" w:cs="Arial"/>
          <w:b/>
          <w:bCs/>
          <w:i/>
          <w:iCs/>
          <w:sz w:val="20"/>
          <w:szCs w:val="20"/>
        </w:rPr>
        <w:t>Our Clinical Studies and Clinical Trials, or those of our future collaborators may reveal significant adverse eve</w:t>
      </w:r>
      <w:r>
        <w:rPr>
          <w:rFonts w:ascii="Arial" w:eastAsia="Arial" w:hAnsi="Arial" w:cs="Arial"/>
          <w:b/>
          <w:bCs/>
          <w:i/>
          <w:iCs/>
          <w:sz w:val="20"/>
          <w:szCs w:val="20"/>
        </w:rPr>
        <w:t>nts not seen in our preclinical studies, Clinical Studies or other Clinical Trials and may result in a safety profile that could inhibit regulatory approval or market acceptance of any of our product candidates.</w:t>
      </w:r>
    </w:p>
    <w:p w:rsidR="000728AD" w:rsidRDefault="000728AD">
      <w:pPr>
        <w:spacing w:line="186" w:lineRule="exact"/>
        <w:rPr>
          <w:sz w:val="20"/>
          <w:szCs w:val="20"/>
        </w:rPr>
      </w:pPr>
    </w:p>
    <w:p w:rsidR="000728AD" w:rsidRDefault="000561BE">
      <w:pPr>
        <w:spacing w:line="243" w:lineRule="auto"/>
        <w:rPr>
          <w:sz w:val="20"/>
          <w:szCs w:val="20"/>
        </w:rPr>
      </w:pPr>
      <w:r>
        <w:rPr>
          <w:rFonts w:ascii="Arial" w:eastAsia="Arial" w:hAnsi="Arial" w:cs="Arial"/>
          <w:sz w:val="20"/>
          <w:szCs w:val="20"/>
        </w:rPr>
        <w:t xml:space="preserve">Before obtaining regulatory </w:t>
      </w:r>
      <w:r>
        <w:rPr>
          <w:rFonts w:ascii="Arial" w:eastAsia="Arial" w:hAnsi="Arial" w:cs="Arial"/>
          <w:sz w:val="20"/>
          <w:szCs w:val="20"/>
        </w:rPr>
        <w:t xml:space="preserve">approvals for the commercial sale of any products for therapeutic indications, we must demonstrate through lengthy, complex and expensive preclinical studies, Clinical Studies and Clinical Trials that our product candidates are both safe and effective for </w:t>
      </w:r>
      <w:r>
        <w:rPr>
          <w:rFonts w:ascii="Arial" w:eastAsia="Arial" w:hAnsi="Arial" w:cs="Arial"/>
          <w:sz w:val="20"/>
          <w:szCs w:val="20"/>
        </w:rPr>
        <w:t>use in each target indication. Any non-drug products must also be demonstrated to be safe and tolerable. Our product candidates have been generally well tolerated in our Clinical Studies to date, but we cannot be certain that we will be able to dose subjec</w:t>
      </w:r>
      <w:r>
        <w:rPr>
          <w:rFonts w:ascii="Arial" w:eastAsia="Arial" w:hAnsi="Arial" w:cs="Arial"/>
          <w:sz w:val="20"/>
          <w:szCs w:val="20"/>
        </w:rPr>
        <w:t>ts or patients at a high enough dose in any future Clinical Trials of product candidates we may develop as drugs so as to demonstrate efficacy without unacceptable safety risk.</w:t>
      </w:r>
    </w:p>
    <w:p w:rsidR="000728AD" w:rsidRDefault="000728AD">
      <w:pPr>
        <w:spacing w:line="196" w:lineRule="exact"/>
        <w:rPr>
          <w:sz w:val="20"/>
          <w:szCs w:val="20"/>
        </w:rPr>
      </w:pPr>
    </w:p>
    <w:p w:rsidR="000728AD" w:rsidRDefault="000561BE">
      <w:pPr>
        <w:spacing w:line="274" w:lineRule="auto"/>
        <w:ind w:right="40"/>
        <w:rPr>
          <w:sz w:val="20"/>
          <w:szCs w:val="20"/>
        </w:rPr>
      </w:pPr>
      <w:r>
        <w:rPr>
          <w:rFonts w:ascii="Arial" w:eastAsia="Arial" w:hAnsi="Arial" w:cs="Arial"/>
          <w:sz w:val="18"/>
          <w:szCs w:val="18"/>
        </w:rPr>
        <w:t>Product candidates in later stages of Clinical Studies may fail to show the de</w:t>
      </w:r>
      <w:r>
        <w:rPr>
          <w:rFonts w:ascii="Arial" w:eastAsia="Arial" w:hAnsi="Arial" w:cs="Arial"/>
          <w:sz w:val="18"/>
          <w:szCs w:val="18"/>
        </w:rPr>
        <w:t>sired safety profile despite having progressed through successful preclinical studies and earlier Clinical Studies. Product candidates that we decide to develop as drug product candidates and that progress to Clinical Trials may fail to show the desired sa</w:t>
      </w:r>
      <w:r>
        <w:rPr>
          <w:rFonts w:ascii="Arial" w:eastAsia="Arial" w:hAnsi="Arial" w:cs="Arial"/>
          <w:sz w:val="18"/>
          <w:szCs w:val="18"/>
        </w:rPr>
        <w:t>fety and efficacy profile despite having progressed successfully through preclinical studies, Clinical Studies and, if applicable, initial Clinical Trials. A number of companies in the healthcare industry have suffered significant setbacks in later develop</w:t>
      </w:r>
      <w:r>
        <w:rPr>
          <w:rFonts w:ascii="Arial" w:eastAsia="Arial" w:hAnsi="Arial" w:cs="Arial"/>
          <w:sz w:val="18"/>
          <w:szCs w:val="18"/>
        </w:rPr>
        <w:t>ment, notwithstanding promising results in earlier trials. Most product candidates that commence Clinical Trials are never approved as products for therapeutic indications, and there can be no assurance that any of our current or future Clinical Studies or</w:t>
      </w:r>
      <w:r>
        <w:rPr>
          <w:rFonts w:ascii="Arial" w:eastAsia="Arial" w:hAnsi="Arial" w:cs="Arial"/>
          <w:sz w:val="18"/>
          <w:szCs w:val="18"/>
        </w:rPr>
        <w:t xml:space="preserve"> Clinical Trials will ultimately be successful or support further clinical development of any of our product candidates.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65" w:lineRule="exact"/>
        <w:rPr>
          <w:sz w:val="20"/>
          <w:szCs w:val="20"/>
        </w:rPr>
      </w:pPr>
    </w:p>
    <w:p w:rsidR="000728AD" w:rsidRDefault="000561BE">
      <w:pPr>
        <w:ind w:right="-19"/>
        <w:jc w:val="center"/>
        <w:rPr>
          <w:sz w:val="20"/>
          <w:szCs w:val="20"/>
        </w:rPr>
      </w:pPr>
      <w:r>
        <w:rPr>
          <w:rFonts w:ascii="Arial" w:eastAsia="Arial" w:hAnsi="Arial" w:cs="Arial"/>
          <w:sz w:val="18"/>
          <w:szCs w:val="18"/>
        </w:rPr>
        <w:t>44</w:t>
      </w:r>
    </w:p>
    <w:p w:rsidR="000728AD" w:rsidRDefault="000561BE">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45" w:name="page45"/>
    <w:bookmarkEnd w:id="45"/>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55" w:lineRule="auto"/>
        <w:rPr>
          <w:sz w:val="20"/>
          <w:szCs w:val="20"/>
        </w:rPr>
      </w:pPr>
      <w:r>
        <w:rPr>
          <w:rFonts w:ascii="Arial" w:eastAsia="Arial" w:hAnsi="Arial" w:cs="Arial"/>
          <w:sz w:val="19"/>
          <w:szCs w:val="19"/>
        </w:rPr>
        <w:t xml:space="preserve">If significant adverse events, which may include </w:t>
      </w:r>
      <w:r>
        <w:rPr>
          <w:rFonts w:ascii="Arial" w:eastAsia="Arial" w:hAnsi="Arial" w:cs="Arial"/>
          <w:sz w:val="19"/>
          <w:szCs w:val="19"/>
        </w:rPr>
        <w:t>death, or other side effects are observed in any of our current or future Clinical Studies or Clinical Trials, we may have difficulty recruiting subjects or patients for our Clinical Studies or Clinical Trials, subjects or patients may drop out of our Clin</w:t>
      </w:r>
      <w:r>
        <w:rPr>
          <w:rFonts w:ascii="Arial" w:eastAsia="Arial" w:hAnsi="Arial" w:cs="Arial"/>
          <w:sz w:val="19"/>
          <w:szCs w:val="19"/>
        </w:rPr>
        <w:t>ical Studies or Clinical Trials or we may be required to significantly redesign or abandon Clinical Studies or Clinical Trials or our development efforts of one or more product candidates altogether. We, the FDA or other applicable regulatory authorities o</w:t>
      </w:r>
      <w:r>
        <w:rPr>
          <w:rFonts w:ascii="Arial" w:eastAsia="Arial" w:hAnsi="Arial" w:cs="Arial"/>
          <w:sz w:val="19"/>
          <w:szCs w:val="19"/>
        </w:rPr>
        <w:t>r an IRB may suspend Clinical Studies or Clinical Trials of a product candidate at any time for various reasons, including a belief that subjects or patients in such Clinical Studies or Clinical Trials are being exposed to unacceptable health risks or adve</w:t>
      </w:r>
      <w:r>
        <w:rPr>
          <w:rFonts w:ascii="Arial" w:eastAsia="Arial" w:hAnsi="Arial" w:cs="Arial"/>
          <w:sz w:val="19"/>
          <w:szCs w:val="19"/>
        </w:rPr>
        <w:t>rse side effects or FDA or other applicable regulatory authorities could determine that our Clinical Studies need to be stopped and any further research for a product candidate needs to be conducted under a Clinical Trial instead. Some potential non-drug p</w:t>
      </w:r>
      <w:r>
        <w:rPr>
          <w:rFonts w:ascii="Arial" w:eastAsia="Arial" w:hAnsi="Arial" w:cs="Arial"/>
          <w:sz w:val="19"/>
          <w:szCs w:val="19"/>
        </w:rPr>
        <w:t>roducts and drug product candidates that initially showed promise for further development in early-stage testing, including in Clinical Studies or Clinical Trials, have later been found to cause side effects that prevented their further development. Even i</w:t>
      </w:r>
      <w:r>
        <w:rPr>
          <w:rFonts w:ascii="Arial" w:eastAsia="Arial" w:hAnsi="Arial" w:cs="Arial"/>
          <w:sz w:val="19"/>
          <w:szCs w:val="19"/>
        </w:rPr>
        <w:t>f the side effects do not preclude a product candidate from obtaining or maintaining marketing approval, if applicable, or being commercialized, undesirable side effects may inhibit market acceptance of the commercialized product due to its tolerability ve</w:t>
      </w:r>
      <w:r>
        <w:rPr>
          <w:rFonts w:ascii="Arial" w:eastAsia="Arial" w:hAnsi="Arial" w:cs="Arial"/>
          <w:sz w:val="19"/>
          <w:szCs w:val="19"/>
        </w:rPr>
        <w:t>rsus other non-drug products or drugs. Any of these developments could materially harm our business, financial condition and prospects.</w:t>
      </w:r>
    </w:p>
    <w:p w:rsidR="000728AD" w:rsidRDefault="000728AD">
      <w:pPr>
        <w:spacing w:line="182" w:lineRule="exact"/>
        <w:rPr>
          <w:sz w:val="20"/>
          <w:szCs w:val="20"/>
        </w:rPr>
      </w:pPr>
    </w:p>
    <w:p w:rsidR="000728AD" w:rsidRDefault="000561BE">
      <w:pPr>
        <w:spacing w:line="260" w:lineRule="auto"/>
        <w:ind w:right="300"/>
        <w:jc w:val="both"/>
        <w:rPr>
          <w:sz w:val="20"/>
          <w:szCs w:val="20"/>
        </w:rPr>
      </w:pPr>
      <w:r>
        <w:rPr>
          <w:rFonts w:ascii="Arial" w:eastAsia="Arial" w:hAnsi="Arial" w:cs="Arial"/>
          <w:b/>
          <w:bCs/>
          <w:i/>
          <w:iCs/>
          <w:sz w:val="20"/>
          <w:szCs w:val="20"/>
        </w:rPr>
        <w:t>If we encounter difficulties enrolling subjects or patients in our Clinical Studies or Clinical Trials, our development</w:t>
      </w:r>
      <w:r>
        <w:rPr>
          <w:rFonts w:ascii="Arial" w:eastAsia="Arial" w:hAnsi="Arial" w:cs="Arial"/>
          <w:b/>
          <w:bCs/>
          <w:i/>
          <w:iCs/>
          <w:sz w:val="20"/>
          <w:szCs w:val="20"/>
        </w:rPr>
        <w:t xml:space="preserve"> activities could be delayed or otherwise adversely affected.</w:t>
      </w:r>
    </w:p>
    <w:p w:rsidR="000728AD" w:rsidRDefault="000728AD">
      <w:pPr>
        <w:spacing w:line="177" w:lineRule="exact"/>
        <w:rPr>
          <w:sz w:val="20"/>
          <w:szCs w:val="20"/>
        </w:rPr>
      </w:pPr>
    </w:p>
    <w:p w:rsidR="000728AD" w:rsidRDefault="000561BE">
      <w:pPr>
        <w:spacing w:line="246" w:lineRule="auto"/>
        <w:ind w:right="320"/>
        <w:jc w:val="both"/>
        <w:rPr>
          <w:sz w:val="20"/>
          <w:szCs w:val="20"/>
        </w:rPr>
      </w:pPr>
      <w:r>
        <w:rPr>
          <w:rFonts w:ascii="Arial" w:eastAsia="Arial" w:hAnsi="Arial" w:cs="Arial"/>
          <w:sz w:val="20"/>
          <w:szCs w:val="20"/>
        </w:rPr>
        <w:t>We may experience difficulties in subject and patient enrollment in our Clinical Studies and Clinical Trials for a variety of reasons. The timely completion of Clinical Studies or Clinical Tria</w:t>
      </w:r>
      <w:r>
        <w:rPr>
          <w:rFonts w:ascii="Arial" w:eastAsia="Arial" w:hAnsi="Arial" w:cs="Arial"/>
          <w:sz w:val="20"/>
          <w:szCs w:val="20"/>
        </w:rPr>
        <w:t xml:space="preserve">ls in accordance with their protocols depends, among other things, on our ability to enroll a sufficient number of subjects or patients who remain in the Clinical Study or Clinical Trial until its conclusion. The enrollment of subjects or patients depends </w:t>
      </w:r>
      <w:r>
        <w:rPr>
          <w:rFonts w:ascii="Arial" w:eastAsia="Arial" w:hAnsi="Arial" w:cs="Arial"/>
          <w:sz w:val="20"/>
          <w:szCs w:val="20"/>
        </w:rPr>
        <w:t>on many factors, including, but not limited to:</w:t>
      </w:r>
    </w:p>
    <w:p w:rsidR="000728AD" w:rsidRDefault="000728AD">
      <w:pPr>
        <w:spacing w:line="218" w:lineRule="exact"/>
        <w:rPr>
          <w:sz w:val="20"/>
          <w:szCs w:val="20"/>
        </w:rPr>
      </w:pPr>
    </w:p>
    <w:p w:rsidR="000728AD" w:rsidRDefault="000561BE">
      <w:pPr>
        <w:numPr>
          <w:ilvl w:val="0"/>
          <w:numId w:val="17"/>
        </w:numPr>
        <w:tabs>
          <w:tab w:val="left" w:pos="655"/>
        </w:tabs>
        <w:spacing w:line="238" w:lineRule="auto"/>
        <w:ind w:left="660" w:right="120" w:hanging="328"/>
        <w:rPr>
          <w:rFonts w:ascii="Arial" w:eastAsia="Arial" w:hAnsi="Arial" w:cs="Arial"/>
        </w:rPr>
      </w:pPr>
      <w:r>
        <w:rPr>
          <w:rFonts w:ascii="Arial" w:eastAsia="Arial" w:hAnsi="Arial" w:cs="Arial"/>
          <w:sz w:val="20"/>
          <w:szCs w:val="20"/>
        </w:rPr>
        <w:t>the severity of the disease or condition under investigation in the case of a Clinical Trial conducted under an IND for a drug product candidate;</w:t>
      </w:r>
    </w:p>
    <w:p w:rsidR="000728AD" w:rsidRDefault="000728AD">
      <w:pPr>
        <w:spacing w:line="166" w:lineRule="exact"/>
        <w:rPr>
          <w:rFonts w:ascii="Arial" w:eastAsia="Arial" w:hAnsi="Arial" w:cs="Arial"/>
        </w:rPr>
      </w:pPr>
    </w:p>
    <w:p w:rsidR="000728AD" w:rsidRDefault="000561BE">
      <w:pPr>
        <w:numPr>
          <w:ilvl w:val="0"/>
          <w:numId w:val="17"/>
        </w:numPr>
        <w:tabs>
          <w:tab w:val="left" w:pos="660"/>
        </w:tabs>
        <w:ind w:left="660" w:hanging="328"/>
        <w:rPr>
          <w:rFonts w:ascii="Arial" w:eastAsia="Arial" w:hAnsi="Arial" w:cs="Arial"/>
        </w:rPr>
      </w:pPr>
      <w:r>
        <w:rPr>
          <w:rFonts w:ascii="Arial" w:eastAsia="Arial" w:hAnsi="Arial" w:cs="Arial"/>
          <w:sz w:val="20"/>
          <w:szCs w:val="20"/>
        </w:rPr>
        <w:t>the subject or patient eligibility and exclusion criteria de</w:t>
      </w:r>
      <w:r>
        <w:rPr>
          <w:rFonts w:ascii="Arial" w:eastAsia="Arial" w:hAnsi="Arial" w:cs="Arial"/>
          <w:sz w:val="20"/>
          <w:szCs w:val="20"/>
        </w:rPr>
        <w:t>fined in the protocol;</w:t>
      </w:r>
    </w:p>
    <w:p w:rsidR="000728AD" w:rsidRDefault="000728AD">
      <w:pPr>
        <w:spacing w:line="168" w:lineRule="exact"/>
        <w:rPr>
          <w:rFonts w:ascii="Arial" w:eastAsia="Arial" w:hAnsi="Arial" w:cs="Arial"/>
        </w:rPr>
      </w:pPr>
    </w:p>
    <w:p w:rsidR="000728AD" w:rsidRDefault="000561BE">
      <w:pPr>
        <w:numPr>
          <w:ilvl w:val="0"/>
          <w:numId w:val="17"/>
        </w:numPr>
        <w:tabs>
          <w:tab w:val="left" w:pos="655"/>
        </w:tabs>
        <w:spacing w:line="238" w:lineRule="auto"/>
        <w:ind w:left="660" w:right="280" w:hanging="328"/>
        <w:rPr>
          <w:rFonts w:ascii="Arial" w:eastAsia="Arial" w:hAnsi="Arial" w:cs="Arial"/>
        </w:rPr>
      </w:pPr>
      <w:r>
        <w:rPr>
          <w:rFonts w:ascii="Arial" w:eastAsia="Arial" w:hAnsi="Arial" w:cs="Arial"/>
          <w:sz w:val="20"/>
          <w:szCs w:val="20"/>
        </w:rPr>
        <w:t>the size of the study subject or patient population required for analysis of the primary endpoint(s) of the Clinical Study or Clinical Trial;</w:t>
      </w:r>
    </w:p>
    <w:p w:rsidR="000728AD" w:rsidRDefault="000728AD">
      <w:pPr>
        <w:spacing w:line="166" w:lineRule="exact"/>
        <w:rPr>
          <w:rFonts w:ascii="Arial" w:eastAsia="Arial" w:hAnsi="Arial" w:cs="Arial"/>
        </w:rPr>
      </w:pPr>
    </w:p>
    <w:p w:rsidR="000728AD" w:rsidRDefault="000561BE">
      <w:pPr>
        <w:numPr>
          <w:ilvl w:val="0"/>
          <w:numId w:val="17"/>
        </w:numPr>
        <w:tabs>
          <w:tab w:val="left" w:pos="660"/>
        </w:tabs>
        <w:ind w:left="660" w:hanging="328"/>
        <w:rPr>
          <w:rFonts w:ascii="Arial" w:eastAsia="Arial" w:hAnsi="Arial" w:cs="Arial"/>
        </w:rPr>
      </w:pPr>
      <w:r>
        <w:rPr>
          <w:rFonts w:ascii="Arial" w:eastAsia="Arial" w:hAnsi="Arial" w:cs="Arial"/>
          <w:sz w:val="20"/>
          <w:szCs w:val="20"/>
        </w:rPr>
        <w:t>the proximity of subjects or patients to study and trial sites;</w:t>
      </w:r>
    </w:p>
    <w:p w:rsidR="000728AD" w:rsidRDefault="000728AD">
      <w:pPr>
        <w:spacing w:line="165" w:lineRule="exact"/>
        <w:rPr>
          <w:rFonts w:ascii="Arial" w:eastAsia="Arial" w:hAnsi="Arial" w:cs="Arial"/>
        </w:rPr>
      </w:pPr>
    </w:p>
    <w:p w:rsidR="000728AD" w:rsidRDefault="000561BE">
      <w:pPr>
        <w:numPr>
          <w:ilvl w:val="0"/>
          <w:numId w:val="17"/>
        </w:numPr>
        <w:tabs>
          <w:tab w:val="left" w:pos="660"/>
        </w:tabs>
        <w:ind w:left="660" w:hanging="328"/>
        <w:rPr>
          <w:rFonts w:ascii="Arial" w:eastAsia="Arial" w:hAnsi="Arial" w:cs="Arial"/>
        </w:rPr>
      </w:pPr>
      <w:r>
        <w:rPr>
          <w:rFonts w:ascii="Arial" w:eastAsia="Arial" w:hAnsi="Arial" w:cs="Arial"/>
          <w:sz w:val="20"/>
          <w:szCs w:val="20"/>
        </w:rPr>
        <w:t xml:space="preserve">the design of the </w:t>
      </w:r>
      <w:r>
        <w:rPr>
          <w:rFonts w:ascii="Arial" w:eastAsia="Arial" w:hAnsi="Arial" w:cs="Arial"/>
          <w:sz w:val="20"/>
          <w:szCs w:val="20"/>
        </w:rPr>
        <w:t>Clinical Study or Clinical Trial;</w:t>
      </w:r>
    </w:p>
    <w:p w:rsidR="000728AD" w:rsidRDefault="000728AD">
      <w:pPr>
        <w:spacing w:line="165" w:lineRule="exact"/>
        <w:rPr>
          <w:rFonts w:ascii="Arial" w:eastAsia="Arial" w:hAnsi="Arial" w:cs="Arial"/>
        </w:rPr>
      </w:pPr>
    </w:p>
    <w:p w:rsidR="000728AD" w:rsidRDefault="000561BE">
      <w:pPr>
        <w:numPr>
          <w:ilvl w:val="0"/>
          <w:numId w:val="17"/>
        </w:numPr>
        <w:tabs>
          <w:tab w:val="left" w:pos="660"/>
        </w:tabs>
        <w:ind w:left="660" w:hanging="328"/>
        <w:rPr>
          <w:rFonts w:ascii="Arial" w:eastAsia="Arial" w:hAnsi="Arial" w:cs="Arial"/>
        </w:rPr>
      </w:pPr>
      <w:r>
        <w:rPr>
          <w:rFonts w:ascii="Arial" w:eastAsia="Arial" w:hAnsi="Arial" w:cs="Arial"/>
          <w:sz w:val="20"/>
          <w:szCs w:val="20"/>
        </w:rPr>
        <w:t>our ability to recruit investigators with the appropriate competencies and experience;</w:t>
      </w:r>
    </w:p>
    <w:p w:rsidR="000728AD" w:rsidRDefault="000728AD">
      <w:pPr>
        <w:spacing w:line="168" w:lineRule="exact"/>
        <w:rPr>
          <w:rFonts w:ascii="Arial" w:eastAsia="Arial" w:hAnsi="Arial" w:cs="Arial"/>
        </w:rPr>
      </w:pPr>
    </w:p>
    <w:p w:rsidR="000728AD" w:rsidRDefault="000561BE">
      <w:pPr>
        <w:numPr>
          <w:ilvl w:val="0"/>
          <w:numId w:val="17"/>
        </w:numPr>
        <w:tabs>
          <w:tab w:val="left" w:pos="655"/>
        </w:tabs>
        <w:spacing w:line="238" w:lineRule="auto"/>
        <w:ind w:left="660" w:right="60" w:hanging="328"/>
        <w:rPr>
          <w:rFonts w:ascii="Arial" w:eastAsia="Arial" w:hAnsi="Arial" w:cs="Arial"/>
        </w:rPr>
      </w:pPr>
      <w:r>
        <w:rPr>
          <w:rFonts w:ascii="Arial" w:eastAsia="Arial" w:hAnsi="Arial" w:cs="Arial"/>
          <w:sz w:val="20"/>
          <w:szCs w:val="20"/>
        </w:rPr>
        <w:t>clinicians', subjects' or patients' perceptions as to the potential advantages and risks of the product candidate being studied in re</w:t>
      </w:r>
      <w:r>
        <w:rPr>
          <w:rFonts w:ascii="Arial" w:eastAsia="Arial" w:hAnsi="Arial" w:cs="Arial"/>
          <w:sz w:val="20"/>
          <w:szCs w:val="20"/>
        </w:rPr>
        <w:t>lation to other available drugs or non-drug products, as applicable;</w:t>
      </w:r>
    </w:p>
    <w:p w:rsidR="000728AD" w:rsidRDefault="000728AD">
      <w:pPr>
        <w:spacing w:line="166" w:lineRule="exact"/>
        <w:rPr>
          <w:rFonts w:ascii="Arial" w:eastAsia="Arial" w:hAnsi="Arial" w:cs="Arial"/>
        </w:rPr>
      </w:pPr>
    </w:p>
    <w:p w:rsidR="000728AD" w:rsidRDefault="000561BE">
      <w:pPr>
        <w:numPr>
          <w:ilvl w:val="0"/>
          <w:numId w:val="17"/>
        </w:numPr>
        <w:tabs>
          <w:tab w:val="left" w:pos="660"/>
        </w:tabs>
        <w:ind w:left="660" w:hanging="328"/>
        <w:rPr>
          <w:rFonts w:ascii="Arial" w:eastAsia="Arial" w:hAnsi="Arial" w:cs="Arial"/>
        </w:rPr>
      </w:pPr>
      <w:r>
        <w:rPr>
          <w:rFonts w:ascii="Arial" w:eastAsia="Arial" w:hAnsi="Arial" w:cs="Arial"/>
          <w:sz w:val="20"/>
          <w:szCs w:val="20"/>
        </w:rPr>
        <w:t>the efforts to facilitate timely enrollment in Clinical Studies or Clinical Trials;</w:t>
      </w:r>
    </w:p>
    <w:p w:rsidR="000728AD" w:rsidRDefault="000728AD">
      <w:pPr>
        <w:spacing w:line="165" w:lineRule="exact"/>
        <w:rPr>
          <w:rFonts w:ascii="Arial" w:eastAsia="Arial" w:hAnsi="Arial" w:cs="Arial"/>
        </w:rPr>
      </w:pPr>
    </w:p>
    <w:p w:rsidR="000728AD" w:rsidRDefault="000561BE">
      <w:pPr>
        <w:numPr>
          <w:ilvl w:val="0"/>
          <w:numId w:val="17"/>
        </w:numPr>
        <w:tabs>
          <w:tab w:val="left" w:pos="660"/>
        </w:tabs>
        <w:ind w:left="660" w:hanging="328"/>
        <w:rPr>
          <w:rFonts w:ascii="Arial" w:eastAsia="Arial" w:hAnsi="Arial" w:cs="Arial"/>
        </w:rPr>
      </w:pPr>
      <w:r>
        <w:rPr>
          <w:rFonts w:ascii="Arial" w:eastAsia="Arial" w:hAnsi="Arial" w:cs="Arial"/>
          <w:sz w:val="20"/>
          <w:szCs w:val="20"/>
        </w:rPr>
        <w:t>the subject or patient referral practices of physicians;</w:t>
      </w:r>
    </w:p>
    <w:p w:rsidR="000728AD" w:rsidRDefault="000728AD">
      <w:pPr>
        <w:spacing w:line="165" w:lineRule="exact"/>
        <w:rPr>
          <w:rFonts w:ascii="Arial" w:eastAsia="Arial" w:hAnsi="Arial" w:cs="Arial"/>
        </w:rPr>
      </w:pPr>
    </w:p>
    <w:p w:rsidR="000728AD" w:rsidRDefault="000561BE">
      <w:pPr>
        <w:numPr>
          <w:ilvl w:val="0"/>
          <w:numId w:val="17"/>
        </w:numPr>
        <w:tabs>
          <w:tab w:val="left" w:pos="660"/>
        </w:tabs>
        <w:ind w:left="660" w:hanging="328"/>
        <w:rPr>
          <w:rFonts w:ascii="Arial" w:eastAsia="Arial" w:hAnsi="Arial" w:cs="Arial"/>
        </w:rPr>
      </w:pPr>
      <w:r>
        <w:rPr>
          <w:rFonts w:ascii="Arial" w:eastAsia="Arial" w:hAnsi="Arial" w:cs="Arial"/>
          <w:sz w:val="20"/>
          <w:szCs w:val="20"/>
        </w:rPr>
        <w:t xml:space="preserve">the ability to monitor subjects or </w:t>
      </w:r>
      <w:r>
        <w:rPr>
          <w:rFonts w:ascii="Arial" w:eastAsia="Arial" w:hAnsi="Arial" w:cs="Arial"/>
          <w:sz w:val="20"/>
          <w:szCs w:val="20"/>
        </w:rPr>
        <w:t>patients adequately during and after study product administration;</w:t>
      </w:r>
    </w:p>
    <w:p w:rsidR="000728AD" w:rsidRDefault="000728AD">
      <w:pPr>
        <w:spacing w:line="165" w:lineRule="exact"/>
        <w:rPr>
          <w:rFonts w:ascii="Arial" w:eastAsia="Arial" w:hAnsi="Arial" w:cs="Arial"/>
        </w:rPr>
      </w:pPr>
    </w:p>
    <w:p w:rsidR="000728AD" w:rsidRDefault="000561BE">
      <w:pPr>
        <w:numPr>
          <w:ilvl w:val="0"/>
          <w:numId w:val="17"/>
        </w:numPr>
        <w:tabs>
          <w:tab w:val="left" w:pos="660"/>
        </w:tabs>
        <w:ind w:left="660" w:hanging="328"/>
        <w:rPr>
          <w:rFonts w:ascii="Arial" w:eastAsia="Arial" w:hAnsi="Arial" w:cs="Arial"/>
        </w:rPr>
      </w:pPr>
      <w:r>
        <w:rPr>
          <w:rFonts w:ascii="Arial" w:eastAsia="Arial" w:hAnsi="Arial" w:cs="Arial"/>
          <w:sz w:val="20"/>
          <w:szCs w:val="20"/>
        </w:rPr>
        <w:t>our ability to obtain and maintain subject and patient consents;</w:t>
      </w:r>
    </w:p>
    <w:p w:rsidR="000728AD" w:rsidRDefault="000728AD">
      <w:pPr>
        <w:spacing w:line="168" w:lineRule="exact"/>
        <w:rPr>
          <w:rFonts w:ascii="Arial" w:eastAsia="Arial" w:hAnsi="Arial" w:cs="Arial"/>
        </w:rPr>
      </w:pPr>
    </w:p>
    <w:p w:rsidR="000728AD" w:rsidRDefault="000561BE">
      <w:pPr>
        <w:numPr>
          <w:ilvl w:val="0"/>
          <w:numId w:val="17"/>
        </w:numPr>
        <w:tabs>
          <w:tab w:val="left" w:pos="655"/>
        </w:tabs>
        <w:spacing w:line="238" w:lineRule="auto"/>
        <w:ind w:left="660" w:right="180" w:hanging="328"/>
        <w:rPr>
          <w:rFonts w:ascii="Arial" w:eastAsia="Arial" w:hAnsi="Arial" w:cs="Arial"/>
        </w:rPr>
      </w:pPr>
      <w:r>
        <w:rPr>
          <w:rFonts w:ascii="Arial" w:eastAsia="Arial" w:hAnsi="Arial" w:cs="Arial"/>
          <w:sz w:val="20"/>
          <w:szCs w:val="20"/>
        </w:rPr>
        <w:t xml:space="preserve">factors we may not be able to control, such as potential pandemics that may limit subject, principal </w:t>
      </w:r>
      <w:r>
        <w:rPr>
          <w:rFonts w:ascii="Arial" w:eastAsia="Arial" w:hAnsi="Arial" w:cs="Arial"/>
          <w:sz w:val="20"/>
          <w:szCs w:val="20"/>
        </w:rPr>
        <w:t>investigator or staff and clinical site availability (e.g. the COVID-19 pandemic); and</w:t>
      </w:r>
    </w:p>
    <w:p w:rsidR="000728AD" w:rsidRDefault="000728AD">
      <w:pPr>
        <w:spacing w:line="169" w:lineRule="exact"/>
        <w:rPr>
          <w:rFonts w:ascii="Arial" w:eastAsia="Arial" w:hAnsi="Arial" w:cs="Arial"/>
        </w:rPr>
      </w:pPr>
    </w:p>
    <w:p w:rsidR="000728AD" w:rsidRDefault="000561BE">
      <w:pPr>
        <w:numPr>
          <w:ilvl w:val="0"/>
          <w:numId w:val="17"/>
        </w:numPr>
        <w:tabs>
          <w:tab w:val="left" w:pos="655"/>
        </w:tabs>
        <w:spacing w:line="238" w:lineRule="auto"/>
        <w:ind w:left="660" w:right="180" w:hanging="328"/>
        <w:rPr>
          <w:rFonts w:ascii="Arial" w:eastAsia="Arial" w:hAnsi="Arial" w:cs="Arial"/>
        </w:rPr>
      </w:pPr>
      <w:r>
        <w:rPr>
          <w:rFonts w:ascii="Arial" w:eastAsia="Arial" w:hAnsi="Arial" w:cs="Arial"/>
          <w:sz w:val="20"/>
          <w:szCs w:val="20"/>
        </w:rPr>
        <w:t>the risk that subjects or patients enrolled in Clinical Studies or Clinical Trials will drop out of the Clinical Studies or Clinical Trials before completion.</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93" w:lineRule="exact"/>
        <w:rPr>
          <w:sz w:val="20"/>
          <w:szCs w:val="20"/>
        </w:rPr>
      </w:pPr>
    </w:p>
    <w:p w:rsidR="000728AD" w:rsidRDefault="000561BE">
      <w:pPr>
        <w:ind w:right="-39"/>
        <w:jc w:val="center"/>
        <w:rPr>
          <w:sz w:val="20"/>
          <w:szCs w:val="20"/>
        </w:rPr>
      </w:pPr>
      <w:r>
        <w:rPr>
          <w:rFonts w:ascii="Arial" w:eastAsia="Arial" w:hAnsi="Arial" w:cs="Arial"/>
          <w:sz w:val="18"/>
          <w:szCs w:val="18"/>
        </w:rPr>
        <w:t>45</w:t>
      </w:r>
    </w:p>
    <w:p w:rsidR="000728AD" w:rsidRDefault="000561BE">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59" w:bottom="1440" w:left="320" w:header="0" w:footer="0" w:gutter="0"/>
          <w:cols w:space="720" w:equalWidth="0">
            <w:col w:w="11220"/>
          </w:cols>
        </w:sectPr>
      </w:pPr>
    </w:p>
    <w:bookmarkStart w:id="46" w:name="page46"/>
    <w:bookmarkEnd w:id="46"/>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73" w:lineRule="auto"/>
        <w:rPr>
          <w:sz w:val="20"/>
          <w:szCs w:val="20"/>
        </w:rPr>
      </w:pPr>
      <w:r>
        <w:rPr>
          <w:rFonts w:ascii="Arial" w:eastAsia="Arial" w:hAnsi="Arial" w:cs="Arial"/>
          <w:sz w:val="18"/>
          <w:szCs w:val="18"/>
        </w:rPr>
        <w:t>In addition, our Clinical Studies and Clinical Trials will compete with other clinical studies or trials for product candidates that are in the same target markets as our product candida</w:t>
      </w:r>
      <w:r>
        <w:rPr>
          <w:rFonts w:ascii="Arial" w:eastAsia="Arial" w:hAnsi="Arial" w:cs="Arial"/>
          <w:sz w:val="18"/>
          <w:szCs w:val="18"/>
        </w:rPr>
        <w:t>tes, and this competition will reduce the number and types of subjects or patients available to us, because some individuals who might have opted to enroll in our Clinical Studies or Clinical Trials may instead opt to enroll in a study or trial being condu</w:t>
      </w:r>
      <w:r>
        <w:rPr>
          <w:rFonts w:ascii="Arial" w:eastAsia="Arial" w:hAnsi="Arial" w:cs="Arial"/>
          <w:sz w:val="18"/>
          <w:szCs w:val="18"/>
        </w:rPr>
        <w:t>cted by one of our competitors. Because the number of qualified clinical investigators is limited, we expect to conduct some of our Clinical Studies or Clinical Trials at the same sites that some of our competitors use, which will reduce the number of subj</w:t>
      </w:r>
      <w:r>
        <w:rPr>
          <w:rFonts w:ascii="Arial" w:eastAsia="Arial" w:hAnsi="Arial" w:cs="Arial"/>
          <w:sz w:val="18"/>
          <w:szCs w:val="18"/>
        </w:rPr>
        <w:t>ects or patients who are available for our Clinical Studies and Clinical Trials in such sites. Moreover, because our product candidates represent a departure from more commonly used methods in the non-drug and drug areas we may pursue, potential subjects o</w:t>
      </w:r>
      <w:r>
        <w:rPr>
          <w:rFonts w:ascii="Arial" w:eastAsia="Arial" w:hAnsi="Arial" w:cs="Arial"/>
          <w:sz w:val="18"/>
          <w:szCs w:val="18"/>
        </w:rPr>
        <w:t>r patients and their doctors may be inclined to use conventional products or therapies, rather than enroll subjects or patients in any future clinical study or trial.</w:t>
      </w:r>
    </w:p>
    <w:p w:rsidR="000728AD" w:rsidRDefault="000728AD">
      <w:pPr>
        <w:spacing w:line="168" w:lineRule="exact"/>
        <w:rPr>
          <w:sz w:val="20"/>
          <w:szCs w:val="20"/>
        </w:rPr>
      </w:pPr>
    </w:p>
    <w:p w:rsidR="000728AD" w:rsidRDefault="000561BE">
      <w:pPr>
        <w:spacing w:line="246" w:lineRule="auto"/>
        <w:ind w:right="300"/>
        <w:rPr>
          <w:sz w:val="20"/>
          <w:szCs w:val="20"/>
        </w:rPr>
      </w:pPr>
      <w:r>
        <w:rPr>
          <w:rFonts w:ascii="Arial" w:eastAsia="Arial" w:hAnsi="Arial" w:cs="Arial"/>
          <w:sz w:val="20"/>
          <w:szCs w:val="20"/>
        </w:rPr>
        <w:t xml:space="preserve">Delays in subject or patient enrollment, or Clinical Study or Clinical Trial delays may </w:t>
      </w:r>
      <w:r>
        <w:rPr>
          <w:rFonts w:ascii="Arial" w:eastAsia="Arial" w:hAnsi="Arial" w:cs="Arial"/>
          <w:sz w:val="20"/>
          <w:szCs w:val="20"/>
        </w:rPr>
        <w:t>result in increased costs or may affect the timing or outcome of our Clinical Studies or Clinical Trials, which could prevent their completion or otherwise may negatively impact the quality, completeness and interpretability of data that we are able to col</w:t>
      </w:r>
      <w:r>
        <w:rPr>
          <w:rFonts w:ascii="Arial" w:eastAsia="Arial" w:hAnsi="Arial" w:cs="Arial"/>
          <w:sz w:val="20"/>
          <w:szCs w:val="20"/>
        </w:rPr>
        <w:t>lect and adversely affect our ability to advance the development of our product candidates.</w:t>
      </w:r>
    </w:p>
    <w:p w:rsidR="000728AD" w:rsidRDefault="000728AD">
      <w:pPr>
        <w:spacing w:line="191" w:lineRule="exact"/>
        <w:rPr>
          <w:sz w:val="20"/>
          <w:szCs w:val="20"/>
        </w:rPr>
      </w:pPr>
    </w:p>
    <w:p w:rsidR="000728AD" w:rsidRDefault="000561BE">
      <w:pPr>
        <w:spacing w:line="260" w:lineRule="auto"/>
        <w:ind w:right="280"/>
        <w:rPr>
          <w:sz w:val="20"/>
          <w:szCs w:val="20"/>
        </w:rPr>
      </w:pPr>
      <w:r>
        <w:rPr>
          <w:rFonts w:ascii="Arial" w:eastAsia="Arial" w:hAnsi="Arial" w:cs="Arial"/>
          <w:b/>
          <w:bCs/>
          <w:i/>
          <w:iCs/>
          <w:sz w:val="20"/>
          <w:szCs w:val="20"/>
        </w:rPr>
        <w:t>If we fail to comply with environmental, health and safety laws and regulations, we could become subject to fines or penalties or incur costs that could have a mat</w:t>
      </w:r>
      <w:r>
        <w:rPr>
          <w:rFonts w:ascii="Arial" w:eastAsia="Arial" w:hAnsi="Arial" w:cs="Arial"/>
          <w:b/>
          <w:bCs/>
          <w:i/>
          <w:iCs/>
          <w:sz w:val="20"/>
          <w:szCs w:val="20"/>
        </w:rPr>
        <w:t>erial adverse effect on the success of our business.</w:t>
      </w:r>
    </w:p>
    <w:p w:rsidR="000728AD" w:rsidRDefault="000728AD">
      <w:pPr>
        <w:spacing w:line="177" w:lineRule="exact"/>
        <w:rPr>
          <w:sz w:val="20"/>
          <w:szCs w:val="20"/>
        </w:rPr>
      </w:pPr>
    </w:p>
    <w:p w:rsidR="000728AD" w:rsidRDefault="000561BE">
      <w:pPr>
        <w:spacing w:line="246" w:lineRule="auto"/>
        <w:ind w:right="120"/>
        <w:rPr>
          <w:sz w:val="20"/>
          <w:szCs w:val="20"/>
        </w:rPr>
      </w:pPr>
      <w:r>
        <w:rPr>
          <w:rFonts w:ascii="Arial" w:eastAsia="Arial" w:hAnsi="Arial" w:cs="Arial"/>
          <w:sz w:val="20"/>
          <w:szCs w:val="20"/>
        </w:rPr>
        <w:t xml:space="preserve">We are subject to numerous environmental, health and safety laws and regulations, including those governing laboratory procedures and the handling, use, storage, treatment and disposal of </w:t>
      </w:r>
      <w:r>
        <w:rPr>
          <w:rFonts w:ascii="Arial" w:eastAsia="Arial" w:hAnsi="Arial" w:cs="Arial"/>
          <w:sz w:val="20"/>
          <w:szCs w:val="20"/>
        </w:rPr>
        <w:t>hazardous materials and wastes. Our research and development activities may involve the use of biological and hazardous materials and may produce hazardous waste products. We generally contract with third parties for the disposal of these materials and was</w:t>
      </w:r>
      <w:r>
        <w:rPr>
          <w:rFonts w:ascii="Arial" w:eastAsia="Arial" w:hAnsi="Arial" w:cs="Arial"/>
          <w:sz w:val="20"/>
          <w:szCs w:val="20"/>
        </w:rPr>
        <w:t>tes.</w:t>
      </w:r>
    </w:p>
    <w:p w:rsidR="000728AD" w:rsidRDefault="000728AD">
      <w:pPr>
        <w:spacing w:line="191" w:lineRule="exact"/>
        <w:rPr>
          <w:sz w:val="20"/>
          <w:szCs w:val="20"/>
        </w:rPr>
      </w:pPr>
    </w:p>
    <w:p w:rsidR="000728AD" w:rsidRDefault="000561BE">
      <w:pPr>
        <w:spacing w:line="270" w:lineRule="auto"/>
        <w:rPr>
          <w:sz w:val="20"/>
          <w:szCs w:val="20"/>
        </w:rPr>
      </w:pPr>
      <w:r>
        <w:rPr>
          <w:rFonts w:ascii="Arial" w:eastAsia="Arial" w:hAnsi="Arial" w:cs="Arial"/>
          <w:sz w:val="18"/>
          <w:szCs w:val="18"/>
        </w:rPr>
        <w:t>We cannot eliminate the risk of contamination or injury from these materials, which could cause an interruption of our commercialization efforts, research and development efforts and business operations, environmental damage resulting in costly clean</w:t>
      </w:r>
      <w:r>
        <w:rPr>
          <w:rFonts w:ascii="Arial" w:eastAsia="Arial" w:hAnsi="Arial" w:cs="Arial"/>
          <w:sz w:val="18"/>
          <w:szCs w:val="18"/>
        </w:rPr>
        <w:t>-up and liabilities under applicable laws and regulations governing the use, storage, handling and disposal of these materials and specified waste products. Although we believe that the safety procedures utilized by our third-party manufacturers for handli</w:t>
      </w:r>
      <w:r>
        <w:rPr>
          <w:rFonts w:ascii="Arial" w:eastAsia="Arial" w:hAnsi="Arial" w:cs="Arial"/>
          <w:sz w:val="18"/>
          <w:szCs w:val="18"/>
        </w:rPr>
        <w:t xml:space="preserve">ng and disposing of these materials generally comply with the standards prescribed by these laws and regulations, we cannot guarantee that this is the case or eliminate the risk of accidental contamination or injury from these materials. In such an event, </w:t>
      </w:r>
      <w:r>
        <w:rPr>
          <w:rFonts w:ascii="Arial" w:eastAsia="Arial" w:hAnsi="Arial" w:cs="Arial"/>
          <w:sz w:val="18"/>
          <w:szCs w:val="18"/>
        </w:rPr>
        <w:t>we may be held liable for any resulting damages and such liability could exceed our resources and state or federal or other applicable authorities may curtail our use of certain materials or interrupt our business operations. Furthermore, environmental law</w:t>
      </w:r>
      <w:r>
        <w:rPr>
          <w:rFonts w:ascii="Arial" w:eastAsia="Arial" w:hAnsi="Arial" w:cs="Arial"/>
          <w:sz w:val="18"/>
          <w:szCs w:val="18"/>
        </w:rPr>
        <w:t>s and regulations are complex, change frequently and have tended to become more stringent. We cannot predict the impact of such changes and cannot be certain of our future compliance. In addition, we may incur substantial costs in order to comply with curr</w:t>
      </w:r>
      <w:r>
        <w:rPr>
          <w:rFonts w:ascii="Arial" w:eastAsia="Arial" w:hAnsi="Arial" w:cs="Arial"/>
          <w:sz w:val="18"/>
          <w:szCs w:val="18"/>
        </w:rPr>
        <w:t>ent or future environmental, health and safety laws and regulations. These current or future laws and regulations may negatively impact our research, development or production efforts. Failure to comply with these laws and regulations also may result in su</w:t>
      </w:r>
      <w:r>
        <w:rPr>
          <w:rFonts w:ascii="Arial" w:eastAsia="Arial" w:hAnsi="Arial" w:cs="Arial"/>
          <w:sz w:val="18"/>
          <w:szCs w:val="18"/>
        </w:rPr>
        <w:t>bstantial fines, penalties or other sanctions.</w:t>
      </w:r>
    </w:p>
    <w:p w:rsidR="000728AD" w:rsidRDefault="000728AD">
      <w:pPr>
        <w:spacing w:line="176" w:lineRule="exact"/>
        <w:rPr>
          <w:sz w:val="20"/>
          <w:szCs w:val="20"/>
        </w:rPr>
      </w:pPr>
    </w:p>
    <w:p w:rsidR="000728AD" w:rsidRDefault="000561BE">
      <w:pPr>
        <w:spacing w:line="244" w:lineRule="auto"/>
        <w:ind w:right="280"/>
        <w:rPr>
          <w:sz w:val="20"/>
          <w:szCs w:val="20"/>
        </w:rPr>
      </w:pPr>
      <w:r>
        <w:rPr>
          <w:rFonts w:ascii="Arial" w:eastAsia="Arial" w:hAnsi="Arial" w:cs="Arial"/>
          <w:sz w:val="20"/>
          <w:szCs w:val="20"/>
        </w:rPr>
        <w:t>Although we maintain workers' compensation insurance to cover us for costs and expenses we may incur due to injuries to our employees resulting from the use of biological waste or hazardous materials or other</w:t>
      </w:r>
      <w:r>
        <w:rPr>
          <w:rFonts w:ascii="Arial" w:eastAsia="Arial" w:hAnsi="Arial" w:cs="Arial"/>
          <w:sz w:val="20"/>
          <w:szCs w:val="20"/>
        </w:rPr>
        <w:t xml:space="preserve"> work-related injuries, this insurance may not provide adequate coverage against potential liabilities. We do not carry specific biological waste or hazardous waste insurance coverage, workers compensation or property and casualty and general liability ins</w:t>
      </w:r>
      <w:r>
        <w:rPr>
          <w:rFonts w:ascii="Arial" w:eastAsia="Arial" w:hAnsi="Arial" w:cs="Arial"/>
          <w:sz w:val="20"/>
          <w:szCs w:val="20"/>
        </w:rPr>
        <w:t>urance policies that include coverage for damages and fines arising from biological or hazardous waste exposure or contamination.</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91" w:lineRule="exact"/>
        <w:rPr>
          <w:sz w:val="20"/>
          <w:szCs w:val="20"/>
        </w:rPr>
      </w:pPr>
    </w:p>
    <w:p w:rsidR="000728AD" w:rsidRDefault="000561BE">
      <w:pPr>
        <w:ind w:right="-39"/>
        <w:jc w:val="center"/>
        <w:rPr>
          <w:sz w:val="20"/>
          <w:szCs w:val="20"/>
        </w:rPr>
      </w:pPr>
      <w:r>
        <w:rPr>
          <w:rFonts w:ascii="Arial" w:eastAsia="Arial" w:hAnsi="Arial" w:cs="Arial"/>
          <w:sz w:val="18"/>
          <w:szCs w:val="18"/>
        </w:rPr>
        <w:t>46</w:t>
      </w:r>
    </w:p>
    <w:p w:rsidR="000728AD" w:rsidRDefault="000561BE">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79" w:bottom="1440" w:left="320" w:header="0" w:footer="0" w:gutter="0"/>
          <w:cols w:space="720" w:equalWidth="0">
            <w:col w:w="11200"/>
          </w:cols>
        </w:sectPr>
      </w:pPr>
    </w:p>
    <w:bookmarkStart w:id="47" w:name="page47"/>
    <w:bookmarkEnd w:id="47"/>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60" w:lineRule="auto"/>
        <w:ind w:right="1020"/>
        <w:rPr>
          <w:sz w:val="20"/>
          <w:szCs w:val="20"/>
        </w:rPr>
      </w:pPr>
      <w:r>
        <w:rPr>
          <w:rFonts w:ascii="Arial" w:eastAsia="Arial" w:hAnsi="Arial" w:cs="Arial"/>
          <w:b/>
          <w:bCs/>
          <w:i/>
          <w:iCs/>
          <w:sz w:val="20"/>
          <w:szCs w:val="20"/>
        </w:rPr>
        <w:t xml:space="preserve">If product liability claims or lawsuits are </w:t>
      </w:r>
      <w:r>
        <w:rPr>
          <w:rFonts w:ascii="Arial" w:eastAsia="Arial" w:hAnsi="Arial" w:cs="Arial"/>
          <w:b/>
          <w:bCs/>
          <w:i/>
          <w:iCs/>
          <w:sz w:val="20"/>
          <w:szCs w:val="20"/>
        </w:rPr>
        <w:t>brought against us, we may incur substantial liabilities and may be required to limit commercialization of our product candidates.</w:t>
      </w:r>
    </w:p>
    <w:p w:rsidR="000728AD" w:rsidRDefault="000728AD">
      <w:pPr>
        <w:spacing w:line="177" w:lineRule="exact"/>
        <w:rPr>
          <w:sz w:val="20"/>
          <w:szCs w:val="20"/>
        </w:rPr>
      </w:pPr>
    </w:p>
    <w:p w:rsidR="000728AD" w:rsidRDefault="000561BE">
      <w:pPr>
        <w:spacing w:line="270" w:lineRule="auto"/>
        <w:ind w:right="20"/>
        <w:rPr>
          <w:sz w:val="20"/>
          <w:szCs w:val="20"/>
        </w:rPr>
      </w:pPr>
      <w:r>
        <w:rPr>
          <w:rFonts w:ascii="Arial" w:eastAsia="Arial" w:hAnsi="Arial" w:cs="Arial"/>
          <w:sz w:val="18"/>
          <w:szCs w:val="18"/>
        </w:rPr>
        <w:t>We face an inherent risk of product liability as a result of testing our product candidates in Clinical Studies and Clinical</w:t>
      </w:r>
      <w:r>
        <w:rPr>
          <w:rFonts w:ascii="Arial" w:eastAsia="Arial" w:hAnsi="Arial" w:cs="Arial"/>
          <w:sz w:val="18"/>
          <w:szCs w:val="18"/>
        </w:rPr>
        <w:t xml:space="preserve"> Trials and will face an even greater risk if we commercialize any products. For example, we may be sued, or claims may be made against us, if our informed consents for subjects or patients in any Clinical Studies or Clinical Trials are or are alleged to b</w:t>
      </w:r>
      <w:r>
        <w:rPr>
          <w:rFonts w:ascii="Arial" w:eastAsia="Arial" w:hAnsi="Arial" w:cs="Arial"/>
          <w:sz w:val="18"/>
          <w:szCs w:val="18"/>
        </w:rPr>
        <w:t>e inadequate or inaccurate in any way or fail to fully inform subjects or patients of any potential risks involved with their participation or other material or required information. We may also be sued, or claims may be made against us, if our product can</w:t>
      </w:r>
      <w:r>
        <w:rPr>
          <w:rFonts w:ascii="Arial" w:eastAsia="Arial" w:hAnsi="Arial" w:cs="Arial"/>
          <w:sz w:val="18"/>
          <w:szCs w:val="18"/>
        </w:rPr>
        <w:t>didates cause or are perceived to cause injury or are found to be otherwise unsuitable during Clinical Studies, Clinical Trials, manufacturing, marketing or after sale. Any such product liability claims may include, without limitation, allegations of defec</w:t>
      </w:r>
      <w:r>
        <w:rPr>
          <w:rFonts w:ascii="Arial" w:eastAsia="Arial" w:hAnsi="Arial" w:cs="Arial"/>
          <w:sz w:val="18"/>
          <w:szCs w:val="18"/>
        </w:rPr>
        <w:t>ts in manufacturing, defects in design, a failure to warn of dangers inherent in the product, negligence, strict liability, marketing or promotional claims or a breach of warranties. Claims could also be asserted under state consumer protection or other st</w:t>
      </w:r>
      <w:r>
        <w:rPr>
          <w:rFonts w:ascii="Arial" w:eastAsia="Arial" w:hAnsi="Arial" w:cs="Arial"/>
          <w:sz w:val="18"/>
          <w:szCs w:val="18"/>
        </w:rPr>
        <w:t>atutes or regulations. If we cannot successfully defend ourselves against product liability claims or any other claims related to our products, we may incur substantial liabilities or be required to limit commercialization of our product candidates. Even s</w:t>
      </w:r>
      <w:r>
        <w:rPr>
          <w:rFonts w:ascii="Arial" w:eastAsia="Arial" w:hAnsi="Arial" w:cs="Arial"/>
          <w:sz w:val="18"/>
          <w:szCs w:val="18"/>
        </w:rPr>
        <w:t>uccessful defense would require significant financial and management resources. Regardless of the merits or eventual outcome, liability claims could have a material adverse effect on our business and operations, and may result in, among other things:</w:t>
      </w:r>
    </w:p>
    <w:p w:rsidR="000728AD" w:rsidRDefault="000728AD">
      <w:pPr>
        <w:spacing w:line="200" w:lineRule="exact"/>
        <w:rPr>
          <w:sz w:val="20"/>
          <w:szCs w:val="20"/>
        </w:rPr>
      </w:pPr>
    </w:p>
    <w:p w:rsidR="000728AD" w:rsidRDefault="000561BE">
      <w:pPr>
        <w:numPr>
          <w:ilvl w:val="0"/>
          <w:numId w:val="18"/>
        </w:numPr>
        <w:tabs>
          <w:tab w:val="left" w:pos="660"/>
        </w:tabs>
        <w:ind w:left="660" w:hanging="328"/>
        <w:rPr>
          <w:rFonts w:ascii="Arial" w:eastAsia="Arial" w:hAnsi="Arial" w:cs="Arial"/>
        </w:rPr>
      </w:pPr>
      <w:r>
        <w:rPr>
          <w:rFonts w:ascii="Arial" w:eastAsia="Arial" w:hAnsi="Arial" w:cs="Arial"/>
          <w:sz w:val="20"/>
          <w:szCs w:val="20"/>
        </w:rPr>
        <w:t>inability to bring a product candidate to the market;</w:t>
      </w:r>
    </w:p>
    <w:p w:rsidR="000728AD" w:rsidRDefault="000728AD">
      <w:pPr>
        <w:spacing w:line="165" w:lineRule="exact"/>
        <w:rPr>
          <w:rFonts w:ascii="Arial" w:eastAsia="Arial" w:hAnsi="Arial" w:cs="Arial"/>
        </w:rPr>
      </w:pPr>
    </w:p>
    <w:p w:rsidR="000728AD" w:rsidRDefault="000561BE">
      <w:pPr>
        <w:numPr>
          <w:ilvl w:val="0"/>
          <w:numId w:val="18"/>
        </w:numPr>
        <w:tabs>
          <w:tab w:val="left" w:pos="660"/>
        </w:tabs>
        <w:ind w:left="660" w:hanging="328"/>
        <w:rPr>
          <w:rFonts w:ascii="Arial" w:eastAsia="Arial" w:hAnsi="Arial" w:cs="Arial"/>
        </w:rPr>
      </w:pPr>
      <w:r>
        <w:rPr>
          <w:rFonts w:ascii="Arial" w:eastAsia="Arial" w:hAnsi="Arial" w:cs="Arial"/>
          <w:sz w:val="20"/>
          <w:szCs w:val="20"/>
        </w:rPr>
        <w:t>decreased demand for and decline in the price charged for our products;</w:t>
      </w:r>
    </w:p>
    <w:p w:rsidR="000728AD" w:rsidRDefault="000728AD">
      <w:pPr>
        <w:spacing w:line="165" w:lineRule="exact"/>
        <w:rPr>
          <w:rFonts w:ascii="Arial" w:eastAsia="Arial" w:hAnsi="Arial" w:cs="Arial"/>
        </w:rPr>
      </w:pPr>
    </w:p>
    <w:p w:rsidR="000728AD" w:rsidRDefault="000561BE">
      <w:pPr>
        <w:numPr>
          <w:ilvl w:val="0"/>
          <w:numId w:val="18"/>
        </w:numPr>
        <w:tabs>
          <w:tab w:val="left" w:pos="660"/>
        </w:tabs>
        <w:ind w:left="660" w:hanging="328"/>
        <w:rPr>
          <w:rFonts w:ascii="Arial" w:eastAsia="Arial" w:hAnsi="Arial" w:cs="Arial"/>
        </w:rPr>
      </w:pPr>
      <w:r>
        <w:rPr>
          <w:rFonts w:ascii="Arial" w:eastAsia="Arial" w:hAnsi="Arial" w:cs="Arial"/>
          <w:sz w:val="20"/>
          <w:szCs w:val="20"/>
        </w:rPr>
        <w:t>damage to our reputation;</w:t>
      </w:r>
    </w:p>
    <w:p w:rsidR="000728AD" w:rsidRDefault="000728AD">
      <w:pPr>
        <w:spacing w:line="168" w:lineRule="exact"/>
        <w:rPr>
          <w:rFonts w:ascii="Arial" w:eastAsia="Arial" w:hAnsi="Arial" w:cs="Arial"/>
        </w:rPr>
      </w:pPr>
    </w:p>
    <w:p w:rsidR="000728AD" w:rsidRDefault="000561BE">
      <w:pPr>
        <w:numPr>
          <w:ilvl w:val="0"/>
          <w:numId w:val="18"/>
        </w:numPr>
        <w:tabs>
          <w:tab w:val="left" w:pos="655"/>
        </w:tabs>
        <w:spacing w:line="238" w:lineRule="auto"/>
        <w:ind w:left="660" w:right="580" w:hanging="328"/>
        <w:rPr>
          <w:rFonts w:ascii="Arial" w:eastAsia="Arial" w:hAnsi="Arial" w:cs="Arial"/>
        </w:rPr>
      </w:pPr>
      <w:r>
        <w:rPr>
          <w:rFonts w:ascii="Arial" w:eastAsia="Arial" w:hAnsi="Arial" w:cs="Arial"/>
          <w:sz w:val="20"/>
          <w:szCs w:val="20"/>
        </w:rPr>
        <w:t>withdrawal of Clinical Study or Clinical Trial subjects or patients and inability to enroll future su</w:t>
      </w:r>
      <w:r>
        <w:rPr>
          <w:rFonts w:ascii="Arial" w:eastAsia="Arial" w:hAnsi="Arial" w:cs="Arial"/>
          <w:sz w:val="20"/>
          <w:szCs w:val="20"/>
        </w:rPr>
        <w:t>bjects or patients or continue Clinical Studies or Clinical Trials;</w:t>
      </w:r>
    </w:p>
    <w:p w:rsidR="000728AD" w:rsidRDefault="000728AD">
      <w:pPr>
        <w:spacing w:line="166" w:lineRule="exact"/>
        <w:rPr>
          <w:rFonts w:ascii="Arial" w:eastAsia="Arial" w:hAnsi="Arial" w:cs="Arial"/>
        </w:rPr>
      </w:pPr>
    </w:p>
    <w:p w:rsidR="000728AD" w:rsidRDefault="000561BE">
      <w:pPr>
        <w:numPr>
          <w:ilvl w:val="0"/>
          <w:numId w:val="18"/>
        </w:numPr>
        <w:tabs>
          <w:tab w:val="left" w:pos="660"/>
        </w:tabs>
        <w:ind w:left="660" w:hanging="328"/>
        <w:rPr>
          <w:rFonts w:ascii="Arial" w:eastAsia="Arial" w:hAnsi="Arial" w:cs="Arial"/>
        </w:rPr>
      </w:pPr>
      <w:r>
        <w:rPr>
          <w:rFonts w:ascii="Arial" w:eastAsia="Arial" w:hAnsi="Arial" w:cs="Arial"/>
          <w:sz w:val="20"/>
          <w:szCs w:val="20"/>
        </w:rPr>
        <w:t>initiation of investigations by regulatory authorities or other regulatory action;</w:t>
      </w:r>
    </w:p>
    <w:p w:rsidR="000728AD" w:rsidRDefault="000728AD">
      <w:pPr>
        <w:spacing w:line="165" w:lineRule="exact"/>
        <w:rPr>
          <w:rFonts w:ascii="Arial" w:eastAsia="Arial" w:hAnsi="Arial" w:cs="Arial"/>
        </w:rPr>
      </w:pPr>
    </w:p>
    <w:p w:rsidR="000728AD" w:rsidRDefault="000561BE">
      <w:pPr>
        <w:numPr>
          <w:ilvl w:val="0"/>
          <w:numId w:val="18"/>
        </w:numPr>
        <w:tabs>
          <w:tab w:val="left" w:pos="660"/>
        </w:tabs>
        <w:ind w:left="660" w:hanging="328"/>
        <w:rPr>
          <w:rFonts w:ascii="Arial" w:eastAsia="Arial" w:hAnsi="Arial" w:cs="Arial"/>
        </w:rPr>
      </w:pPr>
      <w:r>
        <w:rPr>
          <w:rFonts w:ascii="Arial" w:eastAsia="Arial" w:hAnsi="Arial" w:cs="Arial"/>
          <w:sz w:val="20"/>
          <w:szCs w:val="20"/>
        </w:rPr>
        <w:t>costs to defend the related litigation;</w:t>
      </w:r>
    </w:p>
    <w:p w:rsidR="000728AD" w:rsidRDefault="000728AD">
      <w:pPr>
        <w:spacing w:line="165" w:lineRule="exact"/>
        <w:rPr>
          <w:rFonts w:ascii="Arial" w:eastAsia="Arial" w:hAnsi="Arial" w:cs="Arial"/>
        </w:rPr>
      </w:pPr>
    </w:p>
    <w:p w:rsidR="000728AD" w:rsidRDefault="000561BE">
      <w:pPr>
        <w:numPr>
          <w:ilvl w:val="0"/>
          <w:numId w:val="18"/>
        </w:numPr>
        <w:tabs>
          <w:tab w:val="left" w:pos="660"/>
        </w:tabs>
        <w:ind w:left="660" w:hanging="328"/>
        <w:rPr>
          <w:rFonts w:ascii="Arial" w:eastAsia="Arial" w:hAnsi="Arial" w:cs="Arial"/>
        </w:rPr>
      </w:pPr>
      <w:r>
        <w:rPr>
          <w:rFonts w:ascii="Arial" w:eastAsia="Arial" w:hAnsi="Arial" w:cs="Arial"/>
          <w:sz w:val="20"/>
          <w:szCs w:val="20"/>
        </w:rPr>
        <w:t>diversion of management's time and our resources;</w:t>
      </w:r>
    </w:p>
    <w:p w:rsidR="000728AD" w:rsidRDefault="000728AD">
      <w:pPr>
        <w:spacing w:line="165" w:lineRule="exact"/>
        <w:rPr>
          <w:rFonts w:ascii="Arial" w:eastAsia="Arial" w:hAnsi="Arial" w:cs="Arial"/>
        </w:rPr>
      </w:pPr>
    </w:p>
    <w:p w:rsidR="000728AD" w:rsidRDefault="000561BE">
      <w:pPr>
        <w:numPr>
          <w:ilvl w:val="0"/>
          <w:numId w:val="18"/>
        </w:numPr>
        <w:tabs>
          <w:tab w:val="left" w:pos="660"/>
        </w:tabs>
        <w:ind w:left="660" w:hanging="328"/>
        <w:rPr>
          <w:rFonts w:ascii="Arial" w:eastAsia="Arial" w:hAnsi="Arial" w:cs="Arial"/>
        </w:rPr>
      </w:pPr>
      <w:r>
        <w:rPr>
          <w:rFonts w:ascii="Arial" w:eastAsia="Arial" w:hAnsi="Arial" w:cs="Arial"/>
          <w:sz w:val="20"/>
          <w:szCs w:val="20"/>
        </w:rPr>
        <w:t>substantial</w:t>
      </w:r>
      <w:r>
        <w:rPr>
          <w:rFonts w:ascii="Arial" w:eastAsia="Arial" w:hAnsi="Arial" w:cs="Arial"/>
          <w:sz w:val="20"/>
          <w:szCs w:val="20"/>
        </w:rPr>
        <w:t xml:space="preserve"> monetary awards to subjects or patients;</w:t>
      </w:r>
    </w:p>
    <w:p w:rsidR="000728AD" w:rsidRDefault="000728AD">
      <w:pPr>
        <w:spacing w:line="165" w:lineRule="exact"/>
        <w:rPr>
          <w:rFonts w:ascii="Arial" w:eastAsia="Arial" w:hAnsi="Arial" w:cs="Arial"/>
        </w:rPr>
      </w:pPr>
    </w:p>
    <w:p w:rsidR="000728AD" w:rsidRDefault="000561BE">
      <w:pPr>
        <w:numPr>
          <w:ilvl w:val="0"/>
          <w:numId w:val="18"/>
        </w:numPr>
        <w:tabs>
          <w:tab w:val="left" w:pos="660"/>
        </w:tabs>
        <w:ind w:left="660" w:hanging="328"/>
        <w:rPr>
          <w:rFonts w:ascii="Arial" w:eastAsia="Arial" w:hAnsi="Arial" w:cs="Arial"/>
        </w:rPr>
      </w:pPr>
      <w:r>
        <w:rPr>
          <w:rFonts w:ascii="Arial" w:eastAsia="Arial" w:hAnsi="Arial" w:cs="Arial"/>
          <w:sz w:val="20"/>
          <w:szCs w:val="20"/>
        </w:rPr>
        <w:t>product recalls, withdrawals or labeling, packaging, marketing or promotional modifications or restrictions;</w:t>
      </w:r>
    </w:p>
    <w:p w:rsidR="000728AD" w:rsidRDefault="000728AD">
      <w:pPr>
        <w:spacing w:line="165" w:lineRule="exact"/>
        <w:rPr>
          <w:rFonts w:ascii="Arial" w:eastAsia="Arial" w:hAnsi="Arial" w:cs="Arial"/>
        </w:rPr>
      </w:pPr>
    </w:p>
    <w:p w:rsidR="000728AD" w:rsidRDefault="000561BE">
      <w:pPr>
        <w:numPr>
          <w:ilvl w:val="0"/>
          <w:numId w:val="18"/>
        </w:numPr>
        <w:tabs>
          <w:tab w:val="left" w:pos="660"/>
        </w:tabs>
        <w:ind w:left="660" w:hanging="328"/>
        <w:rPr>
          <w:rFonts w:ascii="Arial" w:eastAsia="Arial" w:hAnsi="Arial" w:cs="Arial"/>
        </w:rPr>
      </w:pPr>
      <w:r>
        <w:rPr>
          <w:rFonts w:ascii="Arial" w:eastAsia="Arial" w:hAnsi="Arial" w:cs="Arial"/>
          <w:sz w:val="20"/>
          <w:szCs w:val="20"/>
        </w:rPr>
        <w:t>loss of revenue;</w:t>
      </w:r>
    </w:p>
    <w:p w:rsidR="000728AD" w:rsidRDefault="000728AD">
      <w:pPr>
        <w:spacing w:line="165" w:lineRule="exact"/>
        <w:rPr>
          <w:rFonts w:ascii="Arial" w:eastAsia="Arial" w:hAnsi="Arial" w:cs="Arial"/>
        </w:rPr>
      </w:pPr>
    </w:p>
    <w:p w:rsidR="000728AD" w:rsidRDefault="000561BE">
      <w:pPr>
        <w:numPr>
          <w:ilvl w:val="0"/>
          <w:numId w:val="18"/>
        </w:numPr>
        <w:tabs>
          <w:tab w:val="left" w:pos="660"/>
        </w:tabs>
        <w:ind w:left="660" w:hanging="328"/>
        <w:rPr>
          <w:rFonts w:ascii="Arial" w:eastAsia="Arial" w:hAnsi="Arial" w:cs="Arial"/>
        </w:rPr>
      </w:pPr>
      <w:r>
        <w:rPr>
          <w:rFonts w:ascii="Arial" w:eastAsia="Arial" w:hAnsi="Arial" w:cs="Arial"/>
          <w:sz w:val="20"/>
          <w:szCs w:val="20"/>
        </w:rPr>
        <w:t>exhaustion of any available insurance and our capital resources;</w:t>
      </w:r>
    </w:p>
    <w:p w:rsidR="000728AD" w:rsidRDefault="000728AD">
      <w:pPr>
        <w:spacing w:line="165" w:lineRule="exact"/>
        <w:rPr>
          <w:rFonts w:ascii="Arial" w:eastAsia="Arial" w:hAnsi="Arial" w:cs="Arial"/>
        </w:rPr>
      </w:pPr>
    </w:p>
    <w:p w:rsidR="000728AD" w:rsidRDefault="000561BE">
      <w:pPr>
        <w:numPr>
          <w:ilvl w:val="0"/>
          <w:numId w:val="18"/>
        </w:numPr>
        <w:tabs>
          <w:tab w:val="left" w:pos="660"/>
        </w:tabs>
        <w:ind w:left="660" w:hanging="328"/>
        <w:rPr>
          <w:rFonts w:ascii="Arial" w:eastAsia="Arial" w:hAnsi="Arial" w:cs="Arial"/>
        </w:rPr>
      </w:pPr>
      <w:r>
        <w:rPr>
          <w:rFonts w:ascii="Arial" w:eastAsia="Arial" w:hAnsi="Arial" w:cs="Arial"/>
          <w:sz w:val="20"/>
          <w:szCs w:val="20"/>
        </w:rPr>
        <w:t xml:space="preserve">the </w:t>
      </w:r>
      <w:r>
        <w:rPr>
          <w:rFonts w:ascii="Arial" w:eastAsia="Arial" w:hAnsi="Arial" w:cs="Arial"/>
          <w:sz w:val="20"/>
          <w:szCs w:val="20"/>
        </w:rPr>
        <w:t>inability to commercialize any product candidates via any regulatory pathway; and</w:t>
      </w:r>
    </w:p>
    <w:p w:rsidR="000728AD" w:rsidRDefault="000728AD">
      <w:pPr>
        <w:spacing w:line="165" w:lineRule="exact"/>
        <w:rPr>
          <w:rFonts w:ascii="Arial" w:eastAsia="Arial" w:hAnsi="Arial" w:cs="Arial"/>
        </w:rPr>
      </w:pPr>
    </w:p>
    <w:p w:rsidR="000728AD" w:rsidRDefault="000561BE">
      <w:pPr>
        <w:numPr>
          <w:ilvl w:val="0"/>
          <w:numId w:val="18"/>
        </w:numPr>
        <w:tabs>
          <w:tab w:val="left" w:pos="660"/>
        </w:tabs>
        <w:ind w:left="660" w:hanging="328"/>
        <w:rPr>
          <w:rFonts w:ascii="Arial" w:eastAsia="Arial" w:hAnsi="Arial" w:cs="Arial"/>
        </w:rPr>
      </w:pPr>
      <w:r>
        <w:rPr>
          <w:rFonts w:ascii="Arial" w:eastAsia="Arial" w:hAnsi="Arial" w:cs="Arial"/>
          <w:sz w:val="20"/>
          <w:szCs w:val="20"/>
        </w:rPr>
        <w:t>decline in our share price.</w:t>
      </w:r>
    </w:p>
    <w:p w:rsidR="000728AD" w:rsidRDefault="000728AD">
      <w:pPr>
        <w:spacing w:line="195" w:lineRule="exact"/>
        <w:rPr>
          <w:sz w:val="20"/>
          <w:szCs w:val="20"/>
        </w:rPr>
      </w:pPr>
    </w:p>
    <w:p w:rsidR="000728AD" w:rsidRDefault="000561BE">
      <w:pPr>
        <w:spacing w:line="246" w:lineRule="auto"/>
        <w:rPr>
          <w:sz w:val="20"/>
          <w:szCs w:val="20"/>
        </w:rPr>
      </w:pPr>
      <w:r>
        <w:rPr>
          <w:rFonts w:ascii="Arial" w:eastAsia="Arial" w:hAnsi="Arial" w:cs="Arial"/>
          <w:sz w:val="20"/>
          <w:szCs w:val="20"/>
        </w:rPr>
        <w:t>We maintain clinical trial insurance. We review our clinical trial insurance policy annually and we believe that our coverage is currently adequ</w:t>
      </w:r>
      <w:r>
        <w:rPr>
          <w:rFonts w:ascii="Arial" w:eastAsia="Arial" w:hAnsi="Arial" w:cs="Arial"/>
          <w:sz w:val="20"/>
          <w:szCs w:val="20"/>
        </w:rPr>
        <w:t xml:space="preserve">ate to cover any claims that may arise in connection with our Clinical Studies or Clinical Trials. There is no guarantee that we will be able to obtain additional clinical trial insurance at an acceptable cost in the future, which could prevent or inhibit </w:t>
      </w:r>
      <w:r>
        <w:rPr>
          <w:rFonts w:ascii="Arial" w:eastAsia="Arial" w:hAnsi="Arial" w:cs="Arial"/>
          <w:sz w:val="20"/>
          <w:szCs w:val="20"/>
        </w:rPr>
        <w:t>the ongoing development of our products.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8" w:lineRule="exact"/>
        <w:rPr>
          <w:sz w:val="20"/>
          <w:szCs w:val="20"/>
        </w:rPr>
      </w:pPr>
    </w:p>
    <w:p w:rsidR="000728AD" w:rsidRDefault="000561BE">
      <w:pPr>
        <w:ind w:right="-39"/>
        <w:jc w:val="center"/>
        <w:rPr>
          <w:sz w:val="20"/>
          <w:szCs w:val="20"/>
        </w:rPr>
      </w:pPr>
      <w:r>
        <w:rPr>
          <w:rFonts w:ascii="Arial" w:eastAsia="Arial" w:hAnsi="Arial" w:cs="Arial"/>
          <w:sz w:val="18"/>
          <w:szCs w:val="18"/>
        </w:rPr>
        <w:t>47</w:t>
      </w:r>
    </w:p>
    <w:p w:rsidR="000728AD" w:rsidRDefault="000561BE">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79" w:bottom="1440" w:left="320" w:header="0" w:footer="0" w:gutter="0"/>
          <w:cols w:space="720" w:equalWidth="0">
            <w:col w:w="11200"/>
          </w:cols>
        </w:sectPr>
      </w:pPr>
    </w:p>
    <w:bookmarkStart w:id="48" w:name="page48"/>
    <w:bookmarkEnd w:id="48"/>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57" w:lineRule="auto"/>
        <w:ind w:right="40"/>
        <w:rPr>
          <w:sz w:val="20"/>
          <w:szCs w:val="20"/>
        </w:rPr>
      </w:pPr>
      <w:r>
        <w:rPr>
          <w:rFonts w:ascii="Arial" w:eastAsia="Arial" w:hAnsi="Arial" w:cs="Arial"/>
          <w:sz w:val="19"/>
          <w:szCs w:val="19"/>
        </w:rPr>
        <w:t xml:space="preserve">Since we have not yet commenced marketing of any products, we do not yet hold product liability insurance for </w:t>
      </w:r>
      <w:r>
        <w:rPr>
          <w:rFonts w:ascii="Arial" w:eastAsia="Arial" w:hAnsi="Arial" w:cs="Arial"/>
          <w:sz w:val="19"/>
          <w:szCs w:val="19"/>
        </w:rPr>
        <w:t>commercialization of our products. Our inability to obtain sufficient product liability insurance at an acceptable cost to protect against potential product liability claims could prevent or inhibit the commercialization of products we develop, alone or wi</w:t>
      </w:r>
      <w:r>
        <w:rPr>
          <w:rFonts w:ascii="Arial" w:eastAsia="Arial" w:hAnsi="Arial" w:cs="Arial"/>
          <w:sz w:val="19"/>
          <w:szCs w:val="19"/>
        </w:rPr>
        <w:t>th collaborators. If and when coverage is secured, our insurance policies may also have various exclusions, and we may be subject to a product liability claim for which we have no or inadequate coverage. We may have to pay any amounts awarded by a court or</w:t>
      </w:r>
      <w:r>
        <w:rPr>
          <w:rFonts w:ascii="Arial" w:eastAsia="Arial" w:hAnsi="Arial" w:cs="Arial"/>
          <w:sz w:val="19"/>
          <w:szCs w:val="19"/>
        </w:rPr>
        <w:t xml:space="preserve"> negotiated in a settlement that exceed our coverage limitations or that are not covered by our insurance, and we may not have, or be able to obtain, sufficient capital to pay such amounts. Even if our agreements with any future corporate collaborators ent</w:t>
      </w:r>
      <w:r>
        <w:rPr>
          <w:rFonts w:ascii="Arial" w:eastAsia="Arial" w:hAnsi="Arial" w:cs="Arial"/>
          <w:sz w:val="19"/>
          <w:szCs w:val="19"/>
        </w:rPr>
        <w:t>itle us to indemnification against losses, such indemnification may not be available or adequate should any claim arise.</w:t>
      </w:r>
    </w:p>
    <w:p w:rsidR="000728AD" w:rsidRDefault="000728AD">
      <w:pPr>
        <w:spacing w:line="180" w:lineRule="exact"/>
        <w:rPr>
          <w:sz w:val="20"/>
          <w:szCs w:val="20"/>
        </w:rPr>
      </w:pPr>
    </w:p>
    <w:p w:rsidR="000728AD" w:rsidRDefault="000561BE">
      <w:pPr>
        <w:spacing w:line="260" w:lineRule="auto"/>
        <w:ind w:right="520"/>
        <w:rPr>
          <w:sz w:val="20"/>
          <w:szCs w:val="20"/>
        </w:rPr>
      </w:pPr>
      <w:r>
        <w:rPr>
          <w:rFonts w:ascii="Arial" w:eastAsia="Arial" w:hAnsi="Arial" w:cs="Arial"/>
          <w:b/>
          <w:bCs/>
          <w:i/>
          <w:iCs/>
          <w:sz w:val="20"/>
          <w:szCs w:val="20"/>
        </w:rPr>
        <w:t>The market opportunities for our product candidates may be limited and our estimates of the incidence and prevalence of our target pop</w:t>
      </w:r>
      <w:r>
        <w:rPr>
          <w:rFonts w:ascii="Arial" w:eastAsia="Arial" w:hAnsi="Arial" w:cs="Arial"/>
          <w:b/>
          <w:bCs/>
          <w:i/>
          <w:iCs/>
          <w:sz w:val="20"/>
          <w:szCs w:val="20"/>
        </w:rPr>
        <w:t>ulations may be inaccurate.</w:t>
      </w:r>
    </w:p>
    <w:p w:rsidR="000728AD" w:rsidRDefault="000728AD">
      <w:pPr>
        <w:spacing w:line="177" w:lineRule="exact"/>
        <w:rPr>
          <w:sz w:val="20"/>
          <w:szCs w:val="20"/>
        </w:rPr>
      </w:pPr>
    </w:p>
    <w:p w:rsidR="000728AD" w:rsidRDefault="000561BE">
      <w:pPr>
        <w:spacing w:line="271" w:lineRule="auto"/>
        <w:ind w:right="40"/>
        <w:rPr>
          <w:sz w:val="20"/>
          <w:szCs w:val="20"/>
        </w:rPr>
      </w:pPr>
      <w:r>
        <w:rPr>
          <w:rFonts w:ascii="Arial" w:eastAsia="Arial" w:hAnsi="Arial" w:cs="Arial"/>
          <w:sz w:val="18"/>
          <w:szCs w:val="18"/>
        </w:rPr>
        <w:t xml:space="preserve">Our projections of both the non-drug and drug market sizes we may target, and the incidence and prevalence of our target populations are based on our beliefs and estimates. These estimates have been derived from a </w:t>
      </w:r>
      <w:r>
        <w:rPr>
          <w:rFonts w:ascii="Arial" w:eastAsia="Arial" w:hAnsi="Arial" w:cs="Arial"/>
          <w:sz w:val="18"/>
          <w:szCs w:val="18"/>
        </w:rPr>
        <w:t xml:space="preserve">variety of sources, including scientific literature, input from key opinion leaders, patient foundations or secondary market research databases, and other sources and may prove to be incorrect. Further, new studies may change the estimated market sizes or </w:t>
      </w:r>
      <w:r>
        <w:rPr>
          <w:rFonts w:ascii="Arial" w:eastAsia="Arial" w:hAnsi="Arial" w:cs="Arial"/>
          <w:sz w:val="18"/>
          <w:szCs w:val="18"/>
        </w:rPr>
        <w:t>the incidence or prevalence of target diseases we may target with potential drug product candidates. For those product candidates we develop under an IND, regulatory approvals may include limitations for use or contraindications that decrease the addressab</w:t>
      </w:r>
      <w:r>
        <w:rPr>
          <w:rFonts w:ascii="Arial" w:eastAsia="Arial" w:hAnsi="Arial" w:cs="Arial"/>
          <w:sz w:val="18"/>
          <w:szCs w:val="18"/>
        </w:rPr>
        <w:t>le patient population. The number of subject individuals may turn out to be lower than expected. Additionally, the potentially addressable patient population for our drug product candidates may be limited or may not be amenable to treatment with such produ</w:t>
      </w:r>
      <w:r>
        <w:rPr>
          <w:rFonts w:ascii="Arial" w:eastAsia="Arial" w:hAnsi="Arial" w:cs="Arial"/>
          <w:sz w:val="18"/>
          <w:szCs w:val="18"/>
        </w:rPr>
        <w:t>ct candidates. For instance, we estimate that there are up to 500,000 U.S. patients with covert or overt hepatic encephalopathy and that up to 40 million people in the U.S. alone are living with NASH. Even if we obtain significant market share for our prod</w:t>
      </w:r>
      <w:r>
        <w:rPr>
          <w:rFonts w:ascii="Arial" w:eastAsia="Arial" w:hAnsi="Arial" w:cs="Arial"/>
          <w:sz w:val="18"/>
          <w:szCs w:val="18"/>
        </w:rPr>
        <w:t>uct candidates, because certain potential target populations are small, we may never achieve profitability without obtaining regulatory approval for additional indications for drugs or expanding the target market size for non-drug products.</w:t>
      </w:r>
    </w:p>
    <w:p w:rsidR="000728AD" w:rsidRDefault="000728AD">
      <w:pPr>
        <w:spacing w:line="170" w:lineRule="exact"/>
        <w:rPr>
          <w:sz w:val="20"/>
          <w:szCs w:val="20"/>
        </w:rPr>
      </w:pPr>
    </w:p>
    <w:p w:rsidR="000728AD" w:rsidRDefault="000561BE">
      <w:pPr>
        <w:spacing w:line="260" w:lineRule="auto"/>
        <w:ind w:right="320"/>
        <w:rPr>
          <w:sz w:val="20"/>
          <w:szCs w:val="20"/>
        </w:rPr>
      </w:pPr>
      <w:r>
        <w:rPr>
          <w:rFonts w:ascii="Arial" w:eastAsia="Arial" w:hAnsi="Arial" w:cs="Arial"/>
          <w:b/>
          <w:bCs/>
          <w:i/>
          <w:iCs/>
          <w:sz w:val="20"/>
          <w:szCs w:val="20"/>
        </w:rPr>
        <w:t>We are early i</w:t>
      </w:r>
      <w:r>
        <w:rPr>
          <w:rFonts w:ascii="Arial" w:eastAsia="Arial" w:hAnsi="Arial" w:cs="Arial"/>
          <w:b/>
          <w:bCs/>
          <w:i/>
          <w:iCs/>
          <w:sz w:val="20"/>
          <w:szCs w:val="20"/>
        </w:rPr>
        <w:t>n our development efforts and may not be successful in our efforts to use our development platform to build a successful pipeline of product candidates and develop marketable products.</w:t>
      </w:r>
    </w:p>
    <w:p w:rsidR="000728AD" w:rsidRDefault="000728AD">
      <w:pPr>
        <w:spacing w:line="177" w:lineRule="exact"/>
        <w:rPr>
          <w:sz w:val="20"/>
          <w:szCs w:val="20"/>
        </w:rPr>
      </w:pPr>
    </w:p>
    <w:p w:rsidR="000728AD" w:rsidRDefault="000561BE">
      <w:pPr>
        <w:spacing w:line="273" w:lineRule="auto"/>
        <w:rPr>
          <w:sz w:val="20"/>
          <w:szCs w:val="20"/>
        </w:rPr>
      </w:pPr>
      <w:r>
        <w:rPr>
          <w:rFonts w:ascii="Arial" w:eastAsia="Arial" w:hAnsi="Arial" w:cs="Arial"/>
          <w:sz w:val="18"/>
          <w:szCs w:val="18"/>
        </w:rPr>
        <w:t>We are developing our product candidates with our development platform</w:t>
      </w:r>
      <w:r>
        <w:rPr>
          <w:rFonts w:ascii="Arial" w:eastAsia="Arial" w:hAnsi="Arial" w:cs="Arial"/>
          <w:sz w:val="18"/>
          <w:szCs w:val="18"/>
        </w:rPr>
        <w:t xml:space="preserve"> to reprogram metabolism and maintain and restore metabolic health and have decided to pursue development of some of our product candidates as potential therapeutics under INDs. However, our development platform has not yet led, and may never lead, to mark</w:t>
      </w:r>
      <w:r>
        <w:rPr>
          <w:rFonts w:ascii="Arial" w:eastAsia="Arial" w:hAnsi="Arial" w:cs="Arial"/>
          <w:sz w:val="18"/>
          <w:szCs w:val="18"/>
        </w:rPr>
        <w:t>etable drug or non-drug products. We are developing our initial product candidates for liver conditions. We may have problems applying our technologies to these and other future target areas, and our product candidates may not demonstrate a comparable abil</w:t>
      </w:r>
      <w:r>
        <w:rPr>
          <w:rFonts w:ascii="Arial" w:eastAsia="Arial" w:hAnsi="Arial" w:cs="Arial"/>
          <w:sz w:val="18"/>
          <w:szCs w:val="18"/>
        </w:rPr>
        <w:t>ity in supporting or maintaining health or treating disease, where applicable. Even if we are successful in identifying additional product candidates, they may not be suitable for clinical development as a result of limited efficacy, unacceptable safety pr</w:t>
      </w:r>
      <w:r>
        <w:rPr>
          <w:rFonts w:ascii="Arial" w:eastAsia="Arial" w:hAnsi="Arial" w:cs="Arial"/>
          <w:sz w:val="18"/>
          <w:szCs w:val="18"/>
        </w:rPr>
        <w:t>ofiles or other characteristics that indicate that they are unlikely to be products that will receive marketing approval or achieve market acceptance. The success of our product candidates will depend on several factors, including the following:</w:t>
      </w:r>
    </w:p>
    <w:p w:rsidR="000728AD" w:rsidRDefault="000728AD">
      <w:pPr>
        <w:spacing w:line="193" w:lineRule="exact"/>
        <w:rPr>
          <w:sz w:val="20"/>
          <w:szCs w:val="20"/>
        </w:rPr>
      </w:pPr>
    </w:p>
    <w:p w:rsidR="000728AD" w:rsidRDefault="000561BE">
      <w:pPr>
        <w:numPr>
          <w:ilvl w:val="0"/>
          <w:numId w:val="19"/>
        </w:numPr>
        <w:tabs>
          <w:tab w:val="left" w:pos="660"/>
        </w:tabs>
        <w:ind w:left="660" w:hanging="328"/>
        <w:rPr>
          <w:rFonts w:ascii="Arial" w:eastAsia="Arial" w:hAnsi="Arial" w:cs="Arial"/>
        </w:rPr>
      </w:pPr>
      <w:r>
        <w:rPr>
          <w:rFonts w:ascii="Arial" w:eastAsia="Arial" w:hAnsi="Arial" w:cs="Arial"/>
          <w:sz w:val="20"/>
          <w:szCs w:val="20"/>
        </w:rPr>
        <w:t>successfu</w:t>
      </w:r>
      <w:r>
        <w:rPr>
          <w:rFonts w:ascii="Arial" w:eastAsia="Arial" w:hAnsi="Arial" w:cs="Arial"/>
          <w:sz w:val="20"/>
          <w:szCs w:val="20"/>
        </w:rPr>
        <w:t>l enrollment in, and completion of, preclinical studies, Clinical Studies and Clinical Trials with positive results;</w:t>
      </w:r>
    </w:p>
    <w:p w:rsidR="000728AD" w:rsidRDefault="000728AD">
      <w:pPr>
        <w:spacing w:line="165" w:lineRule="exact"/>
        <w:rPr>
          <w:rFonts w:ascii="Arial" w:eastAsia="Arial" w:hAnsi="Arial" w:cs="Arial"/>
        </w:rPr>
      </w:pPr>
    </w:p>
    <w:p w:rsidR="000728AD" w:rsidRDefault="000561BE">
      <w:pPr>
        <w:numPr>
          <w:ilvl w:val="0"/>
          <w:numId w:val="19"/>
        </w:numPr>
        <w:tabs>
          <w:tab w:val="left" w:pos="660"/>
        </w:tabs>
        <w:ind w:left="660" w:hanging="328"/>
        <w:rPr>
          <w:rFonts w:ascii="Arial" w:eastAsia="Arial" w:hAnsi="Arial" w:cs="Arial"/>
        </w:rPr>
      </w:pPr>
      <w:r>
        <w:rPr>
          <w:rFonts w:ascii="Arial" w:eastAsia="Arial" w:hAnsi="Arial" w:cs="Arial"/>
          <w:sz w:val="20"/>
          <w:szCs w:val="20"/>
        </w:rPr>
        <w:t>clearance of INDs for Clinical Trials for product candidates that we decide to develop as drug product candidates;</w:t>
      </w:r>
    </w:p>
    <w:p w:rsidR="000728AD" w:rsidRDefault="000728AD">
      <w:pPr>
        <w:spacing w:line="168" w:lineRule="exact"/>
        <w:rPr>
          <w:rFonts w:ascii="Arial" w:eastAsia="Arial" w:hAnsi="Arial" w:cs="Arial"/>
        </w:rPr>
      </w:pPr>
    </w:p>
    <w:p w:rsidR="000728AD" w:rsidRDefault="000561BE">
      <w:pPr>
        <w:numPr>
          <w:ilvl w:val="0"/>
          <w:numId w:val="19"/>
        </w:numPr>
        <w:tabs>
          <w:tab w:val="left" w:pos="655"/>
        </w:tabs>
        <w:spacing w:line="238" w:lineRule="auto"/>
        <w:ind w:left="660" w:right="180" w:hanging="328"/>
        <w:rPr>
          <w:rFonts w:ascii="Arial" w:eastAsia="Arial" w:hAnsi="Arial" w:cs="Arial"/>
        </w:rPr>
      </w:pPr>
      <w:r>
        <w:rPr>
          <w:rFonts w:ascii="Arial" w:eastAsia="Arial" w:hAnsi="Arial" w:cs="Arial"/>
          <w:sz w:val="20"/>
          <w:szCs w:val="20"/>
        </w:rPr>
        <w:t xml:space="preserve">receipt of regulatory </w:t>
      </w:r>
      <w:r>
        <w:rPr>
          <w:rFonts w:ascii="Arial" w:eastAsia="Arial" w:hAnsi="Arial" w:cs="Arial"/>
          <w:sz w:val="20"/>
          <w:szCs w:val="20"/>
        </w:rPr>
        <w:t>approvals from applicable regulatory authorities for drug product candidates or, alternatively, compliance with regulatory requirements applicable to non-drug products;</w:t>
      </w:r>
    </w:p>
    <w:p w:rsidR="000728AD" w:rsidRDefault="000728AD">
      <w:pPr>
        <w:spacing w:line="169" w:lineRule="exact"/>
        <w:rPr>
          <w:rFonts w:ascii="Arial" w:eastAsia="Arial" w:hAnsi="Arial" w:cs="Arial"/>
        </w:rPr>
      </w:pPr>
    </w:p>
    <w:p w:rsidR="000728AD" w:rsidRDefault="000561BE">
      <w:pPr>
        <w:numPr>
          <w:ilvl w:val="0"/>
          <w:numId w:val="19"/>
        </w:numPr>
        <w:tabs>
          <w:tab w:val="left" w:pos="655"/>
        </w:tabs>
        <w:spacing w:line="238" w:lineRule="auto"/>
        <w:ind w:left="660" w:right="880" w:hanging="328"/>
        <w:rPr>
          <w:rFonts w:ascii="Arial" w:eastAsia="Arial" w:hAnsi="Arial" w:cs="Arial"/>
        </w:rPr>
      </w:pPr>
      <w:r>
        <w:rPr>
          <w:rFonts w:ascii="Arial" w:eastAsia="Arial" w:hAnsi="Arial" w:cs="Arial"/>
          <w:sz w:val="20"/>
          <w:szCs w:val="20"/>
        </w:rPr>
        <w:t>overcoming any delays or interruptions to our supply chain, Clinical Studies or Clinic</w:t>
      </w:r>
      <w:r>
        <w:rPr>
          <w:rFonts w:ascii="Arial" w:eastAsia="Arial" w:hAnsi="Arial" w:cs="Arial"/>
          <w:sz w:val="20"/>
          <w:szCs w:val="20"/>
        </w:rPr>
        <w:t>al Trials as a result of the COVID-19 pandemic;</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93" w:lineRule="exact"/>
        <w:rPr>
          <w:sz w:val="20"/>
          <w:szCs w:val="20"/>
        </w:rPr>
      </w:pPr>
    </w:p>
    <w:p w:rsidR="000728AD" w:rsidRDefault="000561BE">
      <w:pPr>
        <w:jc w:val="center"/>
        <w:rPr>
          <w:sz w:val="20"/>
          <w:szCs w:val="20"/>
        </w:rPr>
      </w:pPr>
      <w:r>
        <w:rPr>
          <w:rFonts w:ascii="Arial" w:eastAsia="Arial" w:hAnsi="Arial" w:cs="Arial"/>
          <w:sz w:val="18"/>
          <w:szCs w:val="18"/>
        </w:rPr>
        <w:t>48</w:t>
      </w:r>
    </w:p>
    <w:p w:rsidR="000728AD" w:rsidRDefault="000561BE">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49" w:name="page49"/>
    <w:bookmarkEnd w:id="49"/>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28" w:lineRule="exact"/>
        <w:rPr>
          <w:sz w:val="20"/>
          <w:szCs w:val="20"/>
        </w:rPr>
      </w:pPr>
    </w:p>
    <w:p w:rsidR="000728AD" w:rsidRDefault="000561BE">
      <w:pPr>
        <w:numPr>
          <w:ilvl w:val="0"/>
          <w:numId w:val="20"/>
        </w:numPr>
        <w:tabs>
          <w:tab w:val="left" w:pos="660"/>
        </w:tabs>
        <w:ind w:left="660" w:hanging="328"/>
        <w:rPr>
          <w:rFonts w:ascii="Arial" w:eastAsia="Arial" w:hAnsi="Arial" w:cs="Arial"/>
          <w:sz w:val="19"/>
          <w:szCs w:val="19"/>
        </w:rPr>
      </w:pPr>
      <w:r>
        <w:rPr>
          <w:rFonts w:ascii="Arial" w:eastAsia="Arial" w:hAnsi="Arial" w:cs="Arial"/>
          <w:sz w:val="18"/>
          <w:szCs w:val="18"/>
        </w:rPr>
        <w:t xml:space="preserve">obtaining and maintaining patent and trade secret protection and regulatory exclusivity, as available, for our product </w:t>
      </w:r>
      <w:r>
        <w:rPr>
          <w:rFonts w:ascii="Arial" w:eastAsia="Arial" w:hAnsi="Arial" w:cs="Arial"/>
          <w:sz w:val="18"/>
          <w:szCs w:val="18"/>
        </w:rPr>
        <w:t>candidates;</w:t>
      </w:r>
    </w:p>
    <w:p w:rsidR="000728AD" w:rsidRDefault="000728AD">
      <w:pPr>
        <w:spacing w:line="200" w:lineRule="exact"/>
        <w:rPr>
          <w:rFonts w:ascii="Arial" w:eastAsia="Arial" w:hAnsi="Arial" w:cs="Arial"/>
          <w:sz w:val="19"/>
          <w:szCs w:val="19"/>
        </w:rPr>
      </w:pPr>
    </w:p>
    <w:p w:rsidR="000728AD" w:rsidRDefault="000561BE">
      <w:pPr>
        <w:numPr>
          <w:ilvl w:val="0"/>
          <w:numId w:val="20"/>
        </w:numPr>
        <w:tabs>
          <w:tab w:val="left" w:pos="655"/>
        </w:tabs>
        <w:spacing w:line="238" w:lineRule="auto"/>
        <w:ind w:left="660" w:right="440" w:hanging="328"/>
        <w:rPr>
          <w:rFonts w:ascii="Arial" w:eastAsia="Arial" w:hAnsi="Arial" w:cs="Arial"/>
        </w:rPr>
      </w:pPr>
      <w:r>
        <w:rPr>
          <w:rFonts w:ascii="Arial" w:eastAsia="Arial" w:hAnsi="Arial" w:cs="Arial"/>
          <w:sz w:val="20"/>
          <w:szCs w:val="20"/>
        </w:rPr>
        <w:t>establishing cGMP-compliant supply and commercial manufacturing operations or making arrangements with cGMP-compliant third-party manufacturers for supply and commercial manufacturing;</w:t>
      </w:r>
    </w:p>
    <w:p w:rsidR="000728AD" w:rsidRDefault="000728AD">
      <w:pPr>
        <w:spacing w:line="166" w:lineRule="exact"/>
        <w:rPr>
          <w:rFonts w:ascii="Arial" w:eastAsia="Arial" w:hAnsi="Arial" w:cs="Arial"/>
        </w:rPr>
      </w:pPr>
    </w:p>
    <w:p w:rsidR="000728AD" w:rsidRDefault="000561BE">
      <w:pPr>
        <w:numPr>
          <w:ilvl w:val="0"/>
          <w:numId w:val="20"/>
        </w:numPr>
        <w:tabs>
          <w:tab w:val="left" w:pos="660"/>
        </w:tabs>
        <w:ind w:left="660" w:hanging="328"/>
        <w:rPr>
          <w:rFonts w:ascii="Arial" w:eastAsia="Arial" w:hAnsi="Arial" w:cs="Arial"/>
        </w:rPr>
      </w:pPr>
      <w:r>
        <w:rPr>
          <w:rFonts w:ascii="Arial" w:eastAsia="Arial" w:hAnsi="Arial" w:cs="Arial"/>
          <w:sz w:val="20"/>
          <w:szCs w:val="20"/>
        </w:rPr>
        <w:t>launching commercial sales of our products, if and when a</w:t>
      </w:r>
      <w:r>
        <w:rPr>
          <w:rFonts w:ascii="Arial" w:eastAsia="Arial" w:hAnsi="Arial" w:cs="Arial"/>
          <w:sz w:val="20"/>
          <w:szCs w:val="20"/>
        </w:rPr>
        <w:t>pproved, whether alone or in collaboration with others;</w:t>
      </w:r>
    </w:p>
    <w:p w:rsidR="000728AD" w:rsidRDefault="000728AD">
      <w:pPr>
        <w:spacing w:line="168" w:lineRule="exact"/>
        <w:rPr>
          <w:rFonts w:ascii="Arial" w:eastAsia="Arial" w:hAnsi="Arial" w:cs="Arial"/>
        </w:rPr>
      </w:pPr>
    </w:p>
    <w:p w:rsidR="000728AD" w:rsidRDefault="000561BE">
      <w:pPr>
        <w:numPr>
          <w:ilvl w:val="0"/>
          <w:numId w:val="20"/>
        </w:numPr>
        <w:tabs>
          <w:tab w:val="left" w:pos="655"/>
        </w:tabs>
        <w:spacing w:line="238" w:lineRule="auto"/>
        <w:ind w:left="660" w:right="1100" w:hanging="328"/>
        <w:rPr>
          <w:rFonts w:ascii="Arial" w:eastAsia="Arial" w:hAnsi="Arial" w:cs="Arial"/>
        </w:rPr>
      </w:pPr>
      <w:r>
        <w:rPr>
          <w:rFonts w:ascii="Arial" w:eastAsia="Arial" w:hAnsi="Arial" w:cs="Arial"/>
          <w:sz w:val="20"/>
          <w:szCs w:val="20"/>
        </w:rPr>
        <w:t>entering into new collaborations throughout the development process as appropriate, from preclinical studies through to commercialization;</w:t>
      </w:r>
    </w:p>
    <w:p w:rsidR="000728AD" w:rsidRDefault="000728AD">
      <w:pPr>
        <w:spacing w:line="169" w:lineRule="exact"/>
        <w:rPr>
          <w:rFonts w:ascii="Arial" w:eastAsia="Arial" w:hAnsi="Arial" w:cs="Arial"/>
        </w:rPr>
      </w:pPr>
    </w:p>
    <w:p w:rsidR="000728AD" w:rsidRDefault="000561BE">
      <w:pPr>
        <w:numPr>
          <w:ilvl w:val="0"/>
          <w:numId w:val="20"/>
        </w:numPr>
        <w:tabs>
          <w:tab w:val="left" w:pos="655"/>
        </w:tabs>
        <w:spacing w:line="238" w:lineRule="auto"/>
        <w:ind w:left="660" w:right="540" w:hanging="328"/>
        <w:rPr>
          <w:rFonts w:ascii="Arial" w:eastAsia="Arial" w:hAnsi="Arial" w:cs="Arial"/>
        </w:rPr>
      </w:pPr>
      <w:r>
        <w:rPr>
          <w:rFonts w:ascii="Arial" w:eastAsia="Arial" w:hAnsi="Arial" w:cs="Arial"/>
          <w:sz w:val="20"/>
          <w:szCs w:val="20"/>
        </w:rPr>
        <w:t xml:space="preserve">acceptance of our products, if and when approved or </w:t>
      </w:r>
      <w:r>
        <w:rPr>
          <w:rFonts w:ascii="Arial" w:eastAsia="Arial" w:hAnsi="Arial" w:cs="Arial"/>
          <w:sz w:val="20"/>
          <w:szCs w:val="20"/>
        </w:rPr>
        <w:t>launched for commercialization under applicable regulations, by patients, consumers, the medical community and third-party payors;</w:t>
      </w:r>
    </w:p>
    <w:p w:rsidR="000728AD" w:rsidRDefault="000728AD">
      <w:pPr>
        <w:spacing w:line="169" w:lineRule="exact"/>
        <w:rPr>
          <w:rFonts w:ascii="Arial" w:eastAsia="Arial" w:hAnsi="Arial" w:cs="Arial"/>
        </w:rPr>
      </w:pPr>
    </w:p>
    <w:p w:rsidR="000728AD" w:rsidRDefault="000561BE">
      <w:pPr>
        <w:numPr>
          <w:ilvl w:val="0"/>
          <w:numId w:val="20"/>
        </w:numPr>
        <w:tabs>
          <w:tab w:val="left" w:pos="655"/>
        </w:tabs>
        <w:spacing w:line="238" w:lineRule="auto"/>
        <w:ind w:left="660" w:right="100" w:hanging="328"/>
        <w:rPr>
          <w:rFonts w:ascii="Arial" w:eastAsia="Arial" w:hAnsi="Arial" w:cs="Arial"/>
        </w:rPr>
      </w:pPr>
      <w:r>
        <w:rPr>
          <w:rFonts w:ascii="Arial" w:eastAsia="Arial" w:hAnsi="Arial" w:cs="Arial"/>
          <w:sz w:val="20"/>
          <w:szCs w:val="20"/>
        </w:rPr>
        <w:t>effectively competing with other drugs and non-drug products, depending on the development pathway that we choose for a prod</w:t>
      </w:r>
      <w:r>
        <w:rPr>
          <w:rFonts w:ascii="Arial" w:eastAsia="Arial" w:hAnsi="Arial" w:cs="Arial"/>
          <w:sz w:val="20"/>
          <w:szCs w:val="20"/>
        </w:rPr>
        <w:t>uct candidate;</w:t>
      </w:r>
    </w:p>
    <w:p w:rsidR="000728AD" w:rsidRDefault="000728AD">
      <w:pPr>
        <w:spacing w:line="169" w:lineRule="exact"/>
        <w:rPr>
          <w:rFonts w:ascii="Arial" w:eastAsia="Arial" w:hAnsi="Arial" w:cs="Arial"/>
        </w:rPr>
      </w:pPr>
    </w:p>
    <w:p w:rsidR="000728AD" w:rsidRDefault="000561BE">
      <w:pPr>
        <w:numPr>
          <w:ilvl w:val="0"/>
          <w:numId w:val="20"/>
        </w:numPr>
        <w:tabs>
          <w:tab w:val="left" w:pos="655"/>
        </w:tabs>
        <w:spacing w:line="238" w:lineRule="auto"/>
        <w:ind w:left="660" w:right="620" w:hanging="328"/>
        <w:rPr>
          <w:rFonts w:ascii="Arial" w:eastAsia="Arial" w:hAnsi="Arial" w:cs="Arial"/>
        </w:rPr>
      </w:pPr>
      <w:r>
        <w:rPr>
          <w:rFonts w:ascii="Arial" w:eastAsia="Arial" w:hAnsi="Arial" w:cs="Arial"/>
          <w:sz w:val="20"/>
          <w:szCs w:val="20"/>
        </w:rPr>
        <w:t>obtaining and maintaining coverage and adequate reimbursement by third-party payors, including government payors, for our product candidates developed as drug products, if approved by the FDA;</w:t>
      </w:r>
    </w:p>
    <w:p w:rsidR="000728AD" w:rsidRDefault="000728AD">
      <w:pPr>
        <w:spacing w:line="166" w:lineRule="exact"/>
        <w:rPr>
          <w:rFonts w:ascii="Arial" w:eastAsia="Arial" w:hAnsi="Arial" w:cs="Arial"/>
        </w:rPr>
      </w:pPr>
    </w:p>
    <w:p w:rsidR="000728AD" w:rsidRDefault="000561BE">
      <w:pPr>
        <w:numPr>
          <w:ilvl w:val="0"/>
          <w:numId w:val="20"/>
        </w:numPr>
        <w:tabs>
          <w:tab w:val="left" w:pos="660"/>
        </w:tabs>
        <w:ind w:left="660" w:hanging="328"/>
        <w:rPr>
          <w:rFonts w:ascii="Arial" w:eastAsia="Arial" w:hAnsi="Arial" w:cs="Arial"/>
        </w:rPr>
      </w:pPr>
      <w:r>
        <w:rPr>
          <w:rFonts w:ascii="Arial" w:eastAsia="Arial" w:hAnsi="Arial" w:cs="Arial"/>
          <w:sz w:val="20"/>
          <w:szCs w:val="20"/>
        </w:rPr>
        <w:t>protecting our rights in our intellectual prop</w:t>
      </w:r>
      <w:r>
        <w:rPr>
          <w:rFonts w:ascii="Arial" w:eastAsia="Arial" w:hAnsi="Arial" w:cs="Arial"/>
          <w:sz w:val="20"/>
          <w:szCs w:val="20"/>
        </w:rPr>
        <w:t>erty portfolio;</w:t>
      </w:r>
    </w:p>
    <w:p w:rsidR="000728AD" w:rsidRDefault="000728AD">
      <w:pPr>
        <w:spacing w:line="165" w:lineRule="exact"/>
        <w:rPr>
          <w:rFonts w:ascii="Arial" w:eastAsia="Arial" w:hAnsi="Arial" w:cs="Arial"/>
        </w:rPr>
      </w:pPr>
    </w:p>
    <w:p w:rsidR="000728AD" w:rsidRDefault="000561BE">
      <w:pPr>
        <w:numPr>
          <w:ilvl w:val="0"/>
          <w:numId w:val="20"/>
        </w:numPr>
        <w:tabs>
          <w:tab w:val="left" w:pos="660"/>
        </w:tabs>
        <w:ind w:left="660" w:hanging="328"/>
        <w:rPr>
          <w:rFonts w:ascii="Arial" w:eastAsia="Arial" w:hAnsi="Arial" w:cs="Arial"/>
        </w:rPr>
      </w:pPr>
      <w:r>
        <w:rPr>
          <w:rFonts w:ascii="Arial" w:eastAsia="Arial" w:hAnsi="Arial" w:cs="Arial"/>
          <w:sz w:val="20"/>
          <w:szCs w:val="20"/>
        </w:rPr>
        <w:t>operating without infringing or violating the valid and enforceable patents or other intellectual property of third parties;</w:t>
      </w:r>
    </w:p>
    <w:p w:rsidR="000728AD" w:rsidRDefault="000728AD">
      <w:pPr>
        <w:spacing w:line="168" w:lineRule="exact"/>
        <w:rPr>
          <w:rFonts w:ascii="Arial" w:eastAsia="Arial" w:hAnsi="Arial" w:cs="Arial"/>
        </w:rPr>
      </w:pPr>
    </w:p>
    <w:p w:rsidR="000728AD" w:rsidRDefault="000561BE">
      <w:pPr>
        <w:numPr>
          <w:ilvl w:val="0"/>
          <w:numId w:val="20"/>
        </w:numPr>
        <w:tabs>
          <w:tab w:val="left" w:pos="655"/>
        </w:tabs>
        <w:spacing w:line="238" w:lineRule="auto"/>
        <w:ind w:left="660" w:right="640" w:hanging="328"/>
        <w:rPr>
          <w:rFonts w:ascii="Arial" w:eastAsia="Arial" w:hAnsi="Arial" w:cs="Arial"/>
        </w:rPr>
      </w:pPr>
      <w:r>
        <w:rPr>
          <w:rFonts w:ascii="Arial" w:eastAsia="Arial" w:hAnsi="Arial" w:cs="Arial"/>
          <w:sz w:val="20"/>
          <w:szCs w:val="20"/>
        </w:rPr>
        <w:t>achieving and remaining in compliance with applicable laws and regulations that apply to the research, developmen</w:t>
      </w:r>
      <w:r>
        <w:rPr>
          <w:rFonts w:ascii="Arial" w:eastAsia="Arial" w:hAnsi="Arial" w:cs="Arial"/>
          <w:sz w:val="20"/>
          <w:szCs w:val="20"/>
        </w:rPr>
        <w:t>t and commercialization of our product candidates and having productive interactions and positive regulatory decisions that lead to successful product commercialization;</w:t>
      </w:r>
    </w:p>
    <w:p w:rsidR="000728AD" w:rsidRDefault="000728AD">
      <w:pPr>
        <w:spacing w:line="167" w:lineRule="exact"/>
        <w:rPr>
          <w:rFonts w:ascii="Arial" w:eastAsia="Arial" w:hAnsi="Arial" w:cs="Arial"/>
        </w:rPr>
      </w:pPr>
    </w:p>
    <w:p w:rsidR="000728AD" w:rsidRDefault="000561BE">
      <w:pPr>
        <w:numPr>
          <w:ilvl w:val="0"/>
          <w:numId w:val="20"/>
        </w:numPr>
        <w:tabs>
          <w:tab w:val="left" w:pos="660"/>
        </w:tabs>
        <w:ind w:left="660" w:hanging="328"/>
        <w:rPr>
          <w:rFonts w:ascii="Arial" w:eastAsia="Arial" w:hAnsi="Arial" w:cs="Arial"/>
        </w:rPr>
      </w:pPr>
      <w:r>
        <w:rPr>
          <w:rFonts w:ascii="Arial" w:eastAsia="Arial" w:hAnsi="Arial" w:cs="Arial"/>
          <w:sz w:val="20"/>
          <w:szCs w:val="20"/>
        </w:rPr>
        <w:t xml:space="preserve">maintaining a continued acceptable safety profile of the products following approval </w:t>
      </w:r>
      <w:r>
        <w:rPr>
          <w:rFonts w:ascii="Arial" w:eastAsia="Arial" w:hAnsi="Arial" w:cs="Arial"/>
          <w:sz w:val="20"/>
          <w:szCs w:val="20"/>
        </w:rPr>
        <w:t>or commercialization; and</w:t>
      </w:r>
    </w:p>
    <w:p w:rsidR="000728AD" w:rsidRDefault="000728AD">
      <w:pPr>
        <w:spacing w:line="168" w:lineRule="exact"/>
        <w:rPr>
          <w:rFonts w:ascii="Arial" w:eastAsia="Arial" w:hAnsi="Arial" w:cs="Arial"/>
        </w:rPr>
      </w:pPr>
    </w:p>
    <w:p w:rsidR="000728AD" w:rsidRDefault="000561BE">
      <w:pPr>
        <w:numPr>
          <w:ilvl w:val="0"/>
          <w:numId w:val="20"/>
        </w:numPr>
        <w:tabs>
          <w:tab w:val="left" w:pos="655"/>
        </w:tabs>
        <w:spacing w:line="238" w:lineRule="auto"/>
        <w:ind w:left="660" w:right="420" w:hanging="328"/>
        <w:rPr>
          <w:rFonts w:ascii="Arial" w:eastAsia="Arial" w:hAnsi="Arial" w:cs="Arial"/>
        </w:rPr>
      </w:pPr>
      <w:r>
        <w:rPr>
          <w:rFonts w:ascii="Arial" w:eastAsia="Arial" w:hAnsi="Arial" w:cs="Arial"/>
          <w:sz w:val="20"/>
          <w:szCs w:val="20"/>
        </w:rPr>
        <w:t>maintaining and growing an organization of scientists and businesspeople who can develop and commercialize our products and technology.</w:t>
      </w:r>
    </w:p>
    <w:p w:rsidR="000728AD" w:rsidRDefault="000728AD">
      <w:pPr>
        <w:spacing w:line="196" w:lineRule="exact"/>
        <w:rPr>
          <w:sz w:val="20"/>
          <w:szCs w:val="20"/>
        </w:rPr>
      </w:pPr>
    </w:p>
    <w:p w:rsidR="000728AD" w:rsidRDefault="000561BE">
      <w:pPr>
        <w:spacing w:line="316" w:lineRule="auto"/>
        <w:ind w:right="520"/>
        <w:rPr>
          <w:sz w:val="20"/>
          <w:szCs w:val="20"/>
        </w:rPr>
      </w:pPr>
      <w:r>
        <w:rPr>
          <w:rFonts w:ascii="Arial" w:eastAsia="Arial" w:hAnsi="Arial" w:cs="Arial"/>
          <w:sz w:val="18"/>
          <w:szCs w:val="18"/>
        </w:rPr>
        <w:t xml:space="preserve">If we do not successfully develop and commercialize product candidates using our </w:t>
      </w:r>
      <w:r>
        <w:rPr>
          <w:rFonts w:ascii="Arial" w:eastAsia="Arial" w:hAnsi="Arial" w:cs="Arial"/>
          <w:sz w:val="18"/>
          <w:szCs w:val="18"/>
        </w:rPr>
        <w:t>development platform, we will not be able to obtain product revenue in future periods, which could result in significant harm to our financial position and adversely affect our stock price.</w:t>
      </w:r>
    </w:p>
    <w:p w:rsidR="000728AD" w:rsidRDefault="000728AD">
      <w:pPr>
        <w:spacing w:line="130" w:lineRule="exact"/>
        <w:rPr>
          <w:sz w:val="20"/>
          <w:szCs w:val="20"/>
        </w:rPr>
      </w:pPr>
    </w:p>
    <w:p w:rsidR="000728AD" w:rsidRDefault="000561BE">
      <w:pPr>
        <w:spacing w:line="291" w:lineRule="auto"/>
        <w:rPr>
          <w:sz w:val="20"/>
          <w:szCs w:val="20"/>
        </w:rPr>
      </w:pPr>
      <w:r>
        <w:rPr>
          <w:rFonts w:ascii="Arial" w:eastAsia="Arial" w:hAnsi="Arial" w:cs="Arial"/>
          <w:b/>
          <w:bCs/>
          <w:i/>
          <w:iCs/>
          <w:sz w:val="18"/>
          <w:szCs w:val="18"/>
        </w:rPr>
        <w:t xml:space="preserve">Even if a drug product candidate or a non-drug product candidate </w:t>
      </w:r>
      <w:r>
        <w:rPr>
          <w:rFonts w:ascii="Arial" w:eastAsia="Arial" w:hAnsi="Arial" w:cs="Arial"/>
          <w:b/>
          <w:bCs/>
          <w:i/>
          <w:iCs/>
          <w:sz w:val="18"/>
          <w:szCs w:val="18"/>
        </w:rPr>
        <w:t>receives marketing approval, or otherwise is commercialized, respectively, such products may fail to achieve the degree of market acceptance by physicians, patients, third-party payors, consumers and others in the medical or healthcare community or other t</w:t>
      </w:r>
      <w:r>
        <w:rPr>
          <w:rFonts w:ascii="Arial" w:eastAsia="Arial" w:hAnsi="Arial" w:cs="Arial"/>
          <w:b/>
          <w:bCs/>
          <w:i/>
          <w:iCs/>
          <w:sz w:val="18"/>
          <w:szCs w:val="18"/>
        </w:rPr>
        <w:t>arget markets necessary for commercial success.</w:t>
      </w:r>
    </w:p>
    <w:p w:rsidR="000728AD" w:rsidRDefault="000728AD">
      <w:pPr>
        <w:spacing w:line="152" w:lineRule="exact"/>
        <w:rPr>
          <w:sz w:val="20"/>
          <w:szCs w:val="20"/>
        </w:rPr>
      </w:pPr>
    </w:p>
    <w:p w:rsidR="000728AD" w:rsidRDefault="000561BE">
      <w:pPr>
        <w:spacing w:line="278" w:lineRule="auto"/>
        <w:ind w:right="140"/>
        <w:rPr>
          <w:sz w:val="20"/>
          <w:szCs w:val="20"/>
        </w:rPr>
      </w:pPr>
      <w:r>
        <w:rPr>
          <w:rFonts w:ascii="Arial" w:eastAsia="Arial" w:hAnsi="Arial" w:cs="Arial"/>
          <w:sz w:val="18"/>
          <w:szCs w:val="18"/>
        </w:rPr>
        <w:t>If any drug product candidate receives marketing approval or otherwise is commercialized under applicable regulations as a non-drug product, it may nonetheless fail to gain sufficient market acceptance by ph</w:t>
      </w:r>
      <w:r>
        <w:rPr>
          <w:rFonts w:ascii="Arial" w:eastAsia="Arial" w:hAnsi="Arial" w:cs="Arial"/>
          <w:sz w:val="18"/>
          <w:szCs w:val="18"/>
        </w:rPr>
        <w:t>ysicians, patients, third-party payors, consumers and others in the medical or health community or other target markets. If the product candidates we develop do not achieve an adequate level of acceptance, we may not generate significant product revenues a</w:t>
      </w:r>
      <w:r>
        <w:rPr>
          <w:rFonts w:ascii="Arial" w:eastAsia="Arial" w:hAnsi="Arial" w:cs="Arial"/>
          <w:sz w:val="18"/>
          <w:szCs w:val="18"/>
        </w:rPr>
        <w:t>nd we may not become profitable. The degree of market acceptance of any product candidate, if approved for commercial sale, will depend on a number of factors, including, but not limited to:</w:t>
      </w:r>
    </w:p>
    <w:p w:rsidR="000728AD" w:rsidRDefault="000728AD">
      <w:pPr>
        <w:spacing w:line="189" w:lineRule="exact"/>
        <w:rPr>
          <w:sz w:val="20"/>
          <w:szCs w:val="20"/>
        </w:rPr>
      </w:pPr>
    </w:p>
    <w:p w:rsidR="000728AD" w:rsidRDefault="000561BE">
      <w:pPr>
        <w:numPr>
          <w:ilvl w:val="0"/>
          <w:numId w:val="21"/>
        </w:numPr>
        <w:tabs>
          <w:tab w:val="left" w:pos="660"/>
        </w:tabs>
        <w:ind w:left="660" w:hanging="328"/>
        <w:rPr>
          <w:rFonts w:ascii="Arial" w:eastAsia="Arial" w:hAnsi="Arial" w:cs="Arial"/>
        </w:rPr>
      </w:pPr>
      <w:r>
        <w:rPr>
          <w:rFonts w:ascii="Arial" w:eastAsia="Arial" w:hAnsi="Arial" w:cs="Arial"/>
          <w:sz w:val="20"/>
          <w:szCs w:val="20"/>
        </w:rPr>
        <w:t xml:space="preserve">efficacy (for any drug product candidate), safety and potential </w:t>
      </w:r>
      <w:r>
        <w:rPr>
          <w:rFonts w:ascii="Arial" w:eastAsia="Arial" w:hAnsi="Arial" w:cs="Arial"/>
          <w:sz w:val="20"/>
          <w:szCs w:val="20"/>
        </w:rPr>
        <w:t>advantages compared to alternative products;</w:t>
      </w:r>
    </w:p>
    <w:p w:rsidR="000728AD" w:rsidRDefault="000728AD">
      <w:pPr>
        <w:spacing w:line="200" w:lineRule="exact"/>
        <w:rPr>
          <w:rFonts w:ascii="Arial" w:eastAsia="Arial" w:hAnsi="Arial" w:cs="Arial"/>
        </w:rPr>
      </w:pPr>
    </w:p>
    <w:p w:rsidR="000728AD" w:rsidRDefault="000728AD">
      <w:pPr>
        <w:spacing w:line="200" w:lineRule="exact"/>
        <w:rPr>
          <w:rFonts w:ascii="Arial" w:eastAsia="Arial" w:hAnsi="Arial" w:cs="Arial"/>
        </w:rPr>
      </w:pPr>
    </w:p>
    <w:p w:rsidR="000728AD" w:rsidRDefault="000728AD">
      <w:pPr>
        <w:spacing w:line="391" w:lineRule="exact"/>
        <w:rPr>
          <w:rFonts w:ascii="Arial" w:eastAsia="Arial" w:hAnsi="Arial" w:cs="Arial"/>
        </w:rPr>
      </w:pPr>
    </w:p>
    <w:p w:rsidR="000728AD" w:rsidRDefault="000561BE">
      <w:pPr>
        <w:ind w:left="5540"/>
        <w:rPr>
          <w:rFonts w:ascii="Arial" w:eastAsia="Arial" w:hAnsi="Arial" w:cs="Arial"/>
        </w:rPr>
      </w:pPr>
      <w:r>
        <w:rPr>
          <w:rFonts w:ascii="Arial" w:eastAsia="Arial" w:hAnsi="Arial" w:cs="Arial"/>
          <w:sz w:val="18"/>
          <w:szCs w:val="18"/>
        </w:rPr>
        <w:t>49</w:t>
      </w:r>
    </w:p>
    <w:p w:rsidR="000728AD" w:rsidRDefault="000561BE">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59" w:bottom="1440" w:left="320" w:header="0" w:footer="0" w:gutter="0"/>
          <w:cols w:space="720" w:equalWidth="0">
            <w:col w:w="11220"/>
          </w:cols>
        </w:sectPr>
      </w:pPr>
    </w:p>
    <w:bookmarkStart w:id="50" w:name="page50"/>
    <w:bookmarkEnd w:id="50"/>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28" w:lineRule="exact"/>
        <w:rPr>
          <w:sz w:val="20"/>
          <w:szCs w:val="20"/>
        </w:rPr>
      </w:pPr>
    </w:p>
    <w:p w:rsidR="000728AD" w:rsidRDefault="000561BE">
      <w:pPr>
        <w:numPr>
          <w:ilvl w:val="0"/>
          <w:numId w:val="22"/>
        </w:numPr>
        <w:tabs>
          <w:tab w:val="left" w:pos="655"/>
        </w:tabs>
        <w:spacing w:line="238" w:lineRule="auto"/>
        <w:ind w:left="660" w:right="580" w:hanging="328"/>
        <w:rPr>
          <w:rFonts w:ascii="Arial" w:eastAsia="Arial" w:hAnsi="Arial" w:cs="Arial"/>
        </w:rPr>
      </w:pPr>
      <w:r>
        <w:rPr>
          <w:rFonts w:ascii="Arial" w:eastAsia="Arial" w:hAnsi="Arial" w:cs="Arial"/>
          <w:sz w:val="20"/>
          <w:szCs w:val="20"/>
        </w:rPr>
        <w:t xml:space="preserve">the labeled uses or limitations for use, including age limitations or contraindications, for our product candidates compared to </w:t>
      </w:r>
      <w:r>
        <w:rPr>
          <w:rFonts w:ascii="Arial" w:eastAsia="Arial" w:hAnsi="Arial" w:cs="Arial"/>
          <w:sz w:val="20"/>
          <w:szCs w:val="20"/>
        </w:rPr>
        <w:t>alternative products;</w:t>
      </w:r>
    </w:p>
    <w:p w:rsidR="000728AD" w:rsidRDefault="000728AD">
      <w:pPr>
        <w:spacing w:line="166" w:lineRule="exact"/>
        <w:rPr>
          <w:rFonts w:ascii="Arial" w:eastAsia="Arial" w:hAnsi="Arial" w:cs="Arial"/>
        </w:rPr>
      </w:pPr>
    </w:p>
    <w:p w:rsidR="000728AD" w:rsidRDefault="000561BE">
      <w:pPr>
        <w:numPr>
          <w:ilvl w:val="0"/>
          <w:numId w:val="22"/>
        </w:numPr>
        <w:tabs>
          <w:tab w:val="left" w:pos="660"/>
        </w:tabs>
        <w:ind w:left="660" w:hanging="328"/>
        <w:rPr>
          <w:rFonts w:ascii="Arial" w:eastAsia="Arial" w:hAnsi="Arial" w:cs="Arial"/>
        </w:rPr>
      </w:pPr>
      <w:r>
        <w:rPr>
          <w:rFonts w:ascii="Arial" w:eastAsia="Arial" w:hAnsi="Arial" w:cs="Arial"/>
          <w:sz w:val="20"/>
          <w:szCs w:val="20"/>
        </w:rPr>
        <w:t>convenience and ease of administration compared to alternative products;</w:t>
      </w:r>
    </w:p>
    <w:p w:rsidR="000728AD" w:rsidRDefault="000728AD">
      <w:pPr>
        <w:spacing w:line="168" w:lineRule="exact"/>
        <w:rPr>
          <w:rFonts w:ascii="Arial" w:eastAsia="Arial" w:hAnsi="Arial" w:cs="Arial"/>
        </w:rPr>
      </w:pPr>
    </w:p>
    <w:p w:rsidR="000728AD" w:rsidRDefault="000561BE">
      <w:pPr>
        <w:numPr>
          <w:ilvl w:val="0"/>
          <w:numId w:val="22"/>
        </w:numPr>
        <w:tabs>
          <w:tab w:val="left" w:pos="660"/>
        </w:tabs>
        <w:ind w:left="660" w:hanging="328"/>
        <w:rPr>
          <w:rFonts w:ascii="Arial" w:eastAsia="Arial" w:hAnsi="Arial" w:cs="Arial"/>
          <w:sz w:val="19"/>
          <w:szCs w:val="19"/>
        </w:rPr>
      </w:pPr>
      <w:r>
        <w:rPr>
          <w:rFonts w:ascii="Arial" w:eastAsia="Arial" w:hAnsi="Arial" w:cs="Arial"/>
          <w:sz w:val="18"/>
          <w:szCs w:val="18"/>
        </w:rPr>
        <w:t>the willingness of the target patient or consumer population to try new drug product candidates or non-drug products, respectively;</w:t>
      </w:r>
    </w:p>
    <w:p w:rsidR="000728AD" w:rsidRDefault="000728AD">
      <w:pPr>
        <w:spacing w:line="173" w:lineRule="exact"/>
        <w:rPr>
          <w:rFonts w:ascii="Arial" w:eastAsia="Arial" w:hAnsi="Arial" w:cs="Arial"/>
          <w:sz w:val="19"/>
          <w:szCs w:val="19"/>
        </w:rPr>
      </w:pPr>
    </w:p>
    <w:p w:rsidR="000728AD" w:rsidRDefault="000561BE">
      <w:pPr>
        <w:numPr>
          <w:ilvl w:val="0"/>
          <w:numId w:val="22"/>
        </w:numPr>
        <w:tabs>
          <w:tab w:val="left" w:pos="640"/>
        </w:tabs>
        <w:ind w:left="640" w:hanging="308"/>
        <w:rPr>
          <w:rFonts w:ascii="Arial" w:eastAsia="Arial" w:hAnsi="Arial" w:cs="Arial"/>
          <w:sz w:val="20"/>
          <w:szCs w:val="20"/>
        </w:rPr>
      </w:pPr>
      <w:r>
        <w:rPr>
          <w:rFonts w:ascii="Arial" w:eastAsia="Arial" w:hAnsi="Arial" w:cs="Arial"/>
          <w:sz w:val="20"/>
          <w:szCs w:val="20"/>
        </w:rPr>
        <w:t>the willingness of physici</w:t>
      </w:r>
      <w:r>
        <w:rPr>
          <w:rFonts w:ascii="Arial" w:eastAsia="Arial" w:hAnsi="Arial" w:cs="Arial"/>
          <w:sz w:val="20"/>
          <w:szCs w:val="20"/>
        </w:rPr>
        <w:t>ans to prescribe our drug product candidates to patients;</w:t>
      </w:r>
    </w:p>
    <w:p w:rsidR="000728AD" w:rsidRDefault="000728AD">
      <w:pPr>
        <w:spacing w:line="161" w:lineRule="exact"/>
        <w:rPr>
          <w:rFonts w:ascii="Arial" w:eastAsia="Arial" w:hAnsi="Arial" w:cs="Arial"/>
          <w:sz w:val="20"/>
          <w:szCs w:val="20"/>
        </w:rPr>
      </w:pPr>
    </w:p>
    <w:p w:rsidR="000728AD" w:rsidRDefault="000561BE">
      <w:pPr>
        <w:numPr>
          <w:ilvl w:val="0"/>
          <w:numId w:val="22"/>
        </w:numPr>
        <w:tabs>
          <w:tab w:val="left" w:pos="640"/>
        </w:tabs>
        <w:ind w:left="640" w:hanging="308"/>
        <w:rPr>
          <w:rFonts w:ascii="Arial" w:eastAsia="Arial" w:hAnsi="Arial" w:cs="Arial"/>
          <w:sz w:val="20"/>
          <w:szCs w:val="20"/>
        </w:rPr>
      </w:pPr>
      <w:r>
        <w:rPr>
          <w:rFonts w:ascii="Arial" w:eastAsia="Arial" w:hAnsi="Arial" w:cs="Arial"/>
          <w:sz w:val="20"/>
          <w:szCs w:val="20"/>
        </w:rPr>
        <w:t>the willingness of healthcare professionals to recommend our non-drug products to consumers;</w:t>
      </w:r>
    </w:p>
    <w:p w:rsidR="000728AD" w:rsidRDefault="000728AD">
      <w:pPr>
        <w:spacing w:line="185" w:lineRule="exact"/>
        <w:rPr>
          <w:rFonts w:ascii="Arial" w:eastAsia="Arial" w:hAnsi="Arial" w:cs="Arial"/>
          <w:sz w:val="20"/>
          <w:szCs w:val="20"/>
        </w:rPr>
      </w:pPr>
    </w:p>
    <w:p w:rsidR="000728AD" w:rsidRDefault="000561BE">
      <w:pPr>
        <w:numPr>
          <w:ilvl w:val="0"/>
          <w:numId w:val="22"/>
        </w:numPr>
        <w:tabs>
          <w:tab w:val="left" w:pos="660"/>
        </w:tabs>
        <w:ind w:left="660" w:hanging="328"/>
        <w:rPr>
          <w:rFonts w:ascii="Arial" w:eastAsia="Arial" w:hAnsi="Arial" w:cs="Arial"/>
        </w:rPr>
      </w:pPr>
      <w:r>
        <w:rPr>
          <w:rFonts w:ascii="Arial" w:eastAsia="Arial" w:hAnsi="Arial" w:cs="Arial"/>
          <w:sz w:val="20"/>
          <w:szCs w:val="20"/>
        </w:rPr>
        <w:t>public perception of new drugs and non-drug products, including our product candidates;</w:t>
      </w:r>
    </w:p>
    <w:p w:rsidR="000728AD" w:rsidRDefault="000728AD">
      <w:pPr>
        <w:spacing w:line="165" w:lineRule="exact"/>
        <w:rPr>
          <w:rFonts w:ascii="Arial" w:eastAsia="Arial" w:hAnsi="Arial" w:cs="Arial"/>
        </w:rPr>
      </w:pPr>
    </w:p>
    <w:p w:rsidR="000728AD" w:rsidRDefault="000561BE">
      <w:pPr>
        <w:numPr>
          <w:ilvl w:val="0"/>
          <w:numId w:val="22"/>
        </w:numPr>
        <w:tabs>
          <w:tab w:val="left" w:pos="660"/>
        </w:tabs>
        <w:ind w:left="660" w:hanging="328"/>
        <w:rPr>
          <w:rFonts w:ascii="Arial" w:eastAsia="Arial" w:hAnsi="Arial" w:cs="Arial"/>
        </w:rPr>
      </w:pPr>
      <w:r>
        <w:rPr>
          <w:rFonts w:ascii="Arial" w:eastAsia="Arial" w:hAnsi="Arial" w:cs="Arial"/>
          <w:sz w:val="20"/>
          <w:szCs w:val="20"/>
        </w:rPr>
        <w:t>the strength o</w:t>
      </w:r>
      <w:r>
        <w:rPr>
          <w:rFonts w:ascii="Arial" w:eastAsia="Arial" w:hAnsi="Arial" w:cs="Arial"/>
          <w:sz w:val="20"/>
          <w:szCs w:val="20"/>
        </w:rPr>
        <w:t>f marketing and distribution support;</w:t>
      </w:r>
    </w:p>
    <w:p w:rsidR="000728AD" w:rsidRDefault="000728AD">
      <w:pPr>
        <w:spacing w:line="165" w:lineRule="exact"/>
        <w:rPr>
          <w:rFonts w:ascii="Arial" w:eastAsia="Arial" w:hAnsi="Arial" w:cs="Arial"/>
        </w:rPr>
      </w:pPr>
    </w:p>
    <w:p w:rsidR="000728AD" w:rsidRDefault="000561BE">
      <w:pPr>
        <w:numPr>
          <w:ilvl w:val="0"/>
          <w:numId w:val="22"/>
        </w:numPr>
        <w:tabs>
          <w:tab w:val="left" w:pos="660"/>
        </w:tabs>
        <w:ind w:left="660" w:hanging="328"/>
        <w:rPr>
          <w:rFonts w:ascii="Arial" w:eastAsia="Arial" w:hAnsi="Arial" w:cs="Arial"/>
        </w:rPr>
      </w:pPr>
      <w:r>
        <w:rPr>
          <w:rFonts w:ascii="Arial" w:eastAsia="Arial" w:hAnsi="Arial" w:cs="Arial"/>
          <w:sz w:val="20"/>
          <w:szCs w:val="20"/>
        </w:rPr>
        <w:t>any impacts to market health as a result of COVID-19;</w:t>
      </w:r>
    </w:p>
    <w:p w:rsidR="000728AD" w:rsidRDefault="000728AD">
      <w:pPr>
        <w:spacing w:line="165" w:lineRule="exact"/>
        <w:rPr>
          <w:rFonts w:ascii="Arial" w:eastAsia="Arial" w:hAnsi="Arial" w:cs="Arial"/>
        </w:rPr>
      </w:pPr>
    </w:p>
    <w:p w:rsidR="000728AD" w:rsidRDefault="000561BE">
      <w:pPr>
        <w:numPr>
          <w:ilvl w:val="0"/>
          <w:numId w:val="22"/>
        </w:numPr>
        <w:tabs>
          <w:tab w:val="left" w:pos="660"/>
        </w:tabs>
        <w:ind w:left="660" w:hanging="328"/>
        <w:rPr>
          <w:rFonts w:ascii="Arial" w:eastAsia="Arial" w:hAnsi="Arial" w:cs="Arial"/>
        </w:rPr>
      </w:pPr>
      <w:r>
        <w:rPr>
          <w:rFonts w:ascii="Arial" w:eastAsia="Arial" w:hAnsi="Arial" w:cs="Arial"/>
          <w:sz w:val="20"/>
          <w:szCs w:val="20"/>
        </w:rPr>
        <w:t>the ability for us to partner in the manufacturing and distribution of these products;</w:t>
      </w:r>
    </w:p>
    <w:p w:rsidR="000728AD" w:rsidRDefault="000728AD">
      <w:pPr>
        <w:spacing w:line="165" w:lineRule="exact"/>
        <w:rPr>
          <w:rFonts w:ascii="Arial" w:eastAsia="Arial" w:hAnsi="Arial" w:cs="Arial"/>
        </w:rPr>
      </w:pPr>
    </w:p>
    <w:p w:rsidR="000728AD" w:rsidRDefault="000561BE">
      <w:pPr>
        <w:numPr>
          <w:ilvl w:val="0"/>
          <w:numId w:val="22"/>
        </w:numPr>
        <w:tabs>
          <w:tab w:val="left" w:pos="660"/>
        </w:tabs>
        <w:ind w:left="660" w:hanging="328"/>
        <w:rPr>
          <w:rFonts w:ascii="Arial" w:eastAsia="Arial" w:hAnsi="Arial" w:cs="Arial"/>
        </w:rPr>
      </w:pPr>
      <w:r>
        <w:rPr>
          <w:rFonts w:ascii="Arial" w:eastAsia="Arial" w:hAnsi="Arial" w:cs="Arial"/>
          <w:sz w:val="20"/>
          <w:szCs w:val="20"/>
        </w:rPr>
        <w:t xml:space="preserve">the ability to offer our products, if approved, as applicable, for </w:t>
      </w:r>
      <w:r>
        <w:rPr>
          <w:rFonts w:ascii="Arial" w:eastAsia="Arial" w:hAnsi="Arial" w:cs="Arial"/>
          <w:sz w:val="20"/>
          <w:szCs w:val="20"/>
        </w:rPr>
        <w:t>sale at competitive prices;</w:t>
      </w:r>
    </w:p>
    <w:p w:rsidR="000728AD" w:rsidRDefault="000728AD">
      <w:pPr>
        <w:spacing w:line="168" w:lineRule="exact"/>
        <w:rPr>
          <w:rFonts w:ascii="Arial" w:eastAsia="Arial" w:hAnsi="Arial" w:cs="Arial"/>
        </w:rPr>
      </w:pPr>
    </w:p>
    <w:p w:rsidR="000728AD" w:rsidRDefault="000561BE">
      <w:pPr>
        <w:numPr>
          <w:ilvl w:val="0"/>
          <w:numId w:val="22"/>
        </w:numPr>
        <w:tabs>
          <w:tab w:val="left" w:pos="655"/>
        </w:tabs>
        <w:spacing w:line="238" w:lineRule="auto"/>
        <w:ind w:left="660" w:right="780" w:hanging="328"/>
        <w:rPr>
          <w:rFonts w:ascii="Arial" w:eastAsia="Arial" w:hAnsi="Arial" w:cs="Arial"/>
        </w:rPr>
      </w:pPr>
      <w:r>
        <w:rPr>
          <w:rFonts w:ascii="Arial" w:eastAsia="Arial" w:hAnsi="Arial" w:cs="Arial"/>
          <w:sz w:val="20"/>
          <w:szCs w:val="20"/>
        </w:rPr>
        <w:t>the ability to obtain sufficient third-party insurance coverage and adequate reimbursement, as applicable depending on the development path we pursue; and</w:t>
      </w:r>
    </w:p>
    <w:p w:rsidR="000728AD" w:rsidRDefault="000728AD">
      <w:pPr>
        <w:spacing w:line="166" w:lineRule="exact"/>
        <w:rPr>
          <w:rFonts w:ascii="Arial" w:eastAsia="Arial" w:hAnsi="Arial" w:cs="Arial"/>
        </w:rPr>
      </w:pPr>
    </w:p>
    <w:p w:rsidR="000728AD" w:rsidRDefault="000561BE">
      <w:pPr>
        <w:numPr>
          <w:ilvl w:val="0"/>
          <w:numId w:val="22"/>
        </w:numPr>
        <w:tabs>
          <w:tab w:val="left" w:pos="660"/>
        </w:tabs>
        <w:ind w:left="660" w:hanging="328"/>
        <w:rPr>
          <w:rFonts w:ascii="Arial" w:eastAsia="Arial" w:hAnsi="Arial" w:cs="Arial"/>
        </w:rPr>
      </w:pPr>
      <w:r>
        <w:rPr>
          <w:rFonts w:ascii="Arial" w:eastAsia="Arial" w:hAnsi="Arial" w:cs="Arial"/>
          <w:sz w:val="20"/>
          <w:szCs w:val="20"/>
        </w:rPr>
        <w:t>the prevalence and severity of any side effects.</w:t>
      </w:r>
    </w:p>
    <w:p w:rsidR="000728AD" w:rsidRDefault="000728AD">
      <w:pPr>
        <w:spacing w:line="195" w:lineRule="exact"/>
        <w:rPr>
          <w:sz w:val="20"/>
          <w:szCs w:val="20"/>
        </w:rPr>
      </w:pPr>
    </w:p>
    <w:p w:rsidR="000728AD" w:rsidRDefault="000561BE">
      <w:pPr>
        <w:rPr>
          <w:sz w:val="20"/>
          <w:szCs w:val="20"/>
        </w:rPr>
      </w:pPr>
      <w:r>
        <w:rPr>
          <w:rFonts w:ascii="Arial" w:eastAsia="Arial" w:hAnsi="Arial" w:cs="Arial"/>
          <w:b/>
          <w:bCs/>
          <w:i/>
          <w:iCs/>
          <w:sz w:val="20"/>
          <w:szCs w:val="20"/>
        </w:rPr>
        <w:t xml:space="preserve">We will need to grow </w:t>
      </w:r>
      <w:r>
        <w:rPr>
          <w:rFonts w:ascii="Arial" w:eastAsia="Arial" w:hAnsi="Arial" w:cs="Arial"/>
          <w:b/>
          <w:bCs/>
          <w:i/>
          <w:iCs/>
          <w:sz w:val="20"/>
          <w:szCs w:val="20"/>
        </w:rPr>
        <w:t>the size of our organization and we may experience difficulties in managing this growth.</w:t>
      </w:r>
    </w:p>
    <w:p w:rsidR="000728AD" w:rsidRDefault="000728AD">
      <w:pPr>
        <w:spacing w:line="216" w:lineRule="exact"/>
        <w:rPr>
          <w:sz w:val="20"/>
          <w:szCs w:val="20"/>
        </w:rPr>
      </w:pPr>
    </w:p>
    <w:p w:rsidR="000728AD" w:rsidRDefault="000561BE">
      <w:pPr>
        <w:spacing w:line="269" w:lineRule="auto"/>
        <w:rPr>
          <w:sz w:val="20"/>
          <w:szCs w:val="20"/>
        </w:rPr>
      </w:pPr>
      <w:r>
        <w:rPr>
          <w:rFonts w:ascii="Arial" w:eastAsia="Arial" w:hAnsi="Arial" w:cs="Arial"/>
          <w:sz w:val="19"/>
          <w:szCs w:val="19"/>
        </w:rPr>
        <w:t xml:space="preserve">As our research, development, manufacturing and commercialization plans and strategies develop, and as we transition into operating as a public company, we expect to </w:t>
      </w:r>
      <w:r>
        <w:rPr>
          <w:rFonts w:ascii="Arial" w:eastAsia="Arial" w:hAnsi="Arial" w:cs="Arial"/>
          <w:sz w:val="19"/>
          <w:szCs w:val="19"/>
        </w:rPr>
        <w:t>need additional managerial, operational, sales, marketing, financial and other personnel. Future growth would impose significant added responsibilities on members of management, including, but not limited to:</w:t>
      </w:r>
    </w:p>
    <w:p w:rsidR="000728AD" w:rsidRDefault="000728AD">
      <w:pPr>
        <w:spacing w:line="194" w:lineRule="exact"/>
        <w:rPr>
          <w:sz w:val="20"/>
          <w:szCs w:val="20"/>
        </w:rPr>
      </w:pPr>
    </w:p>
    <w:p w:rsidR="000728AD" w:rsidRDefault="000561BE">
      <w:pPr>
        <w:numPr>
          <w:ilvl w:val="0"/>
          <w:numId w:val="23"/>
        </w:numPr>
        <w:tabs>
          <w:tab w:val="left" w:pos="660"/>
        </w:tabs>
        <w:ind w:left="660" w:hanging="328"/>
        <w:rPr>
          <w:rFonts w:ascii="Arial" w:eastAsia="Arial" w:hAnsi="Arial" w:cs="Arial"/>
        </w:rPr>
      </w:pPr>
      <w:r>
        <w:rPr>
          <w:rFonts w:ascii="Arial" w:eastAsia="Arial" w:hAnsi="Arial" w:cs="Arial"/>
          <w:sz w:val="20"/>
          <w:szCs w:val="20"/>
        </w:rPr>
        <w:t>identifying, recruiting, compensating, integra</w:t>
      </w:r>
      <w:r>
        <w:rPr>
          <w:rFonts w:ascii="Arial" w:eastAsia="Arial" w:hAnsi="Arial" w:cs="Arial"/>
          <w:sz w:val="20"/>
          <w:szCs w:val="20"/>
        </w:rPr>
        <w:t>ting, maintaining and motivating additional employees;</w:t>
      </w:r>
    </w:p>
    <w:p w:rsidR="000728AD" w:rsidRDefault="000728AD">
      <w:pPr>
        <w:spacing w:line="168" w:lineRule="exact"/>
        <w:rPr>
          <w:rFonts w:ascii="Arial" w:eastAsia="Arial" w:hAnsi="Arial" w:cs="Arial"/>
        </w:rPr>
      </w:pPr>
    </w:p>
    <w:p w:rsidR="000728AD" w:rsidRDefault="000561BE">
      <w:pPr>
        <w:numPr>
          <w:ilvl w:val="0"/>
          <w:numId w:val="23"/>
        </w:numPr>
        <w:tabs>
          <w:tab w:val="left" w:pos="655"/>
        </w:tabs>
        <w:spacing w:line="238" w:lineRule="auto"/>
        <w:ind w:left="660" w:right="500" w:hanging="328"/>
        <w:jc w:val="both"/>
        <w:rPr>
          <w:rFonts w:ascii="Arial" w:eastAsia="Arial" w:hAnsi="Arial" w:cs="Arial"/>
        </w:rPr>
      </w:pPr>
      <w:r>
        <w:rPr>
          <w:rFonts w:ascii="Arial" w:eastAsia="Arial" w:hAnsi="Arial" w:cs="Arial"/>
          <w:sz w:val="20"/>
          <w:szCs w:val="20"/>
        </w:rPr>
        <w:t xml:space="preserve">managing our internal research and development efforts effectively, including identification of clinical candidates, scaling our manufacturing process and navigating product candidate clinical </w:t>
      </w:r>
      <w:r>
        <w:rPr>
          <w:rFonts w:ascii="Arial" w:eastAsia="Arial" w:hAnsi="Arial" w:cs="Arial"/>
          <w:sz w:val="20"/>
          <w:szCs w:val="20"/>
        </w:rPr>
        <w:t>development and the FDA’s, or other comparable regulatory agency’s, review process for our product candidates; and</w:t>
      </w:r>
    </w:p>
    <w:p w:rsidR="000728AD" w:rsidRDefault="000728AD">
      <w:pPr>
        <w:spacing w:line="167" w:lineRule="exact"/>
        <w:rPr>
          <w:rFonts w:ascii="Arial" w:eastAsia="Arial" w:hAnsi="Arial" w:cs="Arial"/>
        </w:rPr>
      </w:pPr>
    </w:p>
    <w:p w:rsidR="000728AD" w:rsidRDefault="000561BE">
      <w:pPr>
        <w:numPr>
          <w:ilvl w:val="0"/>
          <w:numId w:val="23"/>
        </w:numPr>
        <w:tabs>
          <w:tab w:val="left" w:pos="660"/>
        </w:tabs>
        <w:ind w:left="660" w:hanging="328"/>
        <w:rPr>
          <w:rFonts w:ascii="Arial" w:eastAsia="Arial" w:hAnsi="Arial" w:cs="Arial"/>
        </w:rPr>
      </w:pPr>
      <w:r>
        <w:rPr>
          <w:rFonts w:ascii="Arial" w:eastAsia="Arial" w:hAnsi="Arial" w:cs="Arial"/>
          <w:sz w:val="20"/>
          <w:szCs w:val="20"/>
        </w:rPr>
        <w:t>improving our operational, financial and management controls, reporting systems and procedures.</w:t>
      </w:r>
    </w:p>
    <w:p w:rsidR="000728AD" w:rsidRDefault="000728AD">
      <w:pPr>
        <w:spacing w:line="195" w:lineRule="exact"/>
        <w:rPr>
          <w:sz w:val="20"/>
          <w:szCs w:val="20"/>
        </w:rPr>
      </w:pPr>
    </w:p>
    <w:p w:rsidR="000728AD" w:rsidRDefault="000561BE">
      <w:pPr>
        <w:spacing w:line="269" w:lineRule="auto"/>
        <w:ind w:right="160"/>
        <w:jc w:val="both"/>
        <w:rPr>
          <w:sz w:val="20"/>
          <w:szCs w:val="20"/>
        </w:rPr>
      </w:pPr>
      <w:r>
        <w:rPr>
          <w:rFonts w:ascii="Arial" w:eastAsia="Arial" w:hAnsi="Arial" w:cs="Arial"/>
          <w:sz w:val="19"/>
          <w:szCs w:val="19"/>
        </w:rPr>
        <w:t>Our future financial performance and our ab</w:t>
      </w:r>
      <w:r>
        <w:rPr>
          <w:rFonts w:ascii="Arial" w:eastAsia="Arial" w:hAnsi="Arial" w:cs="Arial"/>
          <w:sz w:val="19"/>
          <w:szCs w:val="19"/>
        </w:rPr>
        <w:t>ility to commercialize our product candidates will depend, in part, on our ability to effectively manage any future growth, and our management may also have to divert a disproportionate amount of its attention away from day-to-day activities in order to de</w:t>
      </w:r>
      <w:r>
        <w:rPr>
          <w:rFonts w:ascii="Arial" w:eastAsia="Arial" w:hAnsi="Arial" w:cs="Arial"/>
          <w:sz w:val="19"/>
          <w:szCs w:val="19"/>
        </w:rPr>
        <w:t>vote a substantial amount of time to managing these growth activities.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66" w:lineRule="exact"/>
        <w:rPr>
          <w:sz w:val="20"/>
          <w:szCs w:val="20"/>
        </w:rPr>
      </w:pPr>
    </w:p>
    <w:p w:rsidR="000728AD" w:rsidRDefault="000561BE">
      <w:pPr>
        <w:ind w:right="-139"/>
        <w:jc w:val="center"/>
        <w:rPr>
          <w:sz w:val="20"/>
          <w:szCs w:val="20"/>
        </w:rPr>
      </w:pPr>
      <w:r>
        <w:rPr>
          <w:rFonts w:ascii="Arial" w:eastAsia="Arial" w:hAnsi="Arial" w:cs="Arial"/>
          <w:sz w:val="18"/>
          <w:szCs w:val="18"/>
        </w:rPr>
        <w:t>50</w:t>
      </w:r>
    </w:p>
    <w:p w:rsidR="000728AD" w:rsidRDefault="000561BE">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479" w:bottom="1440" w:left="320" w:header="0" w:footer="0" w:gutter="0"/>
          <w:cols w:space="720" w:equalWidth="0">
            <w:col w:w="11100"/>
          </w:cols>
        </w:sectPr>
      </w:pPr>
    </w:p>
    <w:bookmarkStart w:id="51" w:name="page51"/>
    <w:bookmarkEnd w:id="51"/>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311" w:lineRule="auto"/>
        <w:ind w:right="60"/>
        <w:rPr>
          <w:sz w:val="20"/>
          <w:szCs w:val="20"/>
        </w:rPr>
      </w:pPr>
      <w:r>
        <w:rPr>
          <w:rFonts w:ascii="Arial" w:eastAsia="Arial" w:hAnsi="Arial" w:cs="Arial"/>
          <w:sz w:val="16"/>
          <w:szCs w:val="16"/>
        </w:rPr>
        <w:t xml:space="preserve">We currently rely, and for the foreseeable future will continue to rely, in substantial part on </w:t>
      </w:r>
      <w:r>
        <w:rPr>
          <w:rFonts w:ascii="Arial" w:eastAsia="Arial" w:hAnsi="Arial" w:cs="Arial"/>
          <w:sz w:val="16"/>
          <w:szCs w:val="16"/>
        </w:rPr>
        <w:t>certain organizations, advisors and consultants to provide certain services, including many aspects of legal, intellectual property, regulatory affairs, clinical management and manufacturing. There can be no assurance that the services of these organizatio</w:t>
      </w:r>
      <w:r>
        <w:rPr>
          <w:rFonts w:ascii="Arial" w:eastAsia="Arial" w:hAnsi="Arial" w:cs="Arial"/>
          <w:sz w:val="16"/>
          <w:szCs w:val="16"/>
        </w:rPr>
        <w:t xml:space="preserve">ns, advisors and consultants will continue to be available to us on a timely basis when needed or that we can find qualified replacements in a timely manner or at all. In addition, if we are unable to effectively manage our outsourced activities or if the </w:t>
      </w:r>
      <w:r>
        <w:rPr>
          <w:rFonts w:ascii="Arial" w:eastAsia="Arial" w:hAnsi="Arial" w:cs="Arial"/>
          <w:sz w:val="16"/>
          <w:szCs w:val="16"/>
        </w:rPr>
        <w:t>quality or accuracy of the services provided by consultants is compromised for any reason, our clinical development may be extended, delayed or terminated, and we may not be able to obtain regulatory approval for our product candidates, if required, or oth</w:t>
      </w:r>
      <w:r>
        <w:rPr>
          <w:rFonts w:ascii="Arial" w:eastAsia="Arial" w:hAnsi="Arial" w:cs="Arial"/>
          <w:sz w:val="16"/>
          <w:szCs w:val="16"/>
        </w:rPr>
        <w:t xml:space="preserve">erwise advance our business. There can be no assurance that we will be able to manage our existing consultants or find other competent outside contractors and consultants, or key employees to provide needed services on economically reasonable terms, or at </w:t>
      </w:r>
      <w:r>
        <w:rPr>
          <w:rFonts w:ascii="Arial" w:eastAsia="Arial" w:hAnsi="Arial" w:cs="Arial"/>
          <w:sz w:val="16"/>
          <w:szCs w:val="16"/>
        </w:rPr>
        <w:t>all.</w:t>
      </w:r>
    </w:p>
    <w:p w:rsidR="000728AD" w:rsidRDefault="000728AD">
      <w:pPr>
        <w:spacing w:line="145" w:lineRule="exact"/>
        <w:rPr>
          <w:sz w:val="20"/>
          <w:szCs w:val="20"/>
        </w:rPr>
      </w:pPr>
    </w:p>
    <w:p w:rsidR="000728AD" w:rsidRDefault="000561BE">
      <w:pPr>
        <w:spacing w:line="250" w:lineRule="auto"/>
        <w:ind w:right="140"/>
        <w:rPr>
          <w:sz w:val="20"/>
          <w:szCs w:val="20"/>
        </w:rPr>
      </w:pPr>
      <w:r>
        <w:rPr>
          <w:rFonts w:ascii="Arial" w:eastAsia="Arial" w:hAnsi="Arial" w:cs="Arial"/>
          <w:sz w:val="20"/>
          <w:szCs w:val="20"/>
        </w:rPr>
        <w:t xml:space="preserve">If we are not able to effectively expand our organization by hiring new employees and expanding our groups of consultants and contractors, we may not be able to successfully implement the tasks necessary to further develop and </w:t>
      </w:r>
      <w:r>
        <w:rPr>
          <w:rFonts w:ascii="Arial" w:eastAsia="Arial" w:hAnsi="Arial" w:cs="Arial"/>
          <w:sz w:val="20"/>
          <w:szCs w:val="20"/>
        </w:rPr>
        <w:t>commercialize our product candidates and, accordingly, may not achieve our research, development and commercialization goals.</w:t>
      </w:r>
    </w:p>
    <w:p w:rsidR="000728AD" w:rsidRDefault="000728AD">
      <w:pPr>
        <w:spacing w:line="186" w:lineRule="exact"/>
        <w:rPr>
          <w:sz w:val="20"/>
          <w:szCs w:val="20"/>
        </w:rPr>
      </w:pPr>
    </w:p>
    <w:p w:rsidR="000728AD" w:rsidRDefault="000561BE">
      <w:pPr>
        <w:spacing w:line="385" w:lineRule="auto"/>
        <w:ind w:right="380"/>
        <w:rPr>
          <w:sz w:val="20"/>
          <w:szCs w:val="20"/>
        </w:rPr>
      </w:pPr>
      <w:r>
        <w:rPr>
          <w:rFonts w:ascii="Arial" w:eastAsia="Arial" w:hAnsi="Arial" w:cs="Arial"/>
          <w:b/>
          <w:bCs/>
          <w:i/>
          <w:iCs/>
          <w:sz w:val="16"/>
          <w:szCs w:val="16"/>
        </w:rPr>
        <w:t>Our current operations are located in Massachusetts; and we or the third parties upon whom we depend may be adversely affected by</w:t>
      </w:r>
      <w:r>
        <w:rPr>
          <w:rFonts w:ascii="Arial" w:eastAsia="Arial" w:hAnsi="Arial" w:cs="Arial"/>
          <w:b/>
          <w:bCs/>
          <w:i/>
          <w:iCs/>
          <w:sz w:val="16"/>
          <w:szCs w:val="16"/>
        </w:rPr>
        <w:t xml:space="preserve"> natural disasters and our business continuity and disaster recovery plans may not adequately protect us from a serious disaster.</w:t>
      </w:r>
    </w:p>
    <w:p w:rsidR="000728AD" w:rsidRDefault="000728AD">
      <w:pPr>
        <w:spacing w:line="85" w:lineRule="exact"/>
        <w:rPr>
          <w:sz w:val="20"/>
          <w:szCs w:val="20"/>
        </w:rPr>
      </w:pPr>
    </w:p>
    <w:p w:rsidR="000728AD" w:rsidRDefault="000561BE">
      <w:pPr>
        <w:spacing w:line="268" w:lineRule="auto"/>
        <w:rPr>
          <w:sz w:val="20"/>
          <w:szCs w:val="20"/>
        </w:rPr>
      </w:pPr>
      <w:r>
        <w:rPr>
          <w:rFonts w:ascii="Arial" w:eastAsia="Arial" w:hAnsi="Arial" w:cs="Arial"/>
          <w:sz w:val="18"/>
          <w:szCs w:val="18"/>
        </w:rPr>
        <w:t>Our current operations are located in Massachusetts. Any unplanned event, such as flood, fire, explosion, earthquake, extreme</w:t>
      </w:r>
      <w:r>
        <w:rPr>
          <w:rFonts w:ascii="Arial" w:eastAsia="Arial" w:hAnsi="Arial" w:cs="Arial"/>
          <w:sz w:val="18"/>
          <w:szCs w:val="18"/>
        </w:rPr>
        <w:t xml:space="preserve"> weather condition, medical epidemics, including any potential effects from COVID-19, power shortage, telecommunication failure or other natural or man-made accidents or incidents that result in us being unable to fully utilize our facilities, or the manuf</w:t>
      </w:r>
      <w:r>
        <w:rPr>
          <w:rFonts w:ascii="Arial" w:eastAsia="Arial" w:hAnsi="Arial" w:cs="Arial"/>
          <w:sz w:val="18"/>
          <w:szCs w:val="18"/>
        </w:rPr>
        <w:t>acturing facilities of our third-party contract manufacturers, may have a material and adverse effect on our ability to operate our business, particularly on a daily basis, and have significant negative consequences on our financial and operating condition</w:t>
      </w:r>
      <w:r>
        <w:rPr>
          <w:rFonts w:ascii="Arial" w:eastAsia="Arial" w:hAnsi="Arial" w:cs="Arial"/>
          <w:sz w:val="18"/>
          <w:szCs w:val="18"/>
        </w:rPr>
        <w:t>s. Loss of access to these facilities may result in increased costs, delays in the development of our product candidates or interruption of our business operations. Natural disasters or pandemics such as the COVID-19 pandemic could further disrupt our oper</w:t>
      </w:r>
      <w:r>
        <w:rPr>
          <w:rFonts w:ascii="Arial" w:eastAsia="Arial" w:hAnsi="Arial" w:cs="Arial"/>
          <w:sz w:val="18"/>
          <w:szCs w:val="18"/>
        </w:rPr>
        <w:t>ations and have a material and adverse effect on our business, financial condition, results of operations and prospects. For example, we have instituted a temporary work from home policy for non-essential office personnel and it is possible that this could</w:t>
      </w:r>
      <w:r>
        <w:rPr>
          <w:rFonts w:ascii="Arial" w:eastAsia="Arial" w:hAnsi="Arial" w:cs="Arial"/>
          <w:sz w:val="18"/>
          <w:szCs w:val="18"/>
        </w:rPr>
        <w:t xml:space="preserve"> have a negative impact on the execution of our business plans and operations. If a natural disaster, power outage or other event occurred that prevented us from using all or a significant portion of our headquarters, that damaged critical infrastructure, </w:t>
      </w:r>
      <w:r>
        <w:rPr>
          <w:rFonts w:ascii="Arial" w:eastAsia="Arial" w:hAnsi="Arial" w:cs="Arial"/>
          <w:sz w:val="18"/>
          <w:szCs w:val="18"/>
        </w:rPr>
        <w:t>such as our research facilities or the manufacturing facilities of our third-party contract manufacturers, or that otherwise disrupted operations, it may be difficult or, in certain cases, impossible, for us to continue our business for a substantial perio</w:t>
      </w:r>
      <w:r>
        <w:rPr>
          <w:rFonts w:ascii="Arial" w:eastAsia="Arial" w:hAnsi="Arial" w:cs="Arial"/>
          <w:sz w:val="18"/>
          <w:szCs w:val="18"/>
        </w:rPr>
        <w:t>d of time. The disaster recovery and business continuity plans we have in place may prove inadequate in the event of a serious disaster or similar event. We may incur substantial expenses as a result of the limited nature of our disaster recovery and busin</w:t>
      </w:r>
      <w:r>
        <w:rPr>
          <w:rFonts w:ascii="Arial" w:eastAsia="Arial" w:hAnsi="Arial" w:cs="Arial"/>
          <w:sz w:val="18"/>
          <w:szCs w:val="18"/>
        </w:rPr>
        <w:t>ess continuity plans, which could have a material adverse effect on our business. As part of our risk management policy, we maintain insurance coverage at levels that we believe are appropriate for our business. However, in the event of an accident or inci</w:t>
      </w:r>
      <w:r>
        <w:rPr>
          <w:rFonts w:ascii="Arial" w:eastAsia="Arial" w:hAnsi="Arial" w:cs="Arial"/>
          <w:sz w:val="18"/>
          <w:szCs w:val="18"/>
        </w:rPr>
        <w:t>dent at these facilities, we cannot assure our investors that the amounts of insurance will be sufficient to satisfy any damages and losses. If our facilities or the manufacturing facilities of our third-party contract manufacturers are unable to operate b</w:t>
      </w:r>
      <w:r>
        <w:rPr>
          <w:rFonts w:ascii="Arial" w:eastAsia="Arial" w:hAnsi="Arial" w:cs="Arial"/>
          <w:sz w:val="18"/>
          <w:szCs w:val="18"/>
        </w:rPr>
        <w:t>ecause of an accident or incident or for any other reason, even for a short period of time, any or all of our research and development programs may be harmed. Any business interruption may have a material and adverse effect on our business, financial condi</w:t>
      </w:r>
      <w:r>
        <w:rPr>
          <w:rFonts w:ascii="Arial" w:eastAsia="Arial" w:hAnsi="Arial" w:cs="Arial"/>
          <w:sz w:val="18"/>
          <w:szCs w:val="18"/>
        </w:rPr>
        <w:t>tion, results of operations and prospects.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0" w:lineRule="exact"/>
        <w:rPr>
          <w:sz w:val="20"/>
          <w:szCs w:val="20"/>
        </w:rPr>
      </w:pPr>
    </w:p>
    <w:p w:rsidR="000728AD" w:rsidRDefault="000561BE">
      <w:pPr>
        <w:ind w:right="-39"/>
        <w:jc w:val="center"/>
        <w:rPr>
          <w:sz w:val="20"/>
          <w:szCs w:val="20"/>
        </w:rPr>
      </w:pPr>
      <w:r>
        <w:rPr>
          <w:rFonts w:ascii="Arial" w:eastAsia="Arial" w:hAnsi="Arial" w:cs="Arial"/>
          <w:sz w:val="18"/>
          <w:szCs w:val="18"/>
        </w:rPr>
        <w:t>51</w:t>
      </w:r>
    </w:p>
    <w:p w:rsidR="000728AD" w:rsidRDefault="000561BE">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59" w:bottom="1440" w:left="320" w:header="0" w:footer="0" w:gutter="0"/>
          <w:cols w:space="720" w:equalWidth="0">
            <w:col w:w="11220"/>
          </w:cols>
        </w:sectPr>
      </w:pPr>
    </w:p>
    <w:bookmarkStart w:id="52" w:name="page52"/>
    <w:bookmarkEnd w:id="52"/>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rPr>
          <w:sz w:val="20"/>
          <w:szCs w:val="20"/>
        </w:rPr>
      </w:pPr>
      <w:r>
        <w:rPr>
          <w:rFonts w:ascii="Arial" w:eastAsia="Arial" w:hAnsi="Arial" w:cs="Arial"/>
          <w:b/>
          <w:bCs/>
          <w:i/>
          <w:iCs/>
          <w:sz w:val="19"/>
          <w:szCs w:val="19"/>
        </w:rPr>
        <w:t>Business disruptions could seriously harm our future revenue and financial condition and increase our costs and expenses.</w:t>
      </w:r>
    </w:p>
    <w:p w:rsidR="000728AD" w:rsidRDefault="000728AD">
      <w:pPr>
        <w:spacing w:line="227" w:lineRule="exact"/>
        <w:rPr>
          <w:sz w:val="20"/>
          <w:szCs w:val="20"/>
        </w:rPr>
      </w:pPr>
    </w:p>
    <w:p w:rsidR="000728AD" w:rsidRDefault="000561BE">
      <w:pPr>
        <w:spacing w:line="271" w:lineRule="auto"/>
        <w:ind w:right="100"/>
        <w:rPr>
          <w:sz w:val="20"/>
          <w:szCs w:val="20"/>
        </w:rPr>
      </w:pPr>
      <w:r>
        <w:rPr>
          <w:rFonts w:ascii="Arial" w:eastAsia="Arial" w:hAnsi="Arial" w:cs="Arial"/>
          <w:sz w:val="18"/>
          <w:szCs w:val="18"/>
        </w:rPr>
        <w:t>Our operation</w:t>
      </w:r>
      <w:r>
        <w:rPr>
          <w:rFonts w:ascii="Arial" w:eastAsia="Arial" w:hAnsi="Arial" w:cs="Arial"/>
          <w:sz w:val="18"/>
          <w:szCs w:val="18"/>
        </w:rPr>
        <w:t>s, and those of our CROs, contract manufacturing organizations, or CMOs, manufacturers of the raw materials used in our product candidates and other contractors and consultants, could be subject to earthquakes, power shortages, telecommunications failures,</w:t>
      </w:r>
      <w:r>
        <w:rPr>
          <w:rFonts w:ascii="Arial" w:eastAsia="Arial" w:hAnsi="Arial" w:cs="Arial"/>
          <w:sz w:val="18"/>
          <w:szCs w:val="18"/>
        </w:rPr>
        <w:t xml:space="preserve"> water shortages, floods, hurricanes, typhoons, derechos, fires, extreme weather conditions, medical epidemics, including the current global spread of COVID-19, and other natural or man-made disasters or business interruptions, for which we are predominant</w:t>
      </w:r>
      <w:r>
        <w:rPr>
          <w:rFonts w:ascii="Arial" w:eastAsia="Arial" w:hAnsi="Arial" w:cs="Arial"/>
          <w:sz w:val="18"/>
          <w:szCs w:val="18"/>
        </w:rPr>
        <w:t>ly self-insured. The occurrence of any of these business disruptions could seriously harm our operations and financial condition and increase our costs and expenses. For our Clinical Studies, we rely on third-party manufacturers to produce our product cand</w:t>
      </w:r>
      <w:r>
        <w:rPr>
          <w:rFonts w:ascii="Arial" w:eastAsia="Arial" w:hAnsi="Arial" w:cs="Arial"/>
          <w:sz w:val="18"/>
          <w:szCs w:val="18"/>
        </w:rPr>
        <w:t>idates, on CROs for conducting various portions of such studies and on various consultants throughout the study process. For materials to be used in any future Clinical Trials, we plan to rely on an external CMO for the entire manufacturing supply chain an</w:t>
      </w:r>
      <w:r>
        <w:rPr>
          <w:rFonts w:ascii="Arial" w:eastAsia="Arial" w:hAnsi="Arial" w:cs="Arial"/>
          <w:sz w:val="18"/>
          <w:szCs w:val="18"/>
        </w:rPr>
        <w:t>d plan to continue using CROs and consultants in connection with conducting such trials. Our ability to obtain supplies of our product candidates and services from CROs and consultants could be disrupted if the operations of these suppliers are affected by</w:t>
      </w:r>
      <w:r>
        <w:rPr>
          <w:rFonts w:ascii="Arial" w:eastAsia="Arial" w:hAnsi="Arial" w:cs="Arial"/>
          <w:sz w:val="18"/>
          <w:szCs w:val="18"/>
        </w:rPr>
        <w:t xml:space="preserve"> a man-made or natural disaster or other business interruption.</w:t>
      </w:r>
    </w:p>
    <w:p w:rsidR="000728AD" w:rsidRDefault="000728AD">
      <w:pPr>
        <w:spacing w:line="174" w:lineRule="exact"/>
        <w:rPr>
          <w:sz w:val="20"/>
          <w:szCs w:val="20"/>
        </w:rPr>
      </w:pPr>
    </w:p>
    <w:p w:rsidR="000728AD" w:rsidRDefault="000561BE">
      <w:pPr>
        <w:spacing w:line="260" w:lineRule="auto"/>
        <w:ind w:right="720"/>
        <w:rPr>
          <w:sz w:val="20"/>
          <w:szCs w:val="20"/>
        </w:rPr>
      </w:pPr>
      <w:r>
        <w:rPr>
          <w:rFonts w:ascii="Arial" w:eastAsia="Arial" w:hAnsi="Arial" w:cs="Arial"/>
          <w:b/>
          <w:bCs/>
          <w:i/>
          <w:iCs/>
          <w:sz w:val="20"/>
          <w:szCs w:val="20"/>
        </w:rPr>
        <w:t>Our internal computer systems, or those used by our CROs, CMOs or other contractors or consultants, may fail or suffer security breaches.</w:t>
      </w:r>
    </w:p>
    <w:p w:rsidR="000728AD" w:rsidRDefault="000728AD">
      <w:pPr>
        <w:spacing w:line="177" w:lineRule="exact"/>
        <w:rPr>
          <w:sz w:val="20"/>
          <w:szCs w:val="20"/>
        </w:rPr>
      </w:pPr>
    </w:p>
    <w:p w:rsidR="000728AD" w:rsidRDefault="000561BE">
      <w:pPr>
        <w:spacing w:line="272" w:lineRule="auto"/>
        <w:rPr>
          <w:sz w:val="20"/>
          <w:szCs w:val="20"/>
        </w:rPr>
      </w:pPr>
      <w:r>
        <w:rPr>
          <w:rFonts w:ascii="Arial" w:eastAsia="Arial" w:hAnsi="Arial" w:cs="Arial"/>
          <w:sz w:val="18"/>
          <w:szCs w:val="18"/>
        </w:rPr>
        <w:t xml:space="preserve">Despite the implementation of security </w:t>
      </w:r>
      <w:r>
        <w:rPr>
          <w:rFonts w:ascii="Arial" w:eastAsia="Arial" w:hAnsi="Arial" w:cs="Arial"/>
          <w:sz w:val="18"/>
          <w:szCs w:val="18"/>
        </w:rPr>
        <w:t>measures, our internal computer systems and those of our CROs, CMOs and other contractors and consultants are vulnerable to damage from computer viruses and unauthorized access. While we have not experienced any such material system failure or security bre</w:t>
      </w:r>
      <w:r>
        <w:rPr>
          <w:rFonts w:ascii="Arial" w:eastAsia="Arial" w:hAnsi="Arial" w:cs="Arial"/>
          <w:sz w:val="18"/>
          <w:szCs w:val="18"/>
        </w:rPr>
        <w:t>ach to date, if such an event were to occur and cause interruptions in our operations, it could result in a material disruption of our development programs and our business operations. For example, the loss of data from any future Clinical Trials could res</w:t>
      </w:r>
      <w:r>
        <w:rPr>
          <w:rFonts w:ascii="Arial" w:eastAsia="Arial" w:hAnsi="Arial" w:cs="Arial"/>
          <w:sz w:val="18"/>
          <w:szCs w:val="18"/>
        </w:rPr>
        <w:t>ult in delays in our regulatory approval efforts and significantly increase our costs to recover or reproduce the data. Likewise, we currently rely on third parties for the manufacture of our product candidates, and to conduct Clinical Studies, and similar</w:t>
      </w:r>
      <w:r>
        <w:rPr>
          <w:rFonts w:ascii="Arial" w:eastAsia="Arial" w:hAnsi="Arial" w:cs="Arial"/>
          <w:sz w:val="18"/>
          <w:szCs w:val="18"/>
        </w:rPr>
        <w:t xml:space="preserve"> events relating to their computer systems could also have a material adverse effect on our business. To the extent that any disruption or security breach were to result in a loss of, or damage to, our data or applications, or inappropriate disclosure of c</w:t>
      </w:r>
      <w:r>
        <w:rPr>
          <w:rFonts w:ascii="Arial" w:eastAsia="Arial" w:hAnsi="Arial" w:cs="Arial"/>
          <w:sz w:val="18"/>
          <w:szCs w:val="18"/>
        </w:rPr>
        <w:t>onfidential or proprietary information, we could incur liabilities and the development and commercialization of our product candidates, could be delayed.</w:t>
      </w:r>
    </w:p>
    <w:p w:rsidR="000728AD" w:rsidRDefault="000728AD">
      <w:pPr>
        <w:spacing w:line="170" w:lineRule="exact"/>
        <w:rPr>
          <w:sz w:val="20"/>
          <w:szCs w:val="20"/>
        </w:rPr>
      </w:pPr>
    </w:p>
    <w:p w:rsidR="000728AD" w:rsidRDefault="000561BE">
      <w:pPr>
        <w:spacing w:line="242" w:lineRule="auto"/>
        <w:ind w:right="40"/>
        <w:rPr>
          <w:sz w:val="20"/>
          <w:szCs w:val="20"/>
        </w:rPr>
      </w:pPr>
      <w:r>
        <w:rPr>
          <w:rFonts w:ascii="Arial" w:eastAsia="Arial" w:hAnsi="Arial" w:cs="Arial"/>
          <w:sz w:val="20"/>
          <w:szCs w:val="20"/>
        </w:rPr>
        <w:t xml:space="preserve">Regulatory authorities globally are also imposing greater monetary fines for privacy violations. For </w:t>
      </w:r>
      <w:r>
        <w:rPr>
          <w:rFonts w:ascii="Arial" w:eastAsia="Arial" w:hAnsi="Arial" w:cs="Arial"/>
          <w:sz w:val="20"/>
          <w:szCs w:val="20"/>
        </w:rPr>
        <w:t>example, in 2016, the European Union adopted a new regulation governing data practices and privacy called the General Data Protection Regulation, or GDPR, which became effective on May 25, 2018. The GDPR applies to any company that collects and uses person</w:t>
      </w:r>
      <w:r>
        <w:rPr>
          <w:rFonts w:ascii="Arial" w:eastAsia="Arial" w:hAnsi="Arial" w:cs="Arial"/>
          <w:sz w:val="20"/>
          <w:szCs w:val="20"/>
        </w:rPr>
        <w:t>al data in connection with offering goods or services to individuals in the European Union or the monitoring of their behavior. Non-compliance with the GDPR may result in monetary penalties of up to €20 million or 4% of worldwide revenue, whichever is high</w:t>
      </w:r>
      <w:r>
        <w:rPr>
          <w:rFonts w:ascii="Arial" w:eastAsia="Arial" w:hAnsi="Arial" w:cs="Arial"/>
          <w:sz w:val="20"/>
          <w:szCs w:val="20"/>
        </w:rPr>
        <w:t>er. The GDPR and other changes in laws or regulations associated with the enhanced protection of certain types of personal data, such as healthcare data or other sensitive information, could greatly increase the cost of providing our product candidates, if</w:t>
      </w:r>
      <w:r>
        <w:rPr>
          <w:rFonts w:ascii="Arial" w:eastAsia="Arial" w:hAnsi="Arial" w:cs="Arial"/>
          <w:sz w:val="20"/>
          <w:szCs w:val="20"/>
        </w:rPr>
        <w:t xml:space="preserve"> approved, or even prevent us from offering our product candidates, if approved, in certain jurisdictions.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93" w:lineRule="exact"/>
        <w:rPr>
          <w:sz w:val="20"/>
          <w:szCs w:val="20"/>
        </w:rPr>
      </w:pPr>
    </w:p>
    <w:p w:rsidR="000728AD" w:rsidRDefault="000561BE">
      <w:pPr>
        <w:ind w:right="-19"/>
        <w:jc w:val="center"/>
        <w:rPr>
          <w:sz w:val="20"/>
          <w:szCs w:val="20"/>
        </w:rPr>
      </w:pPr>
      <w:r>
        <w:rPr>
          <w:rFonts w:ascii="Arial" w:eastAsia="Arial" w:hAnsi="Arial" w:cs="Arial"/>
          <w:sz w:val="18"/>
          <w:szCs w:val="18"/>
        </w:rPr>
        <w:t>52</w:t>
      </w:r>
    </w:p>
    <w:p w:rsidR="000728AD" w:rsidRDefault="000561BE">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53" w:name="page53"/>
    <w:bookmarkEnd w:id="53"/>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60" w:lineRule="auto"/>
        <w:ind w:right="340"/>
        <w:rPr>
          <w:sz w:val="20"/>
          <w:szCs w:val="20"/>
        </w:rPr>
      </w:pPr>
      <w:r>
        <w:rPr>
          <w:rFonts w:ascii="Arial" w:eastAsia="Arial" w:hAnsi="Arial" w:cs="Arial"/>
          <w:b/>
          <w:bCs/>
          <w:i/>
          <w:iCs/>
          <w:sz w:val="20"/>
          <w:szCs w:val="20"/>
        </w:rPr>
        <w:t>Our employees, independent contractors, consultants, commercial partners</w:t>
      </w:r>
      <w:r>
        <w:rPr>
          <w:rFonts w:ascii="Arial" w:eastAsia="Arial" w:hAnsi="Arial" w:cs="Arial"/>
          <w:b/>
          <w:bCs/>
          <w:i/>
          <w:iCs/>
          <w:sz w:val="20"/>
          <w:szCs w:val="20"/>
        </w:rPr>
        <w:t xml:space="preserve"> and vendors may engage in misconduct or other improper activities, including noncompliance with regulatory standards and requirements.</w:t>
      </w:r>
    </w:p>
    <w:p w:rsidR="000728AD" w:rsidRDefault="000728AD">
      <w:pPr>
        <w:spacing w:line="177" w:lineRule="exact"/>
        <w:rPr>
          <w:sz w:val="20"/>
          <w:szCs w:val="20"/>
        </w:rPr>
      </w:pPr>
    </w:p>
    <w:p w:rsidR="000728AD" w:rsidRDefault="000561BE">
      <w:pPr>
        <w:spacing w:line="271" w:lineRule="auto"/>
        <w:ind w:right="20"/>
        <w:rPr>
          <w:sz w:val="20"/>
          <w:szCs w:val="20"/>
        </w:rPr>
      </w:pPr>
      <w:r>
        <w:rPr>
          <w:rFonts w:ascii="Arial" w:eastAsia="Arial" w:hAnsi="Arial" w:cs="Arial"/>
          <w:sz w:val="18"/>
          <w:szCs w:val="18"/>
        </w:rPr>
        <w:t>We are exposed to the risk of employee fraud or other illegal activity by our employees, independent contractors, consu</w:t>
      </w:r>
      <w:r>
        <w:rPr>
          <w:rFonts w:ascii="Arial" w:eastAsia="Arial" w:hAnsi="Arial" w:cs="Arial"/>
          <w:sz w:val="18"/>
          <w:szCs w:val="18"/>
        </w:rPr>
        <w:t xml:space="preserve">ltants, commercial partners and vendors. Misconduct by these parties could include intentional, reckless or negligent conduct that fails to comply with the laws of the FDA and other similar foreign, state or local regulatory bodies, provide true, complete </w:t>
      </w:r>
      <w:r>
        <w:rPr>
          <w:rFonts w:ascii="Arial" w:eastAsia="Arial" w:hAnsi="Arial" w:cs="Arial"/>
          <w:sz w:val="18"/>
          <w:szCs w:val="18"/>
        </w:rPr>
        <w:t>and accurate information to the FDA and other similar foreign, state or local regulatory bodies, comply with manufacturing standards we have established, comply with healthcare fraud and abuse laws in the United States and similar foreign, state or local f</w:t>
      </w:r>
      <w:r>
        <w:rPr>
          <w:rFonts w:ascii="Arial" w:eastAsia="Arial" w:hAnsi="Arial" w:cs="Arial"/>
          <w:sz w:val="18"/>
          <w:szCs w:val="18"/>
        </w:rPr>
        <w:t>raudulent misconduct laws or report financial information or data accurately or to disclose unauthorized activities to us. If we obtain FDA approval of any of our product candidates, as may be necessary for any product candidates we decide to develop as dr</w:t>
      </w:r>
      <w:r>
        <w:rPr>
          <w:rFonts w:ascii="Arial" w:eastAsia="Arial" w:hAnsi="Arial" w:cs="Arial"/>
          <w:sz w:val="18"/>
          <w:szCs w:val="18"/>
        </w:rPr>
        <w:t>ugs, or otherwise able to commercialize those products in the United States, our potential exposure under such laws will increase significantly, and our costs associated with compliance with such laws are also likely to increase. These laws may impact, amo</w:t>
      </w:r>
      <w:r>
        <w:rPr>
          <w:rFonts w:ascii="Arial" w:eastAsia="Arial" w:hAnsi="Arial" w:cs="Arial"/>
          <w:sz w:val="18"/>
          <w:szCs w:val="18"/>
        </w:rPr>
        <w:t>ng other things, our current activities with principal investigators and research subjects, as well as proposed and future sales, marketing and education programs.</w:t>
      </w:r>
    </w:p>
    <w:p w:rsidR="000728AD" w:rsidRDefault="000728AD">
      <w:pPr>
        <w:spacing w:line="174" w:lineRule="exact"/>
        <w:rPr>
          <w:sz w:val="20"/>
          <w:szCs w:val="20"/>
        </w:rPr>
      </w:pPr>
    </w:p>
    <w:p w:rsidR="000728AD" w:rsidRDefault="000561BE">
      <w:pPr>
        <w:spacing w:line="260" w:lineRule="auto"/>
        <w:ind w:right="460"/>
        <w:rPr>
          <w:sz w:val="20"/>
          <w:szCs w:val="20"/>
        </w:rPr>
      </w:pPr>
      <w:r>
        <w:rPr>
          <w:rFonts w:ascii="Arial" w:eastAsia="Arial" w:hAnsi="Arial" w:cs="Arial"/>
          <w:b/>
          <w:bCs/>
          <w:i/>
          <w:iCs/>
          <w:sz w:val="20"/>
          <w:szCs w:val="20"/>
        </w:rPr>
        <w:t xml:space="preserve">A variety of risks associated with testing and developing our product candidates </w:t>
      </w:r>
      <w:r>
        <w:rPr>
          <w:rFonts w:ascii="Arial" w:eastAsia="Arial" w:hAnsi="Arial" w:cs="Arial"/>
          <w:b/>
          <w:bCs/>
          <w:i/>
          <w:iCs/>
          <w:sz w:val="20"/>
          <w:szCs w:val="20"/>
        </w:rPr>
        <w:t>internationally could materially adversely affect our business.</w:t>
      </w:r>
    </w:p>
    <w:p w:rsidR="000728AD" w:rsidRDefault="000728AD">
      <w:pPr>
        <w:spacing w:line="177" w:lineRule="exact"/>
        <w:rPr>
          <w:sz w:val="20"/>
          <w:szCs w:val="20"/>
        </w:rPr>
      </w:pPr>
    </w:p>
    <w:p w:rsidR="000728AD" w:rsidRDefault="000561BE">
      <w:pPr>
        <w:spacing w:line="250" w:lineRule="auto"/>
        <w:ind w:right="300"/>
        <w:jc w:val="both"/>
        <w:rPr>
          <w:sz w:val="20"/>
          <w:szCs w:val="20"/>
        </w:rPr>
      </w:pPr>
      <w:r>
        <w:rPr>
          <w:rFonts w:ascii="Arial" w:eastAsia="Arial" w:hAnsi="Arial" w:cs="Arial"/>
          <w:sz w:val="20"/>
          <w:szCs w:val="20"/>
        </w:rPr>
        <w:t>In addition to researching, developing and commercializing our product candidates in the United States, we also intend to engage in these activities outside of the United States and, accordin</w:t>
      </w:r>
      <w:r>
        <w:rPr>
          <w:rFonts w:ascii="Arial" w:eastAsia="Arial" w:hAnsi="Arial" w:cs="Arial"/>
          <w:sz w:val="20"/>
          <w:szCs w:val="20"/>
        </w:rPr>
        <w:t>gly, we expect that we will be subject to additional risks related to operating in foreign countries, if our product candidates are approved, including, but not limited to:</w:t>
      </w:r>
    </w:p>
    <w:p w:rsidR="000728AD" w:rsidRDefault="000728AD">
      <w:pPr>
        <w:spacing w:line="210" w:lineRule="exact"/>
        <w:rPr>
          <w:sz w:val="20"/>
          <w:szCs w:val="20"/>
        </w:rPr>
      </w:pPr>
    </w:p>
    <w:p w:rsidR="000728AD" w:rsidRDefault="000561BE">
      <w:pPr>
        <w:numPr>
          <w:ilvl w:val="0"/>
          <w:numId w:val="24"/>
        </w:numPr>
        <w:tabs>
          <w:tab w:val="left" w:pos="660"/>
        </w:tabs>
        <w:ind w:left="660" w:hanging="328"/>
        <w:rPr>
          <w:rFonts w:ascii="Arial" w:eastAsia="Arial" w:hAnsi="Arial" w:cs="Arial"/>
        </w:rPr>
      </w:pPr>
      <w:r>
        <w:rPr>
          <w:rFonts w:ascii="Arial" w:eastAsia="Arial" w:hAnsi="Arial" w:cs="Arial"/>
          <w:sz w:val="20"/>
          <w:szCs w:val="20"/>
        </w:rPr>
        <w:t>differing regulatory requirements in foreign countries;</w:t>
      </w:r>
    </w:p>
    <w:p w:rsidR="000728AD" w:rsidRDefault="000728AD">
      <w:pPr>
        <w:spacing w:line="165" w:lineRule="exact"/>
        <w:rPr>
          <w:rFonts w:ascii="Arial" w:eastAsia="Arial" w:hAnsi="Arial" w:cs="Arial"/>
        </w:rPr>
      </w:pPr>
    </w:p>
    <w:p w:rsidR="000728AD" w:rsidRDefault="000561BE">
      <w:pPr>
        <w:numPr>
          <w:ilvl w:val="0"/>
          <w:numId w:val="24"/>
        </w:numPr>
        <w:tabs>
          <w:tab w:val="left" w:pos="660"/>
        </w:tabs>
        <w:ind w:left="660" w:hanging="328"/>
        <w:rPr>
          <w:rFonts w:ascii="Arial" w:eastAsia="Arial" w:hAnsi="Arial" w:cs="Arial"/>
        </w:rPr>
      </w:pPr>
      <w:r>
        <w:rPr>
          <w:rFonts w:ascii="Arial" w:eastAsia="Arial" w:hAnsi="Arial" w:cs="Arial"/>
          <w:sz w:val="20"/>
          <w:szCs w:val="20"/>
        </w:rPr>
        <w:t>unexpected changes in tar</w:t>
      </w:r>
      <w:r>
        <w:rPr>
          <w:rFonts w:ascii="Arial" w:eastAsia="Arial" w:hAnsi="Arial" w:cs="Arial"/>
          <w:sz w:val="20"/>
          <w:szCs w:val="20"/>
        </w:rPr>
        <w:t>iffs, trade barriers, price and exchange controls and other regulatory requirements;</w:t>
      </w:r>
    </w:p>
    <w:p w:rsidR="000728AD" w:rsidRDefault="000728AD">
      <w:pPr>
        <w:spacing w:line="165" w:lineRule="exact"/>
        <w:rPr>
          <w:rFonts w:ascii="Arial" w:eastAsia="Arial" w:hAnsi="Arial" w:cs="Arial"/>
        </w:rPr>
      </w:pPr>
    </w:p>
    <w:p w:rsidR="000728AD" w:rsidRDefault="000561BE">
      <w:pPr>
        <w:numPr>
          <w:ilvl w:val="0"/>
          <w:numId w:val="24"/>
        </w:numPr>
        <w:tabs>
          <w:tab w:val="left" w:pos="660"/>
        </w:tabs>
        <w:ind w:left="660" w:hanging="328"/>
        <w:rPr>
          <w:rFonts w:ascii="Arial" w:eastAsia="Arial" w:hAnsi="Arial" w:cs="Arial"/>
        </w:rPr>
      </w:pPr>
      <w:r>
        <w:rPr>
          <w:rFonts w:ascii="Arial" w:eastAsia="Arial" w:hAnsi="Arial" w:cs="Arial"/>
          <w:sz w:val="20"/>
          <w:szCs w:val="20"/>
        </w:rPr>
        <w:t>economic weakness, including inflation, or political instability in particular foreign economies and markets;</w:t>
      </w:r>
    </w:p>
    <w:p w:rsidR="000728AD" w:rsidRDefault="000728AD">
      <w:pPr>
        <w:spacing w:line="165" w:lineRule="exact"/>
        <w:rPr>
          <w:rFonts w:ascii="Arial" w:eastAsia="Arial" w:hAnsi="Arial" w:cs="Arial"/>
        </w:rPr>
      </w:pPr>
    </w:p>
    <w:p w:rsidR="000728AD" w:rsidRDefault="000561BE">
      <w:pPr>
        <w:numPr>
          <w:ilvl w:val="0"/>
          <w:numId w:val="24"/>
        </w:numPr>
        <w:tabs>
          <w:tab w:val="left" w:pos="660"/>
        </w:tabs>
        <w:ind w:left="660" w:hanging="328"/>
        <w:rPr>
          <w:rFonts w:ascii="Arial" w:eastAsia="Arial" w:hAnsi="Arial" w:cs="Arial"/>
        </w:rPr>
      </w:pPr>
      <w:r>
        <w:rPr>
          <w:rFonts w:ascii="Arial" w:eastAsia="Arial" w:hAnsi="Arial" w:cs="Arial"/>
          <w:sz w:val="20"/>
          <w:szCs w:val="20"/>
        </w:rPr>
        <w:t>compliance with tax, employment, immigration and labor laws</w:t>
      </w:r>
      <w:r>
        <w:rPr>
          <w:rFonts w:ascii="Arial" w:eastAsia="Arial" w:hAnsi="Arial" w:cs="Arial"/>
          <w:sz w:val="20"/>
          <w:szCs w:val="20"/>
        </w:rPr>
        <w:t xml:space="preserve"> for employees living or traveling abroad;</w:t>
      </w:r>
    </w:p>
    <w:p w:rsidR="000728AD" w:rsidRDefault="000728AD">
      <w:pPr>
        <w:spacing w:line="165" w:lineRule="exact"/>
        <w:rPr>
          <w:rFonts w:ascii="Arial" w:eastAsia="Arial" w:hAnsi="Arial" w:cs="Arial"/>
        </w:rPr>
      </w:pPr>
    </w:p>
    <w:p w:rsidR="000728AD" w:rsidRDefault="000561BE">
      <w:pPr>
        <w:numPr>
          <w:ilvl w:val="0"/>
          <w:numId w:val="24"/>
        </w:numPr>
        <w:tabs>
          <w:tab w:val="left" w:pos="660"/>
        </w:tabs>
        <w:ind w:left="660" w:hanging="328"/>
        <w:rPr>
          <w:rFonts w:ascii="Arial" w:eastAsia="Arial" w:hAnsi="Arial" w:cs="Arial"/>
        </w:rPr>
      </w:pPr>
      <w:r>
        <w:rPr>
          <w:rFonts w:ascii="Arial" w:eastAsia="Arial" w:hAnsi="Arial" w:cs="Arial"/>
          <w:sz w:val="20"/>
          <w:szCs w:val="20"/>
        </w:rPr>
        <w:t>foreign taxes, including withholding of payroll taxes;</w:t>
      </w:r>
    </w:p>
    <w:p w:rsidR="000728AD" w:rsidRDefault="000728AD">
      <w:pPr>
        <w:spacing w:line="168" w:lineRule="exact"/>
        <w:rPr>
          <w:rFonts w:ascii="Arial" w:eastAsia="Arial" w:hAnsi="Arial" w:cs="Arial"/>
        </w:rPr>
      </w:pPr>
    </w:p>
    <w:p w:rsidR="000728AD" w:rsidRDefault="000561BE">
      <w:pPr>
        <w:numPr>
          <w:ilvl w:val="0"/>
          <w:numId w:val="24"/>
        </w:numPr>
        <w:tabs>
          <w:tab w:val="left" w:pos="655"/>
        </w:tabs>
        <w:spacing w:line="238" w:lineRule="auto"/>
        <w:ind w:left="660" w:hanging="328"/>
        <w:rPr>
          <w:rFonts w:ascii="Arial" w:eastAsia="Arial" w:hAnsi="Arial" w:cs="Arial"/>
        </w:rPr>
      </w:pPr>
      <w:r>
        <w:rPr>
          <w:rFonts w:ascii="Arial" w:eastAsia="Arial" w:hAnsi="Arial" w:cs="Arial"/>
          <w:sz w:val="20"/>
          <w:szCs w:val="20"/>
        </w:rPr>
        <w:t>foreign currency fluctuations, which could result in increased operating expenses and reduced revenue, and other obligations incident to doing business in a</w:t>
      </w:r>
      <w:r>
        <w:rPr>
          <w:rFonts w:ascii="Arial" w:eastAsia="Arial" w:hAnsi="Arial" w:cs="Arial"/>
          <w:sz w:val="20"/>
          <w:szCs w:val="20"/>
        </w:rPr>
        <w:t>nother country;</w:t>
      </w:r>
    </w:p>
    <w:p w:rsidR="000728AD" w:rsidRDefault="000728AD">
      <w:pPr>
        <w:spacing w:line="166" w:lineRule="exact"/>
        <w:rPr>
          <w:rFonts w:ascii="Arial" w:eastAsia="Arial" w:hAnsi="Arial" w:cs="Arial"/>
        </w:rPr>
      </w:pPr>
    </w:p>
    <w:p w:rsidR="000728AD" w:rsidRDefault="000561BE">
      <w:pPr>
        <w:numPr>
          <w:ilvl w:val="0"/>
          <w:numId w:val="24"/>
        </w:numPr>
        <w:tabs>
          <w:tab w:val="left" w:pos="660"/>
        </w:tabs>
        <w:ind w:left="660" w:hanging="328"/>
        <w:rPr>
          <w:rFonts w:ascii="Arial" w:eastAsia="Arial" w:hAnsi="Arial" w:cs="Arial"/>
        </w:rPr>
      </w:pPr>
      <w:r>
        <w:rPr>
          <w:rFonts w:ascii="Arial" w:eastAsia="Arial" w:hAnsi="Arial" w:cs="Arial"/>
          <w:sz w:val="20"/>
          <w:szCs w:val="20"/>
        </w:rPr>
        <w:t>difficulties staffing and managing foreign operations;</w:t>
      </w:r>
    </w:p>
    <w:p w:rsidR="000728AD" w:rsidRDefault="000728AD">
      <w:pPr>
        <w:spacing w:line="165" w:lineRule="exact"/>
        <w:rPr>
          <w:rFonts w:ascii="Arial" w:eastAsia="Arial" w:hAnsi="Arial" w:cs="Arial"/>
        </w:rPr>
      </w:pPr>
    </w:p>
    <w:p w:rsidR="000728AD" w:rsidRDefault="000561BE">
      <w:pPr>
        <w:numPr>
          <w:ilvl w:val="0"/>
          <w:numId w:val="24"/>
        </w:numPr>
        <w:tabs>
          <w:tab w:val="left" w:pos="660"/>
        </w:tabs>
        <w:ind w:left="660" w:hanging="328"/>
        <w:rPr>
          <w:rFonts w:ascii="Arial" w:eastAsia="Arial" w:hAnsi="Arial" w:cs="Arial"/>
        </w:rPr>
      </w:pPr>
      <w:r>
        <w:rPr>
          <w:rFonts w:ascii="Arial" w:eastAsia="Arial" w:hAnsi="Arial" w:cs="Arial"/>
          <w:sz w:val="20"/>
          <w:szCs w:val="20"/>
        </w:rPr>
        <w:t>workforce uncertainty in countries where labor unrest is more common than in the United States;</w:t>
      </w:r>
    </w:p>
    <w:p w:rsidR="000728AD" w:rsidRDefault="000728AD">
      <w:pPr>
        <w:spacing w:line="165" w:lineRule="exact"/>
        <w:rPr>
          <w:rFonts w:ascii="Arial" w:eastAsia="Arial" w:hAnsi="Arial" w:cs="Arial"/>
        </w:rPr>
      </w:pPr>
    </w:p>
    <w:p w:rsidR="000728AD" w:rsidRDefault="000561BE">
      <w:pPr>
        <w:numPr>
          <w:ilvl w:val="0"/>
          <w:numId w:val="24"/>
        </w:numPr>
        <w:tabs>
          <w:tab w:val="left" w:pos="660"/>
        </w:tabs>
        <w:ind w:left="660" w:hanging="328"/>
        <w:rPr>
          <w:rFonts w:ascii="Arial" w:eastAsia="Arial" w:hAnsi="Arial" w:cs="Arial"/>
        </w:rPr>
      </w:pPr>
      <w:r>
        <w:rPr>
          <w:rFonts w:ascii="Arial" w:eastAsia="Arial" w:hAnsi="Arial" w:cs="Arial"/>
          <w:sz w:val="20"/>
          <w:szCs w:val="20"/>
        </w:rPr>
        <w:t xml:space="preserve">potential liability under the Foreign Corrupt Practices Act, or FCPA, or </w:t>
      </w:r>
      <w:r>
        <w:rPr>
          <w:rFonts w:ascii="Arial" w:eastAsia="Arial" w:hAnsi="Arial" w:cs="Arial"/>
          <w:sz w:val="20"/>
          <w:szCs w:val="20"/>
        </w:rPr>
        <w:t>comparable foreign regulations;</w:t>
      </w:r>
    </w:p>
    <w:p w:rsidR="000728AD" w:rsidRDefault="000728AD">
      <w:pPr>
        <w:spacing w:line="168" w:lineRule="exact"/>
        <w:rPr>
          <w:rFonts w:ascii="Arial" w:eastAsia="Arial" w:hAnsi="Arial" w:cs="Arial"/>
        </w:rPr>
      </w:pPr>
    </w:p>
    <w:p w:rsidR="000728AD" w:rsidRDefault="000561BE">
      <w:pPr>
        <w:numPr>
          <w:ilvl w:val="0"/>
          <w:numId w:val="24"/>
        </w:numPr>
        <w:tabs>
          <w:tab w:val="left" w:pos="655"/>
        </w:tabs>
        <w:spacing w:line="238" w:lineRule="auto"/>
        <w:ind w:left="660" w:right="400" w:hanging="328"/>
        <w:rPr>
          <w:rFonts w:ascii="Arial" w:eastAsia="Arial" w:hAnsi="Arial" w:cs="Arial"/>
        </w:rPr>
      </w:pPr>
      <w:r>
        <w:rPr>
          <w:rFonts w:ascii="Arial" w:eastAsia="Arial" w:hAnsi="Arial" w:cs="Arial"/>
          <w:sz w:val="20"/>
          <w:szCs w:val="20"/>
        </w:rPr>
        <w:t>challenges enforcing our contractual and intellectual property rights, especially in those foreign countries that do not respect and protect intellectual property rights to the same extent as the United States;</w:t>
      </w:r>
    </w:p>
    <w:p w:rsidR="000728AD" w:rsidRDefault="000728AD">
      <w:pPr>
        <w:spacing w:line="166" w:lineRule="exact"/>
        <w:rPr>
          <w:rFonts w:ascii="Arial" w:eastAsia="Arial" w:hAnsi="Arial" w:cs="Arial"/>
        </w:rPr>
      </w:pPr>
    </w:p>
    <w:p w:rsidR="000728AD" w:rsidRDefault="000561BE">
      <w:pPr>
        <w:numPr>
          <w:ilvl w:val="0"/>
          <w:numId w:val="24"/>
        </w:numPr>
        <w:tabs>
          <w:tab w:val="left" w:pos="660"/>
        </w:tabs>
        <w:ind w:left="660" w:hanging="328"/>
        <w:rPr>
          <w:rFonts w:ascii="Arial" w:eastAsia="Arial" w:hAnsi="Arial" w:cs="Arial"/>
        </w:rPr>
      </w:pPr>
      <w:r>
        <w:rPr>
          <w:rFonts w:ascii="Arial" w:eastAsia="Arial" w:hAnsi="Arial" w:cs="Arial"/>
          <w:sz w:val="20"/>
          <w:szCs w:val="20"/>
        </w:rPr>
        <w:t>production shortages resulting from any events affecting raw material supply or manufacturing capabilities abroad; and</w:t>
      </w:r>
    </w:p>
    <w:p w:rsidR="000728AD" w:rsidRDefault="000728AD">
      <w:pPr>
        <w:spacing w:line="165" w:lineRule="exact"/>
        <w:rPr>
          <w:rFonts w:ascii="Arial" w:eastAsia="Arial" w:hAnsi="Arial" w:cs="Arial"/>
        </w:rPr>
      </w:pPr>
    </w:p>
    <w:p w:rsidR="000728AD" w:rsidRDefault="000561BE">
      <w:pPr>
        <w:numPr>
          <w:ilvl w:val="0"/>
          <w:numId w:val="24"/>
        </w:numPr>
        <w:tabs>
          <w:tab w:val="left" w:pos="660"/>
        </w:tabs>
        <w:ind w:left="660" w:hanging="328"/>
        <w:rPr>
          <w:rFonts w:ascii="Arial" w:eastAsia="Arial" w:hAnsi="Arial" w:cs="Arial"/>
        </w:rPr>
      </w:pPr>
      <w:r>
        <w:rPr>
          <w:rFonts w:ascii="Arial" w:eastAsia="Arial" w:hAnsi="Arial" w:cs="Arial"/>
          <w:sz w:val="20"/>
          <w:szCs w:val="20"/>
        </w:rPr>
        <w:t>business interruptions resulting from geopolitical actions, including war and terrorism.</w:t>
      </w:r>
    </w:p>
    <w:p w:rsidR="000728AD" w:rsidRDefault="000728AD">
      <w:pPr>
        <w:spacing w:line="195" w:lineRule="exact"/>
        <w:rPr>
          <w:sz w:val="20"/>
          <w:szCs w:val="20"/>
        </w:rPr>
      </w:pPr>
    </w:p>
    <w:p w:rsidR="000728AD" w:rsidRDefault="000561BE">
      <w:pPr>
        <w:spacing w:line="250" w:lineRule="auto"/>
        <w:ind w:right="280"/>
        <w:jc w:val="both"/>
        <w:rPr>
          <w:sz w:val="20"/>
          <w:szCs w:val="20"/>
        </w:rPr>
      </w:pPr>
      <w:r>
        <w:rPr>
          <w:rFonts w:ascii="Arial" w:eastAsia="Arial" w:hAnsi="Arial" w:cs="Arial"/>
          <w:sz w:val="20"/>
          <w:szCs w:val="20"/>
        </w:rPr>
        <w:t>Additionally, we intend to contract with third</w:t>
      </w:r>
      <w:r>
        <w:rPr>
          <w:rFonts w:ascii="Arial" w:eastAsia="Arial" w:hAnsi="Arial" w:cs="Arial"/>
          <w:sz w:val="20"/>
          <w:szCs w:val="20"/>
        </w:rPr>
        <w:t xml:space="preserve"> parties to conduct some of our Clinical Studies and Clinical Trials outside the United States, which will subject us to additional risks and regulations. These and other risks associated with our international operations may materially adversely affect ou</w:t>
      </w:r>
      <w:r>
        <w:rPr>
          <w:rFonts w:ascii="Arial" w:eastAsia="Arial" w:hAnsi="Arial" w:cs="Arial"/>
          <w:sz w:val="20"/>
          <w:szCs w:val="20"/>
        </w:rPr>
        <w:t>r ability to attain or maintain profitable operations.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2" w:lineRule="exact"/>
        <w:rPr>
          <w:sz w:val="20"/>
          <w:szCs w:val="20"/>
        </w:rPr>
      </w:pPr>
    </w:p>
    <w:p w:rsidR="000728AD" w:rsidRDefault="000561BE">
      <w:pPr>
        <w:ind w:right="-39"/>
        <w:jc w:val="center"/>
        <w:rPr>
          <w:sz w:val="20"/>
          <w:szCs w:val="20"/>
        </w:rPr>
      </w:pPr>
      <w:r>
        <w:rPr>
          <w:rFonts w:ascii="Arial" w:eastAsia="Arial" w:hAnsi="Arial" w:cs="Arial"/>
          <w:sz w:val="18"/>
          <w:szCs w:val="18"/>
        </w:rPr>
        <w:t>53</w:t>
      </w:r>
    </w:p>
    <w:p w:rsidR="000728AD" w:rsidRDefault="000561BE">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59" w:bottom="1440" w:left="320" w:header="0" w:footer="0" w:gutter="0"/>
          <w:cols w:space="720" w:equalWidth="0">
            <w:col w:w="11220"/>
          </w:cols>
        </w:sectPr>
      </w:pPr>
    </w:p>
    <w:bookmarkStart w:id="54" w:name="page54"/>
    <w:bookmarkEnd w:id="54"/>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rPr>
          <w:sz w:val="20"/>
          <w:szCs w:val="20"/>
        </w:rPr>
      </w:pPr>
      <w:r>
        <w:rPr>
          <w:rFonts w:ascii="Arial" w:eastAsia="Arial" w:hAnsi="Arial" w:cs="Arial"/>
          <w:b/>
          <w:bCs/>
          <w:i/>
          <w:iCs/>
          <w:sz w:val="20"/>
          <w:szCs w:val="20"/>
        </w:rPr>
        <w:t>Changes in tax law could adversely affect our business and financial condition.</w:t>
      </w:r>
    </w:p>
    <w:p w:rsidR="000728AD" w:rsidRDefault="000728AD">
      <w:pPr>
        <w:spacing w:line="216" w:lineRule="exact"/>
        <w:rPr>
          <w:sz w:val="20"/>
          <w:szCs w:val="20"/>
        </w:rPr>
      </w:pPr>
    </w:p>
    <w:p w:rsidR="000728AD" w:rsidRDefault="000561BE">
      <w:pPr>
        <w:spacing w:line="259" w:lineRule="auto"/>
        <w:ind w:right="120"/>
        <w:rPr>
          <w:sz w:val="20"/>
          <w:szCs w:val="20"/>
        </w:rPr>
      </w:pPr>
      <w:r>
        <w:rPr>
          <w:rFonts w:ascii="Arial" w:eastAsia="Arial" w:hAnsi="Arial" w:cs="Arial"/>
          <w:sz w:val="19"/>
          <w:szCs w:val="19"/>
        </w:rPr>
        <w:t xml:space="preserve">The rules dealing with U.S. </w:t>
      </w:r>
      <w:r>
        <w:rPr>
          <w:rFonts w:ascii="Arial" w:eastAsia="Arial" w:hAnsi="Arial" w:cs="Arial"/>
          <w:sz w:val="19"/>
          <w:szCs w:val="19"/>
        </w:rPr>
        <w:t xml:space="preserve">federal, state, and local income taxation are constantly under review by persons involved in the legislative process and by the Internal Revenue Service and the U.S. Treasury Department. Changes to tax laws (which changes may have retroactive application) </w:t>
      </w:r>
      <w:r>
        <w:rPr>
          <w:rFonts w:ascii="Arial" w:eastAsia="Arial" w:hAnsi="Arial" w:cs="Arial"/>
          <w:sz w:val="19"/>
          <w:szCs w:val="19"/>
        </w:rPr>
        <w:t>could adversely affect us or holders of our common stock. In recent years, many such changes have been made and changes are likely to continue to occur in the future. Future changes in tax laws could have a material adverse effect on our business, cash flo</w:t>
      </w:r>
      <w:r>
        <w:rPr>
          <w:rFonts w:ascii="Arial" w:eastAsia="Arial" w:hAnsi="Arial" w:cs="Arial"/>
          <w:sz w:val="19"/>
          <w:szCs w:val="19"/>
        </w:rPr>
        <w:t>w, financial condition or results of operations. We urge investors to consult with their legal and tax advisers regarding the implications of potential changes in tax laws on an investment in our common stock.</w:t>
      </w:r>
    </w:p>
    <w:p w:rsidR="000728AD" w:rsidRDefault="000728AD">
      <w:pPr>
        <w:spacing w:line="178" w:lineRule="exact"/>
        <w:rPr>
          <w:sz w:val="20"/>
          <w:szCs w:val="20"/>
        </w:rPr>
      </w:pPr>
    </w:p>
    <w:p w:rsidR="000728AD" w:rsidRDefault="000561BE">
      <w:pPr>
        <w:rPr>
          <w:sz w:val="20"/>
          <w:szCs w:val="20"/>
        </w:rPr>
      </w:pPr>
      <w:r>
        <w:rPr>
          <w:rFonts w:ascii="Arial" w:eastAsia="Arial" w:hAnsi="Arial" w:cs="Arial"/>
          <w:b/>
          <w:bCs/>
          <w:i/>
          <w:iCs/>
          <w:sz w:val="18"/>
          <w:szCs w:val="18"/>
        </w:rPr>
        <w:t>Our ability to use NOLs and research and deve</w:t>
      </w:r>
      <w:r>
        <w:rPr>
          <w:rFonts w:ascii="Arial" w:eastAsia="Arial" w:hAnsi="Arial" w:cs="Arial"/>
          <w:b/>
          <w:bCs/>
          <w:i/>
          <w:iCs/>
          <w:sz w:val="18"/>
          <w:szCs w:val="18"/>
        </w:rPr>
        <w:t>lopment credits to offset future taxable income may be subject to certain limitations.</w:t>
      </w:r>
    </w:p>
    <w:p w:rsidR="000728AD" w:rsidRDefault="000728AD">
      <w:pPr>
        <w:spacing w:line="239" w:lineRule="exact"/>
        <w:rPr>
          <w:sz w:val="20"/>
          <w:szCs w:val="20"/>
        </w:rPr>
      </w:pPr>
    </w:p>
    <w:p w:rsidR="000728AD" w:rsidRDefault="000561BE">
      <w:pPr>
        <w:spacing w:line="273" w:lineRule="auto"/>
        <w:ind w:right="120"/>
        <w:rPr>
          <w:sz w:val="20"/>
          <w:szCs w:val="20"/>
        </w:rPr>
      </w:pPr>
      <w:r>
        <w:rPr>
          <w:rFonts w:ascii="Arial" w:eastAsia="Arial" w:hAnsi="Arial" w:cs="Arial"/>
          <w:sz w:val="18"/>
          <w:szCs w:val="18"/>
        </w:rPr>
        <w:t xml:space="preserve">We have a history of cumulative losses and anticipate that we will continue to incur significant losses in the foreseeable future; thus, we do not know whether or when </w:t>
      </w:r>
      <w:r>
        <w:rPr>
          <w:rFonts w:ascii="Arial" w:eastAsia="Arial" w:hAnsi="Arial" w:cs="Arial"/>
          <w:sz w:val="18"/>
          <w:szCs w:val="18"/>
        </w:rPr>
        <w:t>we will generate taxable income necessary to utilize our net operating losses, or NOLs, or research and development tax credit carryforwards. As of December 31, 2020, we had U.S. federal and state net operating loss, or NOL, carryforwards of $242.5 million</w:t>
      </w:r>
      <w:r>
        <w:rPr>
          <w:rFonts w:ascii="Arial" w:eastAsia="Arial" w:hAnsi="Arial" w:cs="Arial"/>
          <w:sz w:val="18"/>
          <w:szCs w:val="18"/>
        </w:rPr>
        <w:t xml:space="preserve"> and $237.3 million, respectively. These amounts begin to expire in 2030. The federal net operating losses generated in 2018</w:t>
      </w:r>
    </w:p>
    <w:p w:rsidR="000728AD" w:rsidRDefault="000728AD">
      <w:pPr>
        <w:spacing w:line="3" w:lineRule="exact"/>
        <w:rPr>
          <w:sz w:val="20"/>
          <w:szCs w:val="20"/>
        </w:rPr>
      </w:pPr>
    </w:p>
    <w:p w:rsidR="000728AD" w:rsidRDefault="000561BE">
      <w:pPr>
        <w:spacing w:line="291" w:lineRule="auto"/>
        <w:ind w:right="200"/>
        <w:rPr>
          <w:sz w:val="20"/>
          <w:szCs w:val="20"/>
        </w:rPr>
      </w:pPr>
      <w:r>
        <w:rPr>
          <w:rFonts w:ascii="Arial" w:eastAsia="Arial" w:hAnsi="Arial" w:cs="Arial"/>
          <w:sz w:val="18"/>
          <w:szCs w:val="18"/>
        </w:rPr>
        <w:t>and 2019 can be carried forward indefinitely. As of December 31, 2020, we also had U.S. federal and state research and development</w:t>
      </w:r>
      <w:r>
        <w:rPr>
          <w:rFonts w:ascii="Arial" w:eastAsia="Arial" w:hAnsi="Arial" w:cs="Arial"/>
          <w:sz w:val="18"/>
          <w:szCs w:val="18"/>
        </w:rPr>
        <w:t xml:space="preserve"> tax credit carryforwards of $7.0 million and $2.5 million, respectively, both of which expire at various dates through 2040. These net operating loss and tax credit carryforwards could expire unused and be unavailable to offset future taxable income or ta</w:t>
      </w:r>
      <w:r>
        <w:rPr>
          <w:rFonts w:ascii="Arial" w:eastAsia="Arial" w:hAnsi="Arial" w:cs="Arial"/>
          <w:sz w:val="18"/>
          <w:szCs w:val="18"/>
        </w:rPr>
        <w:t>x liabilities, respectively.</w:t>
      </w:r>
    </w:p>
    <w:p w:rsidR="000728AD" w:rsidRDefault="000728AD">
      <w:pPr>
        <w:spacing w:line="152" w:lineRule="exact"/>
        <w:rPr>
          <w:sz w:val="20"/>
          <w:szCs w:val="20"/>
        </w:rPr>
      </w:pPr>
    </w:p>
    <w:p w:rsidR="000728AD" w:rsidRDefault="000561BE">
      <w:pPr>
        <w:spacing w:line="257" w:lineRule="auto"/>
        <w:ind w:right="20"/>
        <w:rPr>
          <w:sz w:val="20"/>
          <w:szCs w:val="20"/>
        </w:rPr>
      </w:pPr>
      <w:r>
        <w:rPr>
          <w:rFonts w:ascii="Arial" w:eastAsia="Arial" w:hAnsi="Arial" w:cs="Arial"/>
          <w:sz w:val="19"/>
          <w:szCs w:val="19"/>
        </w:rPr>
        <w:t xml:space="preserve">In general, under Sections 382 and 383 of the U.S. Internal Revenue Code of 1986, as amended, or the Code, and corresponding provisions of state law, a corporation that undergoes an “ownership change,” generally defined as a </w:t>
      </w:r>
      <w:r>
        <w:rPr>
          <w:rFonts w:ascii="Arial" w:eastAsia="Arial" w:hAnsi="Arial" w:cs="Arial"/>
          <w:sz w:val="19"/>
          <w:szCs w:val="19"/>
        </w:rPr>
        <w:t>greater than 50 percentage point change (by value) in its equity ownership by certain stockholders over a three-year period, is subject to limitations on its ability to utilize its pre-change NOLs and research and development tax credit carryforwards to of</w:t>
      </w:r>
      <w:r>
        <w:rPr>
          <w:rFonts w:ascii="Arial" w:eastAsia="Arial" w:hAnsi="Arial" w:cs="Arial"/>
          <w:sz w:val="19"/>
          <w:szCs w:val="19"/>
        </w:rPr>
        <w:t>fset future taxable income. We have not conducted a study to assess whether any such ownership changes have occurred. We may have experienced such ownership changes in the past and may experience such ownership changes in the future through subsequent chan</w:t>
      </w:r>
      <w:r>
        <w:rPr>
          <w:rFonts w:ascii="Arial" w:eastAsia="Arial" w:hAnsi="Arial" w:cs="Arial"/>
          <w:sz w:val="19"/>
          <w:szCs w:val="19"/>
        </w:rPr>
        <w:t>ges in our stock ownership (which may be outside our control). As a result, if, and to the extent that, we earn net taxable income, our ability to use our pre-change NOLs and research and development tax credit carryforwards to offset such taxable income m</w:t>
      </w:r>
      <w:r>
        <w:rPr>
          <w:rFonts w:ascii="Arial" w:eastAsia="Arial" w:hAnsi="Arial" w:cs="Arial"/>
          <w:sz w:val="19"/>
          <w:szCs w:val="19"/>
        </w:rPr>
        <w:t>ay be subject to limitations.</w:t>
      </w:r>
    </w:p>
    <w:p w:rsidR="000728AD" w:rsidRDefault="000728AD">
      <w:pPr>
        <w:spacing w:line="180" w:lineRule="exact"/>
        <w:rPr>
          <w:sz w:val="20"/>
          <w:szCs w:val="20"/>
        </w:rPr>
      </w:pPr>
    </w:p>
    <w:p w:rsidR="000728AD" w:rsidRDefault="000561BE">
      <w:pPr>
        <w:spacing w:line="278" w:lineRule="auto"/>
        <w:rPr>
          <w:sz w:val="20"/>
          <w:szCs w:val="20"/>
        </w:rPr>
      </w:pPr>
      <w:r>
        <w:rPr>
          <w:rFonts w:ascii="Arial" w:eastAsia="Arial" w:hAnsi="Arial" w:cs="Arial"/>
          <w:sz w:val="18"/>
          <w:szCs w:val="18"/>
        </w:rPr>
        <w:t>There is also a risk that due to regulatory changes, such as suspensions on the use of NOLs, or other unforeseen reasons, our existing NOLs could expire or otherwise become unavailable to offset future income tax liabilities.</w:t>
      </w:r>
      <w:r>
        <w:rPr>
          <w:rFonts w:ascii="Arial" w:eastAsia="Arial" w:hAnsi="Arial" w:cs="Arial"/>
          <w:sz w:val="18"/>
          <w:szCs w:val="18"/>
        </w:rPr>
        <w:t xml:space="preserve"> The CARES Act includes changes to U.S. federal tax rates and the rules governing NOL carryforwards that may significantly impact our ability to utilize our NOLs to offset taxable income in the future. In addition, state NOLs generated in one state cannot </w:t>
      </w:r>
      <w:r>
        <w:rPr>
          <w:rFonts w:ascii="Arial" w:eastAsia="Arial" w:hAnsi="Arial" w:cs="Arial"/>
          <w:sz w:val="18"/>
          <w:szCs w:val="18"/>
        </w:rPr>
        <w:t>be used to offset income generated in another state. For these reasons, even if we attain profitability, we may be unable to use a material portion of our NOLs and other tax attributes.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61" w:lineRule="exact"/>
        <w:rPr>
          <w:sz w:val="20"/>
          <w:szCs w:val="20"/>
        </w:rPr>
      </w:pPr>
    </w:p>
    <w:p w:rsidR="000728AD" w:rsidRDefault="000561BE">
      <w:pPr>
        <w:ind w:right="-19"/>
        <w:jc w:val="center"/>
        <w:rPr>
          <w:sz w:val="20"/>
          <w:szCs w:val="20"/>
        </w:rPr>
      </w:pPr>
      <w:r>
        <w:rPr>
          <w:rFonts w:ascii="Arial" w:eastAsia="Arial" w:hAnsi="Arial" w:cs="Arial"/>
          <w:sz w:val="18"/>
          <w:szCs w:val="18"/>
        </w:rPr>
        <w:t>54</w:t>
      </w:r>
    </w:p>
    <w:p w:rsidR="000728AD" w:rsidRDefault="000561BE">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55" w:name="page55"/>
    <w:bookmarkEnd w:id="55"/>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rPr>
          <w:sz w:val="20"/>
          <w:szCs w:val="20"/>
        </w:rPr>
      </w:pPr>
      <w:r>
        <w:rPr>
          <w:rFonts w:ascii="Arial" w:eastAsia="Arial" w:hAnsi="Arial" w:cs="Arial"/>
          <w:b/>
          <w:bCs/>
          <w:i/>
          <w:iCs/>
          <w:sz w:val="16"/>
          <w:szCs w:val="16"/>
        </w:rPr>
        <w:t>Unstable market and economic conditions may have serious adverse consequences on our business, financial condition and stock price.</w:t>
      </w:r>
    </w:p>
    <w:p w:rsidR="000728AD" w:rsidRDefault="000728AD">
      <w:pPr>
        <w:spacing w:line="262" w:lineRule="exact"/>
        <w:rPr>
          <w:sz w:val="20"/>
          <w:szCs w:val="20"/>
        </w:rPr>
      </w:pPr>
    </w:p>
    <w:p w:rsidR="000728AD" w:rsidRDefault="000561BE">
      <w:pPr>
        <w:spacing w:line="255" w:lineRule="auto"/>
        <w:rPr>
          <w:sz w:val="20"/>
          <w:szCs w:val="20"/>
        </w:rPr>
      </w:pPr>
      <w:r>
        <w:rPr>
          <w:rFonts w:ascii="Arial" w:eastAsia="Arial" w:hAnsi="Arial" w:cs="Arial"/>
          <w:sz w:val="19"/>
          <w:szCs w:val="19"/>
        </w:rPr>
        <w:t>As widely reported, global credit and financial markets have experienced ext</w:t>
      </w:r>
      <w:r>
        <w:rPr>
          <w:rFonts w:ascii="Arial" w:eastAsia="Arial" w:hAnsi="Arial" w:cs="Arial"/>
          <w:sz w:val="19"/>
          <w:szCs w:val="19"/>
        </w:rPr>
        <w:t xml:space="preserve">reme volatility and disruptions in the past, including severely diminished liquidity and credit availability, declines in consumer confidence, declines in economic growth, increases in unemployment rates and uncertainty about economic stability. There can </w:t>
      </w:r>
      <w:r>
        <w:rPr>
          <w:rFonts w:ascii="Arial" w:eastAsia="Arial" w:hAnsi="Arial" w:cs="Arial"/>
          <w:sz w:val="19"/>
          <w:szCs w:val="19"/>
        </w:rPr>
        <w:t>be no assurance that future volatility, disruption or deterioration in credit and financial markets and confidence in economic conditions will not occur. Our general business strategy may be adversely affected by any such economic downturn, volatile busine</w:t>
      </w:r>
      <w:r>
        <w:rPr>
          <w:rFonts w:ascii="Arial" w:eastAsia="Arial" w:hAnsi="Arial" w:cs="Arial"/>
          <w:sz w:val="19"/>
          <w:szCs w:val="19"/>
        </w:rPr>
        <w:t>ss environment or continued unpredictable and unstable market conditions. If the current equity and credit markets continue to be volatile or are disrupted or deteriorate, including as a result of COVID-19, it may make any necessary debt or equity financin</w:t>
      </w:r>
      <w:r>
        <w:rPr>
          <w:rFonts w:ascii="Arial" w:eastAsia="Arial" w:hAnsi="Arial" w:cs="Arial"/>
          <w:sz w:val="19"/>
          <w:szCs w:val="19"/>
        </w:rPr>
        <w:t xml:space="preserve">g more difficult, more costly and more dilutive. Failure to secure any necessary financing in a timely manner and on favorable terms could have a material adverse effect on our growth strategy, financial performance and stock price and could require us to </w:t>
      </w:r>
      <w:r>
        <w:rPr>
          <w:rFonts w:ascii="Arial" w:eastAsia="Arial" w:hAnsi="Arial" w:cs="Arial"/>
          <w:sz w:val="19"/>
          <w:szCs w:val="19"/>
        </w:rPr>
        <w:t xml:space="preserve">delay or abandon clinical development plans. In addition, there is a risk that one or more of our current service providers, manufacturers and other partners may not survive these difficult economic times, which could directly affect our ability to attain </w:t>
      </w:r>
      <w:r>
        <w:rPr>
          <w:rFonts w:ascii="Arial" w:eastAsia="Arial" w:hAnsi="Arial" w:cs="Arial"/>
          <w:sz w:val="19"/>
          <w:szCs w:val="19"/>
        </w:rPr>
        <w:t>our operating goals on schedule and on budget.</w:t>
      </w:r>
    </w:p>
    <w:p w:rsidR="000728AD" w:rsidRDefault="000728AD">
      <w:pPr>
        <w:spacing w:line="187" w:lineRule="exact"/>
        <w:rPr>
          <w:sz w:val="20"/>
          <w:szCs w:val="20"/>
        </w:rPr>
      </w:pPr>
    </w:p>
    <w:p w:rsidR="000728AD" w:rsidRDefault="000561BE">
      <w:pPr>
        <w:spacing w:line="260" w:lineRule="auto"/>
        <w:ind w:right="20"/>
        <w:rPr>
          <w:sz w:val="20"/>
          <w:szCs w:val="20"/>
        </w:rPr>
      </w:pPr>
      <w:r>
        <w:rPr>
          <w:rFonts w:ascii="Arial" w:eastAsia="Arial" w:hAnsi="Arial" w:cs="Arial"/>
          <w:sz w:val="19"/>
          <w:szCs w:val="19"/>
        </w:rPr>
        <w:t>As of June 30, 2021, we had cash, cash equivalents and marketable securities of $78.9 million. While we are not aware of any downgrades, material losses or other significant deterioration in the fair value of</w:t>
      </w:r>
      <w:r>
        <w:rPr>
          <w:rFonts w:ascii="Arial" w:eastAsia="Arial" w:hAnsi="Arial" w:cs="Arial"/>
          <w:sz w:val="19"/>
          <w:szCs w:val="19"/>
        </w:rPr>
        <w:t xml:space="preserve"> our cash equivalents and marketable securities since June 30, 2021, no assurance can be given that further deterioration of the global credit and financial markets would not negatively impact our current portfolio of cash equivalents and marketable securi</w:t>
      </w:r>
      <w:r>
        <w:rPr>
          <w:rFonts w:ascii="Arial" w:eastAsia="Arial" w:hAnsi="Arial" w:cs="Arial"/>
          <w:sz w:val="19"/>
          <w:szCs w:val="19"/>
        </w:rPr>
        <w:t>ties or our ability to meet our financing objectives. Furthermore, our stock price may decline due in part to the volatility of the stock market and the general economic downturn.</w:t>
      </w:r>
    </w:p>
    <w:p w:rsidR="000728AD" w:rsidRDefault="000728AD">
      <w:pPr>
        <w:spacing w:line="180" w:lineRule="exact"/>
        <w:rPr>
          <w:sz w:val="20"/>
          <w:szCs w:val="20"/>
        </w:rPr>
      </w:pPr>
    </w:p>
    <w:p w:rsidR="000728AD" w:rsidRDefault="000561BE">
      <w:pPr>
        <w:rPr>
          <w:sz w:val="20"/>
          <w:szCs w:val="20"/>
        </w:rPr>
      </w:pPr>
      <w:r>
        <w:rPr>
          <w:rFonts w:ascii="Arial" w:eastAsia="Arial" w:hAnsi="Arial" w:cs="Arial"/>
          <w:b/>
          <w:bCs/>
          <w:i/>
          <w:iCs/>
          <w:sz w:val="16"/>
          <w:szCs w:val="16"/>
        </w:rPr>
        <w:t>Our loan agreement subjects us to operating restrictions and financial cove</w:t>
      </w:r>
      <w:r>
        <w:rPr>
          <w:rFonts w:ascii="Arial" w:eastAsia="Arial" w:hAnsi="Arial" w:cs="Arial"/>
          <w:b/>
          <w:bCs/>
          <w:i/>
          <w:iCs/>
          <w:sz w:val="16"/>
          <w:szCs w:val="16"/>
        </w:rPr>
        <w:t>nants and may restrict our business and financing activities.</w:t>
      </w:r>
    </w:p>
    <w:p w:rsidR="000728AD" w:rsidRDefault="000728AD">
      <w:pPr>
        <w:spacing w:line="262" w:lineRule="exact"/>
        <w:rPr>
          <w:sz w:val="20"/>
          <w:szCs w:val="20"/>
        </w:rPr>
      </w:pPr>
    </w:p>
    <w:p w:rsidR="000728AD" w:rsidRDefault="000561BE">
      <w:pPr>
        <w:spacing w:line="271" w:lineRule="auto"/>
        <w:ind w:right="200"/>
        <w:rPr>
          <w:sz w:val="20"/>
          <w:szCs w:val="20"/>
        </w:rPr>
      </w:pPr>
      <w:r>
        <w:rPr>
          <w:rFonts w:ascii="Arial" w:eastAsia="Arial" w:hAnsi="Arial" w:cs="Arial"/>
          <w:sz w:val="18"/>
          <w:szCs w:val="18"/>
        </w:rPr>
        <w:t>On January 9, 2018, we entered into a loan and security agreement with SLR Investment Corp., formerly known as Solar Capital Ltd., for term loans in an aggregate principal amount of $26.0 milli</w:t>
      </w:r>
      <w:r>
        <w:rPr>
          <w:rFonts w:ascii="Arial" w:eastAsia="Arial" w:hAnsi="Arial" w:cs="Arial"/>
          <w:sz w:val="18"/>
          <w:szCs w:val="18"/>
        </w:rPr>
        <w:t>on, which we amended on October 5, 2018, November 30, 2018 and August 28, 2020. Our obligations under the loan agreement are secured by a first priority security interest in our assets, excluding intellectual property and certain other exceptions. We are s</w:t>
      </w:r>
      <w:r>
        <w:rPr>
          <w:rFonts w:ascii="Arial" w:eastAsia="Arial" w:hAnsi="Arial" w:cs="Arial"/>
          <w:sz w:val="18"/>
          <w:szCs w:val="18"/>
        </w:rPr>
        <w:t>ubject to a negative pledge covenant with respect to our intellectual property. The loan agreement contains customary representations, as well as customary affirmative and negative covenants. Among other restrictions, the negative covenants, subject to exc</w:t>
      </w:r>
      <w:r>
        <w:rPr>
          <w:rFonts w:ascii="Arial" w:eastAsia="Arial" w:hAnsi="Arial" w:cs="Arial"/>
          <w:sz w:val="18"/>
          <w:szCs w:val="18"/>
        </w:rPr>
        <w:t>eptions, prohibit or limit our ability to: declare dividends or redeem or purchase equity interests; incur additional liens; make investments; incur additional indebtedness; engage in mergers, acquisitions and asset sales; transact with affiliates; undergo</w:t>
      </w:r>
      <w:r>
        <w:rPr>
          <w:rFonts w:ascii="Arial" w:eastAsia="Arial" w:hAnsi="Arial" w:cs="Arial"/>
          <w:sz w:val="18"/>
          <w:szCs w:val="18"/>
        </w:rPr>
        <w:t xml:space="preserve"> a change in control; add or change business locations; and engage in businesses that are not related to its existing business. These covenants may restrict our ability to finance our operations and to pursue our business activities and strategies. Our abi</w:t>
      </w:r>
      <w:r>
        <w:rPr>
          <w:rFonts w:ascii="Arial" w:eastAsia="Arial" w:hAnsi="Arial" w:cs="Arial"/>
          <w:sz w:val="18"/>
          <w:szCs w:val="18"/>
        </w:rPr>
        <w:t>lity to comply with these covenants may be affected by events beyond our control.</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70" w:lineRule="exact"/>
        <w:rPr>
          <w:sz w:val="20"/>
          <w:szCs w:val="20"/>
        </w:rPr>
      </w:pPr>
    </w:p>
    <w:p w:rsidR="000728AD" w:rsidRDefault="000561BE">
      <w:pPr>
        <w:ind w:right="-59"/>
        <w:jc w:val="center"/>
        <w:rPr>
          <w:sz w:val="20"/>
          <w:szCs w:val="20"/>
        </w:rPr>
      </w:pPr>
      <w:r>
        <w:rPr>
          <w:rFonts w:ascii="Arial" w:eastAsia="Arial" w:hAnsi="Arial" w:cs="Arial"/>
          <w:sz w:val="18"/>
          <w:szCs w:val="18"/>
        </w:rPr>
        <w:t>55</w:t>
      </w:r>
    </w:p>
    <w:p w:rsidR="000728AD" w:rsidRDefault="000561BE">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79" w:bottom="1440" w:left="320" w:header="0" w:footer="0" w:gutter="0"/>
          <w:cols w:space="720" w:equalWidth="0">
            <w:col w:w="11200"/>
          </w:cols>
        </w:sectPr>
      </w:pPr>
    </w:p>
    <w:bookmarkStart w:id="56" w:name="page56"/>
    <w:bookmarkEnd w:id="56"/>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395" w:lineRule="exact"/>
        <w:rPr>
          <w:sz w:val="20"/>
          <w:szCs w:val="20"/>
        </w:rPr>
      </w:pPr>
    </w:p>
    <w:p w:rsidR="000728AD" w:rsidRDefault="000561BE">
      <w:pPr>
        <w:rPr>
          <w:sz w:val="20"/>
          <w:szCs w:val="20"/>
        </w:rPr>
      </w:pPr>
      <w:r>
        <w:rPr>
          <w:rFonts w:ascii="Arial" w:eastAsia="Arial" w:hAnsi="Arial" w:cs="Arial"/>
          <w:b/>
          <w:bCs/>
          <w:sz w:val="20"/>
          <w:szCs w:val="20"/>
        </w:rPr>
        <w:t>Risks Related to Government Regulation</w:t>
      </w:r>
    </w:p>
    <w:p w:rsidR="000728AD" w:rsidRDefault="000728AD">
      <w:pPr>
        <w:spacing w:line="222" w:lineRule="exact"/>
        <w:rPr>
          <w:sz w:val="20"/>
          <w:szCs w:val="20"/>
        </w:rPr>
      </w:pPr>
    </w:p>
    <w:p w:rsidR="000728AD" w:rsidRDefault="000561BE">
      <w:pPr>
        <w:spacing w:line="263" w:lineRule="auto"/>
        <w:ind w:right="40"/>
        <w:rPr>
          <w:sz w:val="20"/>
          <w:szCs w:val="20"/>
        </w:rPr>
      </w:pPr>
      <w:r>
        <w:rPr>
          <w:rFonts w:ascii="Arial" w:eastAsia="Arial" w:hAnsi="Arial" w:cs="Arial"/>
          <w:b/>
          <w:bCs/>
          <w:i/>
          <w:iCs/>
          <w:sz w:val="19"/>
          <w:szCs w:val="19"/>
        </w:rPr>
        <w:t xml:space="preserve">Regulatory requirements for development of our </w:t>
      </w:r>
      <w:r>
        <w:rPr>
          <w:rFonts w:ascii="Arial" w:eastAsia="Arial" w:hAnsi="Arial" w:cs="Arial"/>
          <w:b/>
          <w:bCs/>
          <w:i/>
          <w:iCs/>
          <w:sz w:val="19"/>
          <w:szCs w:val="19"/>
        </w:rPr>
        <w:t>product candidates as drugs or as non-drug products are uncertain and evolving. Changes in these laws, including our ability to conduct Clinical Studies or Clinical Trials, or the current interpretation or application of these laws, or conflicts between us</w:t>
      </w:r>
      <w:r>
        <w:rPr>
          <w:rFonts w:ascii="Arial" w:eastAsia="Arial" w:hAnsi="Arial" w:cs="Arial"/>
          <w:b/>
          <w:bCs/>
          <w:i/>
          <w:iCs/>
          <w:sz w:val="19"/>
          <w:szCs w:val="19"/>
        </w:rPr>
        <w:t xml:space="preserve"> and the FDA on the applicability or interpretation of applicable laws, would have a significant adverse impact on our ability to develop and commercialize our products.</w:t>
      </w:r>
    </w:p>
    <w:p w:rsidR="000728AD" w:rsidRDefault="000728AD">
      <w:pPr>
        <w:spacing w:line="176" w:lineRule="exact"/>
        <w:rPr>
          <w:sz w:val="20"/>
          <w:szCs w:val="20"/>
        </w:rPr>
      </w:pPr>
    </w:p>
    <w:p w:rsidR="000728AD" w:rsidRDefault="000561BE">
      <w:pPr>
        <w:spacing w:line="256" w:lineRule="auto"/>
        <w:ind w:right="120"/>
        <w:rPr>
          <w:sz w:val="20"/>
          <w:szCs w:val="20"/>
        </w:rPr>
      </w:pPr>
      <w:r>
        <w:rPr>
          <w:rFonts w:ascii="Arial" w:eastAsia="Arial" w:hAnsi="Arial" w:cs="Arial"/>
          <w:sz w:val="19"/>
          <w:szCs w:val="19"/>
        </w:rPr>
        <w:t xml:space="preserve">Based on the large body of studies and scientific literature on the human </w:t>
      </w:r>
      <w:r>
        <w:rPr>
          <w:rFonts w:ascii="Arial" w:eastAsia="Arial" w:hAnsi="Arial" w:cs="Arial"/>
          <w:sz w:val="19"/>
          <w:szCs w:val="19"/>
        </w:rPr>
        <w:t xml:space="preserve">exposure to and safety profiles of certain amino acids, the FDA's promulgation of regulations governing the use of certain amino acids under certain conditions as safe and permissible food additives when used as nutrients, our own data on amino acids used </w:t>
      </w:r>
      <w:r>
        <w:rPr>
          <w:rFonts w:ascii="Arial" w:eastAsia="Arial" w:hAnsi="Arial" w:cs="Arial"/>
          <w:sz w:val="19"/>
          <w:szCs w:val="19"/>
        </w:rPr>
        <w:t>in product candidates and the fact that we use amino acids in our product candidates within amounts previously studied safely in humans, we believe we have designed our product candidates to have acceptable safety profiles, and we have further evaluated or</w:t>
      </w:r>
      <w:r>
        <w:rPr>
          <w:rFonts w:ascii="Arial" w:eastAsia="Arial" w:hAnsi="Arial" w:cs="Arial"/>
          <w:sz w:val="19"/>
          <w:szCs w:val="19"/>
        </w:rPr>
        <w:t xml:space="preserve"> will evaluate the safety and tolerability of these product candidates in Clinical Studies and/or Clinical Trials. Under the FDA's framework governing studies of non-drug products, we believe that use of our product candidates containing amino acids may be</w:t>
      </w:r>
      <w:r>
        <w:rPr>
          <w:rFonts w:ascii="Arial" w:eastAsia="Arial" w:hAnsi="Arial" w:cs="Arial"/>
          <w:sz w:val="19"/>
          <w:szCs w:val="19"/>
        </w:rPr>
        <w:t xml:space="preserve"> studied for safety and tolerability without an IND in human food studies. However, the FDA or comparable foreign regulatory authorities may disagree with this approach and determine that our studies should be conducted under an IND, which may result in ne</w:t>
      </w:r>
      <w:r>
        <w:rPr>
          <w:rFonts w:ascii="Arial" w:eastAsia="Arial" w:hAnsi="Arial" w:cs="Arial"/>
          <w:sz w:val="19"/>
          <w:szCs w:val="19"/>
        </w:rPr>
        <w:t>gative consequences.</w:t>
      </w:r>
    </w:p>
    <w:p w:rsidR="000728AD" w:rsidRDefault="000728AD">
      <w:pPr>
        <w:spacing w:line="184" w:lineRule="exact"/>
        <w:rPr>
          <w:sz w:val="20"/>
          <w:szCs w:val="20"/>
        </w:rPr>
      </w:pPr>
    </w:p>
    <w:p w:rsidR="000728AD" w:rsidRDefault="000561BE">
      <w:pPr>
        <w:spacing w:line="255" w:lineRule="auto"/>
        <w:ind w:right="100"/>
        <w:rPr>
          <w:sz w:val="20"/>
          <w:szCs w:val="20"/>
        </w:rPr>
      </w:pPr>
      <w:r>
        <w:rPr>
          <w:rFonts w:ascii="Arial" w:eastAsia="Arial" w:hAnsi="Arial" w:cs="Arial"/>
          <w:sz w:val="19"/>
          <w:szCs w:val="19"/>
        </w:rPr>
        <w:t>In prior or future studies or trials of our product candidates, we may have or will expressly or implicitly characterize or classify such candidates as encompassed within a specific regulatory scheme (e.g., as foods or dietary supplem</w:t>
      </w:r>
      <w:r>
        <w:rPr>
          <w:rFonts w:ascii="Arial" w:eastAsia="Arial" w:hAnsi="Arial" w:cs="Arial"/>
          <w:sz w:val="19"/>
          <w:szCs w:val="19"/>
        </w:rPr>
        <w:t>ents). Regulatory authorities may not agree with the regulatory classification of the product candidates used in our Clinical Studies or any subsequent classification of such candidates prior to commercialization. To date, we have submitted and the FDA has</w:t>
      </w:r>
      <w:r>
        <w:rPr>
          <w:rFonts w:ascii="Arial" w:eastAsia="Arial" w:hAnsi="Arial" w:cs="Arial"/>
          <w:sz w:val="19"/>
          <w:szCs w:val="19"/>
        </w:rPr>
        <w:t xml:space="preserve"> cleared an IND for our Phase 2 Clinical Trial of AXA1665, which we initiated in the second quarter of 2021. Additionally, we have submitted and the FDA has cleared an IND for our Phase 2b Clinical Trial of AXA1125, which we initiated in the second quarter</w:t>
      </w:r>
      <w:r>
        <w:rPr>
          <w:rFonts w:ascii="Arial" w:eastAsia="Arial" w:hAnsi="Arial" w:cs="Arial"/>
          <w:sz w:val="19"/>
          <w:szCs w:val="19"/>
        </w:rPr>
        <w:t xml:space="preserve"> of 2021. We have not discussed the development of our other product candidates evaluated in Clinical Studies or our utilization of specific regulatory pathways for our other product candidates with the FDA or comparable foreign regulatory authorities and </w:t>
      </w:r>
      <w:r>
        <w:rPr>
          <w:rFonts w:ascii="Arial" w:eastAsia="Arial" w:hAnsi="Arial" w:cs="Arial"/>
          <w:sz w:val="19"/>
          <w:szCs w:val="19"/>
        </w:rPr>
        <w:t>any such regulator may not agree with our current activities or future approach or plans for further development. The FDA may determine that our product candidates are not safe or appropriate for use in Clinical Studies or are not governed by food regulati</w:t>
      </w:r>
      <w:r>
        <w:rPr>
          <w:rFonts w:ascii="Arial" w:eastAsia="Arial" w:hAnsi="Arial" w:cs="Arial"/>
          <w:sz w:val="19"/>
          <w:szCs w:val="19"/>
        </w:rPr>
        <w:t>ons and therefore may classify any of our product candidates as being ineligible for investigation in Clinical Studies without an IND. The FDA or other regulatory authorities may also take enforcement action, or otherwise delay or prevent further developme</w:t>
      </w:r>
      <w:r>
        <w:rPr>
          <w:rFonts w:ascii="Arial" w:eastAsia="Arial" w:hAnsi="Arial" w:cs="Arial"/>
          <w:sz w:val="19"/>
          <w:szCs w:val="19"/>
        </w:rPr>
        <w:t>nt or commercialization of our product candidates.</w:t>
      </w:r>
    </w:p>
    <w:p w:rsidR="000728AD" w:rsidRDefault="000728AD">
      <w:pPr>
        <w:spacing w:line="184" w:lineRule="exact"/>
        <w:rPr>
          <w:sz w:val="20"/>
          <w:szCs w:val="20"/>
        </w:rPr>
      </w:pPr>
    </w:p>
    <w:p w:rsidR="000728AD" w:rsidRDefault="000561BE">
      <w:pPr>
        <w:spacing w:line="255" w:lineRule="auto"/>
        <w:rPr>
          <w:sz w:val="20"/>
          <w:szCs w:val="20"/>
        </w:rPr>
      </w:pPr>
      <w:r>
        <w:rPr>
          <w:rFonts w:ascii="Arial" w:eastAsia="Arial" w:hAnsi="Arial" w:cs="Arial"/>
          <w:sz w:val="19"/>
          <w:szCs w:val="19"/>
        </w:rPr>
        <w:t>The FDA may determine that certain of our product candidates cannot be marketed as or do not meet the regulatory requirements for marketing or testing as non-drug products. The FDA may take the position t</w:t>
      </w:r>
      <w:r>
        <w:rPr>
          <w:rFonts w:ascii="Arial" w:eastAsia="Arial" w:hAnsi="Arial" w:cs="Arial"/>
          <w:sz w:val="19"/>
          <w:szCs w:val="19"/>
        </w:rPr>
        <w:t xml:space="preserve">hat we failed to satisfy the pre-market requirements for ingredient compositions, including that the particular product is not generally recognized as safe, or GRAS, is an unapproved food additive, is a New Dietary Ingredient, or NDI, requiring pre-market </w:t>
      </w:r>
      <w:r>
        <w:rPr>
          <w:rFonts w:ascii="Arial" w:eastAsia="Arial" w:hAnsi="Arial" w:cs="Arial"/>
          <w:sz w:val="19"/>
          <w:szCs w:val="19"/>
        </w:rPr>
        <w:t>review or that our products contain otherwise impermissible ingredients, in which case some or all of our products may be deemed adulterated or misbranded in violation of the FD&amp;C Act. Moreover, if we choose to study a product under an IND before the produ</w:t>
      </w:r>
      <w:r>
        <w:rPr>
          <w:rFonts w:ascii="Arial" w:eastAsia="Arial" w:hAnsi="Arial" w:cs="Arial"/>
          <w:sz w:val="19"/>
          <w:szCs w:val="19"/>
        </w:rPr>
        <w:t>ct candidate has been marketed as a non-drug product, the FD&amp;C Act could prevent us from marketing the product as a non-drug product if we are unable to secure FDA approval as a new drug. Any delay in the regulatory consultation process, or a warning, find</w:t>
      </w:r>
      <w:r>
        <w:rPr>
          <w:rFonts w:ascii="Arial" w:eastAsia="Arial" w:hAnsi="Arial" w:cs="Arial"/>
          <w:sz w:val="19"/>
          <w:szCs w:val="19"/>
        </w:rPr>
        <w:t>ing or determination that any of our operations or product candidates do not meet the regulatory requirements of the FDA, including but not limited to any applicable GRAS, food additive or NDI requirements, could subject the Company to regulatory enforceme</w:t>
      </w:r>
      <w:r>
        <w:rPr>
          <w:rFonts w:ascii="Arial" w:eastAsia="Arial" w:hAnsi="Arial" w:cs="Arial"/>
          <w:sz w:val="19"/>
          <w:szCs w:val="19"/>
        </w:rPr>
        <w:t>nt action or other legal action, and/or cause a delay in or prevent the commercialization of one or more of our product candidates, which may lead to reduced acceptance by the public or others for any products we are able to commercialize and could materia</w:t>
      </w:r>
      <w:r>
        <w:rPr>
          <w:rFonts w:ascii="Arial" w:eastAsia="Arial" w:hAnsi="Arial" w:cs="Arial"/>
          <w:sz w:val="19"/>
          <w:szCs w:val="19"/>
        </w:rPr>
        <w:t>lly adversely affect our business.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1" w:lineRule="exact"/>
        <w:rPr>
          <w:sz w:val="20"/>
          <w:szCs w:val="20"/>
        </w:rPr>
      </w:pPr>
    </w:p>
    <w:p w:rsidR="000728AD" w:rsidRDefault="000561BE">
      <w:pPr>
        <w:jc w:val="center"/>
        <w:rPr>
          <w:sz w:val="20"/>
          <w:szCs w:val="20"/>
        </w:rPr>
      </w:pPr>
      <w:r>
        <w:rPr>
          <w:rFonts w:ascii="Arial" w:eastAsia="Arial" w:hAnsi="Arial" w:cs="Arial"/>
          <w:sz w:val="18"/>
          <w:szCs w:val="18"/>
        </w:rPr>
        <w:t>56</w:t>
      </w:r>
    </w:p>
    <w:p w:rsidR="000728AD" w:rsidRDefault="000561BE">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57" w:name="page57"/>
    <w:bookmarkEnd w:id="57"/>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54" w:lineRule="auto"/>
        <w:rPr>
          <w:sz w:val="20"/>
          <w:szCs w:val="20"/>
        </w:rPr>
      </w:pPr>
      <w:r>
        <w:rPr>
          <w:rFonts w:ascii="Arial" w:eastAsia="Arial" w:hAnsi="Arial" w:cs="Arial"/>
          <w:sz w:val="19"/>
          <w:szCs w:val="19"/>
        </w:rPr>
        <w:t xml:space="preserve">The FDA may determine that the only pathway for conducting studies of our product candidates is under an IND or that our Clinical Studies </w:t>
      </w:r>
      <w:r>
        <w:rPr>
          <w:rFonts w:ascii="Arial" w:eastAsia="Arial" w:hAnsi="Arial" w:cs="Arial"/>
          <w:sz w:val="19"/>
          <w:szCs w:val="19"/>
        </w:rPr>
        <w:t>already conducted should have been conducted under an IND. Any such determination could prevent our reliance on existing regulatory frameworks to conduct Clinical Studies for other product candidates or prevent us from relying on or including data from our</w:t>
      </w:r>
      <w:r>
        <w:rPr>
          <w:rFonts w:ascii="Arial" w:eastAsia="Arial" w:hAnsi="Arial" w:cs="Arial"/>
          <w:sz w:val="19"/>
          <w:szCs w:val="19"/>
        </w:rPr>
        <w:t xml:space="preserve"> Clinical Studies in any regulatory submissions to support further clinical development or marketing approval, and could significantly increase the cost of and delay the development or commercialization of our product candidates. If the FDA disagrees with </w:t>
      </w:r>
      <w:r>
        <w:rPr>
          <w:rFonts w:ascii="Arial" w:eastAsia="Arial" w:hAnsi="Arial" w:cs="Arial"/>
          <w:sz w:val="19"/>
          <w:szCs w:val="19"/>
        </w:rPr>
        <w:t>our determination that we may conduct Clinical Studies without filing an IND, they could require that we halt any Clinical Studies we have commenced, or we may be subject to enforcement action. Should we choose to commercialize our product candidates as no</w:t>
      </w:r>
      <w:r>
        <w:rPr>
          <w:rFonts w:ascii="Arial" w:eastAsia="Arial" w:hAnsi="Arial" w:cs="Arial"/>
          <w:sz w:val="19"/>
          <w:szCs w:val="19"/>
        </w:rPr>
        <w:t>n-drug products and if the FDA determines our product candidates fall outside the food regulations, we may be subject to regulatory enforcement action and we could be required to stop selling, withdraw, recall, re-label or re-package any products we have c</w:t>
      </w:r>
      <w:r>
        <w:rPr>
          <w:rFonts w:ascii="Arial" w:eastAsia="Arial" w:hAnsi="Arial" w:cs="Arial"/>
          <w:sz w:val="19"/>
          <w:szCs w:val="19"/>
        </w:rPr>
        <w:t>ommercialized as non-drug products on the market. In addition, if new safety issues are raised by Clinical Studies in advance of deciding whether to file an IND that suggest safety concerns for all of our product candidates, then the FDA could ask us to mo</w:t>
      </w:r>
      <w:r>
        <w:rPr>
          <w:rFonts w:ascii="Arial" w:eastAsia="Arial" w:hAnsi="Arial" w:cs="Arial"/>
          <w:sz w:val="19"/>
          <w:szCs w:val="19"/>
        </w:rPr>
        <w:t>dify approved labeling for or withdraw from the market any previously approved products for therapeutic uses or products being commercialized for non-drug uses. A decision by the FDA that we cannot conduct Clinical Studies without filing an IND would signi</w:t>
      </w:r>
      <w:r>
        <w:rPr>
          <w:rFonts w:ascii="Arial" w:eastAsia="Arial" w:hAnsi="Arial" w:cs="Arial"/>
          <w:sz w:val="19"/>
          <w:szCs w:val="19"/>
        </w:rPr>
        <w:t>ficantly impact our current business model and we may incur significant expense and operational difficulties.</w:t>
      </w:r>
    </w:p>
    <w:p w:rsidR="000728AD" w:rsidRDefault="000728AD">
      <w:pPr>
        <w:spacing w:line="192" w:lineRule="exact"/>
        <w:rPr>
          <w:sz w:val="20"/>
          <w:szCs w:val="20"/>
        </w:rPr>
      </w:pPr>
    </w:p>
    <w:p w:rsidR="000728AD" w:rsidRDefault="000561BE">
      <w:pPr>
        <w:spacing w:line="260" w:lineRule="auto"/>
        <w:ind w:right="340"/>
        <w:rPr>
          <w:sz w:val="20"/>
          <w:szCs w:val="20"/>
        </w:rPr>
      </w:pPr>
      <w:r>
        <w:rPr>
          <w:rFonts w:ascii="Arial" w:eastAsia="Arial" w:hAnsi="Arial" w:cs="Arial"/>
          <w:b/>
          <w:bCs/>
          <w:i/>
          <w:iCs/>
          <w:sz w:val="20"/>
          <w:szCs w:val="20"/>
        </w:rPr>
        <w:t>Changes in the legal and regulatory environment could limit our future business activities, increase our operating or regulatory costs, reduce de</w:t>
      </w:r>
      <w:r>
        <w:rPr>
          <w:rFonts w:ascii="Arial" w:eastAsia="Arial" w:hAnsi="Arial" w:cs="Arial"/>
          <w:b/>
          <w:bCs/>
          <w:i/>
          <w:iCs/>
          <w:sz w:val="20"/>
          <w:szCs w:val="20"/>
        </w:rPr>
        <w:t>mand for our product candidates or result in litigation.</w:t>
      </w:r>
    </w:p>
    <w:p w:rsidR="000728AD" w:rsidRDefault="000728AD">
      <w:pPr>
        <w:spacing w:line="177" w:lineRule="exact"/>
        <w:rPr>
          <w:sz w:val="20"/>
          <w:szCs w:val="20"/>
        </w:rPr>
      </w:pPr>
    </w:p>
    <w:p w:rsidR="000728AD" w:rsidRDefault="000561BE">
      <w:pPr>
        <w:spacing w:line="259" w:lineRule="auto"/>
        <w:ind w:right="140"/>
        <w:rPr>
          <w:sz w:val="20"/>
          <w:szCs w:val="20"/>
        </w:rPr>
      </w:pPr>
      <w:r>
        <w:rPr>
          <w:rFonts w:ascii="Arial" w:eastAsia="Arial" w:hAnsi="Arial" w:cs="Arial"/>
          <w:sz w:val="19"/>
          <w:szCs w:val="19"/>
        </w:rPr>
        <w:t>The conduct of our current and planned business activities, including, but not limited, to the development, testing, production, storage, distribution, sale, display, advertising, marketing, labelin</w:t>
      </w:r>
      <w:r>
        <w:rPr>
          <w:rFonts w:ascii="Arial" w:eastAsia="Arial" w:hAnsi="Arial" w:cs="Arial"/>
          <w:sz w:val="19"/>
          <w:szCs w:val="19"/>
        </w:rPr>
        <w:t>g, packaging, health and safety practices, regulatory classification and approval, where necessary, and use of our product candidates, is subject to various laws and regulations administered by federal, state and local governmental agencies in the United S</w:t>
      </w:r>
      <w:r>
        <w:rPr>
          <w:rFonts w:ascii="Arial" w:eastAsia="Arial" w:hAnsi="Arial" w:cs="Arial"/>
          <w:sz w:val="19"/>
          <w:szCs w:val="19"/>
        </w:rPr>
        <w:t>tates, as well as to laws and regulations administered by government entities and agencies outside the United States in markets in which we conduct Clinical Studies or Clinical Trials under foreign food or drug regulations or in which our product candidate</w:t>
      </w:r>
      <w:r>
        <w:rPr>
          <w:rFonts w:ascii="Arial" w:eastAsia="Arial" w:hAnsi="Arial" w:cs="Arial"/>
          <w:sz w:val="19"/>
          <w:szCs w:val="19"/>
        </w:rPr>
        <w:t>s and components thereof (such as packaging) may be manufactured or sold.</w:t>
      </w:r>
    </w:p>
    <w:p w:rsidR="000728AD" w:rsidRDefault="000728AD">
      <w:pPr>
        <w:spacing w:line="178" w:lineRule="exact"/>
        <w:rPr>
          <w:sz w:val="20"/>
          <w:szCs w:val="20"/>
        </w:rPr>
      </w:pPr>
    </w:p>
    <w:p w:rsidR="000728AD" w:rsidRDefault="000561BE">
      <w:pPr>
        <w:spacing w:line="260" w:lineRule="auto"/>
        <w:ind w:right="480"/>
        <w:rPr>
          <w:sz w:val="20"/>
          <w:szCs w:val="20"/>
        </w:rPr>
      </w:pPr>
      <w:r>
        <w:rPr>
          <w:rFonts w:ascii="Arial" w:eastAsia="Arial" w:hAnsi="Arial" w:cs="Arial"/>
          <w:sz w:val="20"/>
          <w:szCs w:val="20"/>
        </w:rPr>
        <w:t xml:space="preserve">These laws and regulations and interpretations thereof may change, sometimes dramatically, as a result of a variety of factors, including political, economic or social events. Such </w:t>
      </w:r>
      <w:r>
        <w:rPr>
          <w:rFonts w:ascii="Arial" w:eastAsia="Arial" w:hAnsi="Arial" w:cs="Arial"/>
          <w:sz w:val="20"/>
          <w:szCs w:val="20"/>
        </w:rPr>
        <w:t>changes may include changes in:</w:t>
      </w:r>
    </w:p>
    <w:p w:rsidR="000728AD" w:rsidRDefault="000728AD">
      <w:pPr>
        <w:spacing w:line="201" w:lineRule="exact"/>
        <w:rPr>
          <w:sz w:val="20"/>
          <w:szCs w:val="20"/>
        </w:rPr>
      </w:pPr>
    </w:p>
    <w:p w:rsidR="000728AD" w:rsidRDefault="000561BE">
      <w:pPr>
        <w:numPr>
          <w:ilvl w:val="0"/>
          <w:numId w:val="25"/>
        </w:numPr>
        <w:tabs>
          <w:tab w:val="left" w:pos="660"/>
        </w:tabs>
        <w:ind w:left="660" w:hanging="328"/>
        <w:rPr>
          <w:rFonts w:ascii="Arial" w:eastAsia="Arial" w:hAnsi="Arial" w:cs="Arial"/>
        </w:rPr>
      </w:pPr>
      <w:r>
        <w:rPr>
          <w:rFonts w:ascii="Arial" w:eastAsia="Arial" w:hAnsi="Arial" w:cs="Arial"/>
          <w:sz w:val="20"/>
          <w:szCs w:val="20"/>
        </w:rPr>
        <w:t>food and drug laws, including FDA regulations;</w:t>
      </w:r>
    </w:p>
    <w:p w:rsidR="000728AD" w:rsidRDefault="000728AD">
      <w:pPr>
        <w:spacing w:line="165" w:lineRule="exact"/>
        <w:rPr>
          <w:rFonts w:ascii="Arial" w:eastAsia="Arial" w:hAnsi="Arial" w:cs="Arial"/>
        </w:rPr>
      </w:pPr>
    </w:p>
    <w:p w:rsidR="000728AD" w:rsidRDefault="000561BE">
      <w:pPr>
        <w:numPr>
          <w:ilvl w:val="0"/>
          <w:numId w:val="25"/>
        </w:numPr>
        <w:tabs>
          <w:tab w:val="left" w:pos="660"/>
        </w:tabs>
        <w:ind w:left="660" w:hanging="328"/>
        <w:rPr>
          <w:rFonts w:ascii="Arial" w:eastAsia="Arial" w:hAnsi="Arial" w:cs="Arial"/>
        </w:rPr>
      </w:pPr>
      <w:r>
        <w:rPr>
          <w:rFonts w:ascii="Arial" w:eastAsia="Arial" w:hAnsi="Arial" w:cs="Arial"/>
          <w:sz w:val="20"/>
          <w:szCs w:val="20"/>
        </w:rPr>
        <w:t>laws related to product labeling;</w:t>
      </w:r>
    </w:p>
    <w:p w:rsidR="000728AD" w:rsidRDefault="000728AD">
      <w:pPr>
        <w:spacing w:line="165" w:lineRule="exact"/>
        <w:rPr>
          <w:rFonts w:ascii="Arial" w:eastAsia="Arial" w:hAnsi="Arial" w:cs="Arial"/>
        </w:rPr>
      </w:pPr>
    </w:p>
    <w:p w:rsidR="000728AD" w:rsidRDefault="000561BE">
      <w:pPr>
        <w:numPr>
          <w:ilvl w:val="0"/>
          <w:numId w:val="25"/>
        </w:numPr>
        <w:tabs>
          <w:tab w:val="left" w:pos="660"/>
        </w:tabs>
        <w:ind w:left="660" w:hanging="328"/>
        <w:rPr>
          <w:rFonts w:ascii="Arial" w:eastAsia="Arial" w:hAnsi="Arial" w:cs="Arial"/>
        </w:rPr>
      </w:pPr>
      <w:r>
        <w:rPr>
          <w:rFonts w:ascii="Arial" w:eastAsia="Arial" w:hAnsi="Arial" w:cs="Arial"/>
          <w:sz w:val="20"/>
          <w:szCs w:val="20"/>
        </w:rPr>
        <w:t>advertising and marketing laws and practices;</w:t>
      </w:r>
    </w:p>
    <w:p w:rsidR="000728AD" w:rsidRDefault="000728AD">
      <w:pPr>
        <w:spacing w:line="165" w:lineRule="exact"/>
        <w:rPr>
          <w:rFonts w:ascii="Arial" w:eastAsia="Arial" w:hAnsi="Arial" w:cs="Arial"/>
        </w:rPr>
      </w:pPr>
    </w:p>
    <w:p w:rsidR="000728AD" w:rsidRDefault="000561BE">
      <w:pPr>
        <w:numPr>
          <w:ilvl w:val="0"/>
          <w:numId w:val="25"/>
        </w:numPr>
        <w:tabs>
          <w:tab w:val="left" w:pos="660"/>
        </w:tabs>
        <w:ind w:left="660" w:hanging="328"/>
        <w:rPr>
          <w:rFonts w:ascii="Arial" w:eastAsia="Arial" w:hAnsi="Arial" w:cs="Arial"/>
        </w:rPr>
      </w:pPr>
      <w:r>
        <w:rPr>
          <w:rFonts w:ascii="Arial" w:eastAsia="Arial" w:hAnsi="Arial" w:cs="Arial"/>
          <w:sz w:val="20"/>
          <w:szCs w:val="20"/>
        </w:rPr>
        <w:t xml:space="preserve">laws and programs restricting the sale and advertising of certain product </w:t>
      </w:r>
      <w:r>
        <w:rPr>
          <w:rFonts w:ascii="Arial" w:eastAsia="Arial" w:hAnsi="Arial" w:cs="Arial"/>
          <w:sz w:val="20"/>
          <w:szCs w:val="20"/>
        </w:rPr>
        <w:t>candidates;</w:t>
      </w:r>
    </w:p>
    <w:p w:rsidR="000728AD" w:rsidRDefault="000728AD">
      <w:pPr>
        <w:spacing w:line="168" w:lineRule="exact"/>
        <w:rPr>
          <w:rFonts w:ascii="Arial" w:eastAsia="Arial" w:hAnsi="Arial" w:cs="Arial"/>
        </w:rPr>
      </w:pPr>
    </w:p>
    <w:p w:rsidR="000728AD" w:rsidRDefault="000561BE">
      <w:pPr>
        <w:numPr>
          <w:ilvl w:val="0"/>
          <w:numId w:val="25"/>
        </w:numPr>
        <w:tabs>
          <w:tab w:val="left" w:pos="660"/>
        </w:tabs>
        <w:ind w:left="660" w:hanging="328"/>
        <w:rPr>
          <w:rFonts w:ascii="Arial" w:eastAsia="Arial" w:hAnsi="Arial" w:cs="Arial"/>
          <w:sz w:val="21"/>
          <w:szCs w:val="21"/>
        </w:rPr>
      </w:pPr>
      <w:r>
        <w:rPr>
          <w:rFonts w:ascii="Arial" w:eastAsia="Arial" w:hAnsi="Arial" w:cs="Arial"/>
          <w:sz w:val="19"/>
          <w:szCs w:val="19"/>
        </w:rPr>
        <w:t>laws and programs aimed at regulating, restricting or eliminating ingredients present in certain of our product candidates;</w:t>
      </w:r>
    </w:p>
    <w:p w:rsidR="000728AD" w:rsidRDefault="000728AD">
      <w:pPr>
        <w:spacing w:line="177" w:lineRule="exact"/>
        <w:rPr>
          <w:rFonts w:ascii="Arial" w:eastAsia="Arial" w:hAnsi="Arial" w:cs="Arial"/>
          <w:sz w:val="21"/>
          <w:szCs w:val="21"/>
        </w:rPr>
      </w:pPr>
    </w:p>
    <w:p w:rsidR="000728AD" w:rsidRDefault="000561BE">
      <w:pPr>
        <w:numPr>
          <w:ilvl w:val="0"/>
          <w:numId w:val="25"/>
        </w:numPr>
        <w:tabs>
          <w:tab w:val="left" w:pos="655"/>
        </w:tabs>
        <w:spacing w:line="238" w:lineRule="auto"/>
        <w:ind w:left="660" w:right="440" w:hanging="328"/>
        <w:rPr>
          <w:rFonts w:ascii="Arial" w:eastAsia="Arial" w:hAnsi="Arial" w:cs="Arial"/>
        </w:rPr>
      </w:pPr>
      <w:r>
        <w:rPr>
          <w:rFonts w:ascii="Arial" w:eastAsia="Arial" w:hAnsi="Arial" w:cs="Arial"/>
          <w:sz w:val="20"/>
          <w:szCs w:val="20"/>
        </w:rPr>
        <w:t xml:space="preserve">increased regulatory scrutiny of, and increased litigation involving, product claims and concerns regarding the </w:t>
      </w:r>
      <w:r>
        <w:rPr>
          <w:rFonts w:ascii="Arial" w:eastAsia="Arial" w:hAnsi="Arial" w:cs="Arial"/>
          <w:sz w:val="20"/>
          <w:szCs w:val="20"/>
        </w:rPr>
        <w:t>actual or possible effects or side effects of ingredients in, or attributes of, certain of our product candidates;</w:t>
      </w:r>
    </w:p>
    <w:p w:rsidR="000728AD" w:rsidRDefault="000728AD">
      <w:pPr>
        <w:spacing w:line="166" w:lineRule="exact"/>
        <w:rPr>
          <w:rFonts w:ascii="Arial" w:eastAsia="Arial" w:hAnsi="Arial" w:cs="Arial"/>
        </w:rPr>
      </w:pPr>
    </w:p>
    <w:p w:rsidR="000728AD" w:rsidRDefault="000561BE">
      <w:pPr>
        <w:numPr>
          <w:ilvl w:val="0"/>
          <w:numId w:val="25"/>
        </w:numPr>
        <w:tabs>
          <w:tab w:val="left" w:pos="660"/>
        </w:tabs>
        <w:ind w:left="660" w:hanging="328"/>
        <w:rPr>
          <w:rFonts w:ascii="Arial" w:eastAsia="Arial" w:hAnsi="Arial" w:cs="Arial"/>
        </w:rPr>
      </w:pPr>
      <w:r>
        <w:rPr>
          <w:rFonts w:ascii="Arial" w:eastAsia="Arial" w:hAnsi="Arial" w:cs="Arial"/>
          <w:sz w:val="20"/>
          <w:szCs w:val="20"/>
        </w:rPr>
        <w:t>state and federal consumer protection and disclosure laws;</w:t>
      </w:r>
    </w:p>
    <w:p w:rsidR="000728AD" w:rsidRDefault="000728AD">
      <w:pPr>
        <w:spacing w:line="168" w:lineRule="exact"/>
        <w:rPr>
          <w:rFonts w:ascii="Arial" w:eastAsia="Arial" w:hAnsi="Arial" w:cs="Arial"/>
        </w:rPr>
      </w:pPr>
    </w:p>
    <w:p w:rsidR="000728AD" w:rsidRDefault="000561BE">
      <w:pPr>
        <w:numPr>
          <w:ilvl w:val="0"/>
          <w:numId w:val="25"/>
        </w:numPr>
        <w:tabs>
          <w:tab w:val="left" w:pos="655"/>
        </w:tabs>
        <w:spacing w:line="238" w:lineRule="auto"/>
        <w:ind w:left="660" w:right="20" w:hanging="328"/>
        <w:rPr>
          <w:rFonts w:ascii="Arial" w:eastAsia="Arial" w:hAnsi="Arial" w:cs="Arial"/>
        </w:rPr>
      </w:pPr>
      <w:r>
        <w:rPr>
          <w:rFonts w:ascii="Arial" w:eastAsia="Arial" w:hAnsi="Arial" w:cs="Arial"/>
          <w:sz w:val="20"/>
          <w:szCs w:val="20"/>
        </w:rPr>
        <w:t>changes in law due to unforeseen events such as COVID-19 that may result in addi</w:t>
      </w:r>
      <w:r>
        <w:rPr>
          <w:rFonts w:ascii="Arial" w:eastAsia="Arial" w:hAnsi="Arial" w:cs="Arial"/>
          <w:sz w:val="20"/>
          <w:szCs w:val="20"/>
        </w:rPr>
        <w:t>tional costs or disruptions in our operations, such as the Families First Coronavirus Response Act, or local government orders or restrictions which could limit our business operations; and</w:t>
      </w:r>
    </w:p>
    <w:p w:rsidR="000728AD" w:rsidRDefault="000728AD">
      <w:pPr>
        <w:spacing w:line="170" w:lineRule="exact"/>
        <w:rPr>
          <w:rFonts w:ascii="Arial" w:eastAsia="Arial" w:hAnsi="Arial" w:cs="Arial"/>
        </w:rPr>
      </w:pPr>
    </w:p>
    <w:p w:rsidR="000728AD" w:rsidRDefault="000561BE">
      <w:pPr>
        <w:numPr>
          <w:ilvl w:val="0"/>
          <w:numId w:val="25"/>
        </w:numPr>
        <w:tabs>
          <w:tab w:val="left" w:pos="655"/>
        </w:tabs>
        <w:spacing w:line="238" w:lineRule="auto"/>
        <w:ind w:left="660" w:right="20" w:hanging="328"/>
        <w:rPr>
          <w:rFonts w:ascii="Arial" w:eastAsia="Arial" w:hAnsi="Arial" w:cs="Arial"/>
        </w:rPr>
      </w:pPr>
      <w:r>
        <w:rPr>
          <w:rFonts w:ascii="Arial" w:eastAsia="Arial" w:hAnsi="Arial" w:cs="Arial"/>
          <w:sz w:val="20"/>
          <w:szCs w:val="20"/>
        </w:rPr>
        <w:t xml:space="preserve">increased sponsor or company obligations under privacy laws such </w:t>
      </w:r>
      <w:r>
        <w:rPr>
          <w:rFonts w:ascii="Arial" w:eastAsia="Arial" w:hAnsi="Arial" w:cs="Arial"/>
          <w:sz w:val="20"/>
          <w:szCs w:val="20"/>
        </w:rPr>
        <w:t>as the federal Health Insurance Portability and Accountability Act of 1996, or HIPAA, and GDPR.</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93" w:lineRule="exact"/>
        <w:rPr>
          <w:sz w:val="20"/>
          <w:szCs w:val="20"/>
        </w:rPr>
      </w:pPr>
    </w:p>
    <w:p w:rsidR="000728AD" w:rsidRDefault="000561BE">
      <w:pPr>
        <w:ind w:right="-19"/>
        <w:jc w:val="center"/>
        <w:rPr>
          <w:sz w:val="20"/>
          <w:szCs w:val="20"/>
        </w:rPr>
      </w:pPr>
      <w:r>
        <w:rPr>
          <w:rFonts w:ascii="Arial" w:eastAsia="Arial" w:hAnsi="Arial" w:cs="Arial"/>
          <w:sz w:val="18"/>
          <w:szCs w:val="18"/>
        </w:rPr>
        <w:t>57</w:t>
      </w:r>
    </w:p>
    <w:p w:rsidR="000728AD" w:rsidRDefault="000561BE">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58" w:name="page58"/>
    <w:bookmarkEnd w:id="58"/>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60" w:lineRule="auto"/>
        <w:ind w:right="60"/>
        <w:rPr>
          <w:sz w:val="20"/>
          <w:szCs w:val="20"/>
        </w:rPr>
      </w:pPr>
      <w:r>
        <w:rPr>
          <w:rFonts w:ascii="Arial" w:eastAsia="Arial" w:hAnsi="Arial" w:cs="Arial"/>
          <w:sz w:val="20"/>
          <w:szCs w:val="20"/>
        </w:rPr>
        <w:t xml:space="preserve">New laws, regulations or governmental policy and their related </w:t>
      </w:r>
      <w:r>
        <w:rPr>
          <w:rFonts w:ascii="Arial" w:eastAsia="Arial" w:hAnsi="Arial" w:cs="Arial"/>
          <w:sz w:val="20"/>
          <w:szCs w:val="20"/>
        </w:rPr>
        <w:t>interpretations, or changes in any of the foregoing, may alter the environment in which we do business and, therefore, may impact our operating results or increase our costs or liabilities.</w:t>
      </w:r>
    </w:p>
    <w:p w:rsidR="000728AD" w:rsidRDefault="000728AD">
      <w:pPr>
        <w:spacing w:line="177" w:lineRule="exact"/>
        <w:rPr>
          <w:sz w:val="20"/>
          <w:szCs w:val="20"/>
        </w:rPr>
      </w:pPr>
    </w:p>
    <w:p w:rsidR="000728AD" w:rsidRDefault="000561BE">
      <w:pPr>
        <w:spacing w:line="291" w:lineRule="auto"/>
        <w:ind w:right="180"/>
        <w:rPr>
          <w:sz w:val="20"/>
          <w:szCs w:val="20"/>
        </w:rPr>
      </w:pPr>
      <w:r>
        <w:rPr>
          <w:rFonts w:ascii="Arial" w:eastAsia="Arial" w:hAnsi="Arial" w:cs="Arial"/>
          <w:b/>
          <w:bCs/>
          <w:i/>
          <w:iCs/>
          <w:sz w:val="18"/>
          <w:szCs w:val="18"/>
        </w:rPr>
        <w:t>Obtaining and maintaining regulatory approval of our drug product</w:t>
      </w:r>
      <w:r>
        <w:rPr>
          <w:rFonts w:ascii="Arial" w:eastAsia="Arial" w:hAnsi="Arial" w:cs="Arial"/>
          <w:b/>
          <w:bCs/>
          <w:i/>
          <w:iCs/>
          <w:sz w:val="18"/>
          <w:szCs w:val="18"/>
        </w:rPr>
        <w:t xml:space="preserve"> candidates or the ability to commercialize our product candidates through a non-drug regulatory pathway in one jurisdiction does not mean that we will be successful in obtaining regulatory approval or identifying a similar alternate regulatory pathway for</w:t>
      </w:r>
      <w:r>
        <w:rPr>
          <w:rFonts w:ascii="Arial" w:eastAsia="Arial" w:hAnsi="Arial" w:cs="Arial"/>
          <w:b/>
          <w:bCs/>
          <w:i/>
          <w:iCs/>
          <w:sz w:val="18"/>
          <w:szCs w:val="18"/>
        </w:rPr>
        <w:t xml:space="preserve"> our product candidates in other jurisdictions.</w:t>
      </w:r>
    </w:p>
    <w:p w:rsidR="000728AD" w:rsidRDefault="000728AD">
      <w:pPr>
        <w:spacing w:line="152" w:lineRule="exact"/>
        <w:rPr>
          <w:sz w:val="20"/>
          <w:szCs w:val="20"/>
        </w:rPr>
      </w:pPr>
    </w:p>
    <w:p w:rsidR="000728AD" w:rsidRDefault="000561BE">
      <w:pPr>
        <w:spacing w:line="271" w:lineRule="auto"/>
        <w:rPr>
          <w:sz w:val="20"/>
          <w:szCs w:val="20"/>
        </w:rPr>
      </w:pPr>
      <w:r>
        <w:rPr>
          <w:rFonts w:ascii="Arial" w:eastAsia="Arial" w:hAnsi="Arial" w:cs="Arial"/>
          <w:sz w:val="18"/>
          <w:szCs w:val="18"/>
        </w:rPr>
        <w:t xml:space="preserve">Obtaining and maintaining regulatory approval for drug product candidates or identifying or commercializing our product candidates through non-drug pathways in one jurisdiction does not guarantee that we </w:t>
      </w:r>
      <w:r>
        <w:rPr>
          <w:rFonts w:ascii="Arial" w:eastAsia="Arial" w:hAnsi="Arial" w:cs="Arial"/>
          <w:sz w:val="18"/>
          <w:szCs w:val="18"/>
        </w:rPr>
        <w:t xml:space="preserve">will be able to obtain or maintain regulatory approval or identify and maintain an alternate regulatory pathway in any other jurisdiction, while a failure or delay in obtaining regulatory approval or an alternate regulatory pathway in one jurisdiction may </w:t>
      </w:r>
      <w:r>
        <w:rPr>
          <w:rFonts w:ascii="Arial" w:eastAsia="Arial" w:hAnsi="Arial" w:cs="Arial"/>
          <w:sz w:val="18"/>
          <w:szCs w:val="18"/>
        </w:rPr>
        <w:t>have a negative effect on the regulatory approval process or path to market in others. For example, even if the FDA grants marketing approval of a drug product candidate for therapeutic indications, comparable foreign regulatory authorities could take oppo</w:t>
      </w:r>
      <w:r>
        <w:rPr>
          <w:rFonts w:ascii="Arial" w:eastAsia="Arial" w:hAnsi="Arial" w:cs="Arial"/>
          <w:sz w:val="18"/>
          <w:szCs w:val="18"/>
        </w:rPr>
        <w:t>sing positions and decline to approve the manufacturing, marketing and promotion of such product candidate in those countries. Approval procedures vary among jurisdictions and can involve requirements and administrative review periods different from, and g</w:t>
      </w:r>
      <w:r>
        <w:rPr>
          <w:rFonts w:ascii="Arial" w:eastAsia="Arial" w:hAnsi="Arial" w:cs="Arial"/>
          <w:sz w:val="18"/>
          <w:szCs w:val="18"/>
        </w:rPr>
        <w:t>reater than, those in the United States, including additional preclinical studies, Clinical Studies and Clinical Trials conducted in one jurisdiction may not be accepted by regulatory authorities in other jurisdictions. In many jurisdictions outside the Un</w:t>
      </w:r>
      <w:r>
        <w:rPr>
          <w:rFonts w:ascii="Arial" w:eastAsia="Arial" w:hAnsi="Arial" w:cs="Arial"/>
          <w:sz w:val="18"/>
          <w:szCs w:val="18"/>
        </w:rPr>
        <w:t xml:space="preserve">ited States, a product candidate must be approved for reimbursement before it can be approved for sale in that jurisdiction. In some cases, the price that we intend to charge for our products is also subject to approval and the approved price may not lead </w:t>
      </w:r>
      <w:r>
        <w:rPr>
          <w:rFonts w:ascii="Arial" w:eastAsia="Arial" w:hAnsi="Arial" w:cs="Arial"/>
          <w:sz w:val="18"/>
          <w:szCs w:val="18"/>
        </w:rPr>
        <w:t>to profitability or acceptable margins.</w:t>
      </w:r>
    </w:p>
    <w:p w:rsidR="000728AD" w:rsidRDefault="000728AD">
      <w:pPr>
        <w:spacing w:line="170" w:lineRule="exact"/>
        <w:rPr>
          <w:sz w:val="20"/>
          <w:szCs w:val="20"/>
        </w:rPr>
      </w:pPr>
    </w:p>
    <w:p w:rsidR="000728AD" w:rsidRDefault="000561BE">
      <w:pPr>
        <w:spacing w:line="243" w:lineRule="auto"/>
        <w:ind w:right="140"/>
        <w:rPr>
          <w:sz w:val="20"/>
          <w:szCs w:val="20"/>
        </w:rPr>
      </w:pPr>
      <w:r>
        <w:rPr>
          <w:rFonts w:ascii="Arial" w:eastAsia="Arial" w:hAnsi="Arial" w:cs="Arial"/>
          <w:sz w:val="20"/>
          <w:szCs w:val="20"/>
        </w:rPr>
        <w:t>We may also submit marketing applications in other countries. Regulatory authorities in jurisdictions outside of the United States may have requirements for approval of product candidates with which we must comply p</w:t>
      </w:r>
      <w:r>
        <w:rPr>
          <w:rFonts w:ascii="Arial" w:eastAsia="Arial" w:hAnsi="Arial" w:cs="Arial"/>
          <w:sz w:val="20"/>
          <w:szCs w:val="20"/>
        </w:rPr>
        <w:t>rior to marketing in those jurisdictions. Obtaining foreign regulatory approvals and compliance with foreign regulatory requirements could result in significant delays, difficulties and costs for us and could delay or prevent the introduction of our produc</w:t>
      </w:r>
      <w:r>
        <w:rPr>
          <w:rFonts w:ascii="Arial" w:eastAsia="Arial" w:hAnsi="Arial" w:cs="Arial"/>
          <w:sz w:val="20"/>
          <w:szCs w:val="20"/>
        </w:rPr>
        <w:t>ts in certain countries. If we fail to comply with the regulatory requirements in international markets or receive applicable marketing approvals, our target market will be reduced and our ability to realize the full market potential of our product candida</w:t>
      </w:r>
      <w:r>
        <w:rPr>
          <w:rFonts w:ascii="Arial" w:eastAsia="Arial" w:hAnsi="Arial" w:cs="Arial"/>
          <w:sz w:val="20"/>
          <w:szCs w:val="20"/>
        </w:rPr>
        <w:t>tes will be harmed.</w:t>
      </w:r>
    </w:p>
    <w:p w:rsidR="000728AD" w:rsidRDefault="000728AD">
      <w:pPr>
        <w:spacing w:line="196" w:lineRule="exact"/>
        <w:rPr>
          <w:sz w:val="20"/>
          <w:szCs w:val="20"/>
        </w:rPr>
      </w:pPr>
    </w:p>
    <w:p w:rsidR="000728AD" w:rsidRDefault="000561BE">
      <w:pPr>
        <w:spacing w:line="250" w:lineRule="auto"/>
        <w:ind w:right="240"/>
        <w:rPr>
          <w:sz w:val="20"/>
          <w:szCs w:val="20"/>
        </w:rPr>
      </w:pPr>
      <w:r>
        <w:rPr>
          <w:rFonts w:ascii="Arial" w:eastAsia="Arial" w:hAnsi="Arial" w:cs="Arial"/>
          <w:b/>
          <w:bCs/>
          <w:i/>
          <w:iCs/>
          <w:sz w:val="20"/>
          <w:szCs w:val="20"/>
        </w:rPr>
        <w:t>If we are not able to meet certain regulatory requirements for our product candidates or to obtain, or timely obtain, required regulatory approvals for our drug product candidates, we will not be able to commercialize or will be delaye</w:t>
      </w:r>
      <w:r>
        <w:rPr>
          <w:rFonts w:ascii="Arial" w:eastAsia="Arial" w:hAnsi="Arial" w:cs="Arial"/>
          <w:b/>
          <w:bCs/>
          <w:i/>
          <w:iCs/>
          <w:sz w:val="20"/>
          <w:szCs w:val="20"/>
        </w:rPr>
        <w:t>d in commercializing, our product candidates, and our ability to generate revenue will be materially impaired.</w:t>
      </w:r>
    </w:p>
    <w:p w:rsidR="000728AD" w:rsidRDefault="000728AD">
      <w:pPr>
        <w:spacing w:line="186" w:lineRule="exact"/>
        <w:rPr>
          <w:sz w:val="20"/>
          <w:szCs w:val="20"/>
        </w:rPr>
      </w:pPr>
    </w:p>
    <w:p w:rsidR="000728AD" w:rsidRDefault="000561BE">
      <w:pPr>
        <w:spacing w:line="255" w:lineRule="auto"/>
        <w:rPr>
          <w:sz w:val="20"/>
          <w:szCs w:val="20"/>
        </w:rPr>
      </w:pPr>
      <w:r>
        <w:rPr>
          <w:rFonts w:ascii="Arial" w:eastAsia="Arial" w:hAnsi="Arial" w:cs="Arial"/>
          <w:sz w:val="19"/>
          <w:szCs w:val="19"/>
        </w:rPr>
        <w:t xml:space="preserve">Our product candidates and the activities associated with their development and commercialization as a drug or non-drug products, including but </w:t>
      </w:r>
      <w:r>
        <w:rPr>
          <w:rFonts w:ascii="Arial" w:eastAsia="Arial" w:hAnsi="Arial" w:cs="Arial"/>
          <w:sz w:val="19"/>
          <w:szCs w:val="19"/>
        </w:rPr>
        <w:t xml:space="preserve">not limited to their design, testing, manufacture, safety, efficacy, recordkeeping, packaging, labeling, storage, holding, approval, advertising, promotion, sale, distribution, import and export are subject to comprehensive regulation by the FDA and other </w:t>
      </w:r>
      <w:r>
        <w:rPr>
          <w:rFonts w:ascii="Arial" w:eastAsia="Arial" w:hAnsi="Arial" w:cs="Arial"/>
          <w:sz w:val="19"/>
          <w:szCs w:val="19"/>
        </w:rPr>
        <w:t xml:space="preserve">regulatory agencies in the United States and by comparable authorities in other countries. Before we can commercialize any of our product candidates as a drug, we must obtain marketing approval. Before we can commercialize any of our product candidates as </w:t>
      </w:r>
      <w:r>
        <w:rPr>
          <w:rFonts w:ascii="Arial" w:eastAsia="Arial" w:hAnsi="Arial" w:cs="Arial"/>
          <w:sz w:val="19"/>
          <w:szCs w:val="19"/>
        </w:rPr>
        <w:t>a non-drug product, we may be required to follow pre- or post-market notification and other applicable regulatory requirements for ingredients and claims. We have not received approval to market any of our product candidates as drugs from regulatory author</w:t>
      </w:r>
      <w:r>
        <w:rPr>
          <w:rFonts w:ascii="Arial" w:eastAsia="Arial" w:hAnsi="Arial" w:cs="Arial"/>
          <w:sz w:val="19"/>
          <w:szCs w:val="19"/>
        </w:rPr>
        <w:t xml:space="preserve">ities in any jurisdiction nor executed on requirements for commercialization of non-drug products under applicable regulations, and it is possible that none of our current product candidates, or any product candidates we may seek to develop in the future, </w:t>
      </w:r>
      <w:r>
        <w:rPr>
          <w:rFonts w:ascii="Arial" w:eastAsia="Arial" w:hAnsi="Arial" w:cs="Arial"/>
          <w:sz w:val="19"/>
          <w:szCs w:val="19"/>
        </w:rPr>
        <w:t>will ever obtain regulatory approval, where applicable, or meet other applicable regulatory requirements to reach the market.</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6" w:lineRule="exact"/>
        <w:rPr>
          <w:sz w:val="20"/>
          <w:szCs w:val="20"/>
        </w:rPr>
      </w:pPr>
    </w:p>
    <w:p w:rsidR="000728AD" w:rsidRDefault="000561BE">
      <w:pPr>
        <w:jc w:val="center"/>
        <w:rPr>
          <w:sz w:val="20"/>
          <w:szCs w:val="20"/>
        </w:rPr>
      </w:pPr>
      <w:r>
        <w:rPr>
          <w:rFonts w:ascii="Arial" w:eastAsia="Arial" w:hAnsi="Arial" w:cs="Arial"/>
          <w:sz w:val="18"/>
          <w:szCs w:val="18"/>
        </w:rPr>
        <w:t>58</w:t>
      </w:r>
    </w:p>
    <w:p w:rsidR="000728AD" w:rsidRDefault="000561BE">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59" w:name="page59"/>
    <w:bookmarkEnd w:id="59"/>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57" w:lineRule="auto"/>
        <w:rPr>
          <w:sz w:val="20"/>
          <w:szCs w:val="20"/>
        </w:rPr>
      </w:pPr>
      <w:r>
        <w:rPr>
          <w:rFonts w:ascii="Arial" w:eastAsia="Arial" w:hAnsi="Arial" w:cs="Arial"/>
          <w:sz w:val="19"/>
          <w:szCs w:val="19"/>
        </w:rPr>
        <w:t xml:space="preserve">We, as a company, have no experience in filing and </w:t>
      </w:r>
      <w:r>
        <w:rPr>
          <w:rFonts w:ascii="Arial" w:eastAsia="Arial" w:hAnsi="Arial" w:cs="Arial"/>
          <w:sz w:val="19"/>
          <w:szCs w:val="19"/>
        </w:rPr>
        <w:t xml:space="preserve">supporting the applications necessary to gain regulatory approvals for drugs or in the submission of other petitions, notifications or registrations in the case of non-drug products, where applicable, and expect to work with or rely on third-party CROs or </w:t>
      </w:r>
      <w:r>
        <w:rPr>
          <w:rFonts w:ascii="Arial" w:eastAsia="Arial" w:hAnsi="Arial" w:cs="Arial"/>
          <w:sz w:val="19"/>
          <w:szCs w:val="19"/>
        </w:rPr>
        <w:t>regulatory consultants to assist us in this process. For example, the FDA and Federal Trade Commission, or FTC, require substantiating data or evidence for marketing claims and may require other regulatory submissions, including, for example, NDI submissio</w:t>
      </w:r>
      <w:r>
        <w:rPr>
          <w:rFonts w:ascii="Arial" w:eastAsia="Arial" w:hAnsi="Arial" w:cs="Arial"/>
          <w:sz w:val="19"/>
          <w:szCs w:val="19"/>
        </w:rPr>
        <w:t xml:space="preserve">ns for certain product ingredients in certain non-drug products before they can be sold. With respect to drug product candidates, securing regulatory approval requires the submission of extensive preclinical and clinical data and supporting information to </w:t>
      </w:r>
      <w:r>
        <w:rPr>
          <w:rFonts w:ascii="Arial" w:eastAsia="Arial" w:hAnsi="Arial" w:cs="Arial"/>
          <w:sz w:val="19"/>
          <w:szCs w:val="19"/>
        </w:rPr>
        <w:t>the various regulatory authorities for each therapeutic indication to establish the drug candidate's safety and efficacy. If we fail to execute competently on these requirements, as applicable, our product candidates may never reach the market.</w:t>
      </w:r>
    </w:p>
    <w:p w:rsidR="000728AD" w:rsidRDefault="000728AD">
      <w:pPr>
        <w:spacing w:line="180" w:lineRule="exact"/>
        <w:rPr>
          <w:sz w:val="20"/>
          <w:szCs w:val="20"/>
        </w:rPr>
      </w:pPr>
    </w:p>
    <w:p w:rsidR="000728AD" w:rsidRDefault="000561BE">
      <w:pPr>
        <w:spacing w:line="263" w:lineRule="auto"/>
        <w:ind w:right="20"/>
        <w:rPr>
          <w:sz w:val="20"/>
          <w:szCs w:val="20"/>
        </w:rPr>
      </w:pPr>
      <w:r>
        <w:rPr>
          <w:rFonts w:ascii="Arial" w:eastAsia="Arial" w:hAnsi="Arial" w:cs="Arial"/>
          <w:sz w:val="19"/>
          <w:szCs w:val="19"/>
        </w:rPr>
        <w:t>Securing r</w:t>
      </w:r>
      <w:r>
        <w:rPr>
          <w:rFonts w:ascii="Arial" w:eastAsia="Arial" w:hAnsi="Arial" w:cs="Arial"/>
          <w:sz w:val="19"/>
          <w:szCs w:val="19"/>
        </w:rPr>
        <w:t>egulatory approval for therapeutic indications also requires the submission of information about the drug manufacturing process to, and inspection of manufacturing facilities by, the relevant regulatory authority. Our drug product candidates may not be eff</w:t>
      </w:r>
      <w:r>
        <w:rPr>
          <w:rFonts w:ascii="Arial" w:eastAsia="Arial" w:hAnsi="Arial" w:cs="Arial"/>
          <w:sz w:val="19"/>
          <w:szCs w:val="19"/>
        </w:rPr>
        <w:t>ective, may be only moderately effective or may prove to have undesirable or unintended side effects, toxicities or other characteristics that may preclude our obtaining marketing approval or prevent or limit commercial use.</w:t>
      </w:r>
    </w:p>
    <w:p w:rsidR="000728AD" w:rsidRDefault="000728AD">
      <w:pPr>
        <w:spacing w:line="176" w:lineRule="exact"/>
        <w:rPr>
          <w:sz w:val="20"/>
          <w:szCs w:val="20"/>
        </w:rPr>
      </w:pPr>
    </w:p>
    <w:p w:rsidR="000728AD" w:rsidRDefault="000561BE">
      <w:pPr>
        <w:spacing w:line="273" w:lineRule="auto"/>
        <w:ind w:right="40"/>
        <w:rPr>
          <w:sz w:val="20"/>
          <w:szCs w:val="20"/>
        </w:rPr>
      </w:pPr>
      <w:r>
        <w:rPr>
          <w:rFonts w:ascii="Arial" w:eastAsia="Arial" w:hAnsi="Arial" w:cs="Arial"/>
          <w:sz w:val="18"/>
          <w:szCs w:val="18"/>
        </w:rPr>
        <w:t>The process of obtaining regul</w:t>
      </w:r>
      <w:r>
        <w:rPr>
          <w:rFonts w:ascii="Arial" w:eastAsia="Arial" w:hAnsi="Arial" w:cs="Arial"/>
          <w:sz w:val="18"/>
          <w:szCs w:val="18"/>
        </w:rPr>
        <w:t>atory approvals for therapeutic indications, both in the United States and abroad, is expensive, may take many years if additional Clinical Trials are required, if approval is obtained at all, and can vary substantially based upon a variety of factors, inc</w:t>
      </w:r>
      <w:r>
        <w:rPr>
          <w:rFonts w:ascii="Arial" w:eastAsia="Arial" w:hAnsi="Arial" w:cs="Arial"/>
          <w:sz w:val="18"/>
          <w:szCs w:val="18"/>
        </w:rPr>
        <w:t>luding the type, complexity and novelty of the product candidates involved. Changes in marketing approval policies during the development period, changes in or the enactment of additional statutes or regulations, or changes in regulatory review for each su</w:t>
      </w:r>
      <w:r>
        <w:rPr>
          <w:rFonts w:ascii="Arial" w:eastAsia="Arial" w:hAnsi="Arial" w:cs="Arial"/>
          <w:sz w:val="18"/>
          <w:szCs w:val="18"/>
        </w:rPr>
        <w:t xml:space="preserve">bmitted IND, NDA or equivalent application types, may cause delays in the approval or rejection of an application. The FDA and comparable foreign regulatory authorities have substantial discretion in the approval process of our drug product candidates and </w:t>
      </w:r>
      <w:r>
        <w:rPr>
          <w:rFonts w:ascii="Arial" w:eastAsia="Arial" w:hAnsi="Arial" w:cs="Arial"/>
          <w:sz w:val="18"/>
          <w:szCs w:val="18"/>
        </w:rPr>
        <w:t>may refuse to accept any application or may decide that our data are insufficient for approval and require additional preclinical, clinical or other studies. Our drug product candidates could be delayed in receiving, or fail to receive, regulatory approval</w:t>
      </w:r>
      <w:r>
        <w:rPr>
          <w:rFonts w:ascii="Arial" w:eastAsia="Arial" w:hAnsi="Arial" w:cs="Arial"/>
          <w:sz w:val="18"/>
          <w:szCs w:val="18"/>
        </w:rPr>
        <w:t xml:space="preserve"> for many reasons, including the following:</w:t>
      </w:r>
    </w:p>
    <w:p w:rsidR="000728AD" w:rsidRDefault="000728AD">
      <w:pPr>
        <w:spacing w:line="195" w:lineRule="exact"/>
        <w:rPr>
          <w:sz w:val="20"/>
          <w:szCs w:val="20"/>
        </w:rPr>
      </w:pPr>
    </w:p>
    <w:p w:rsidR="000728AD" w:rsidRDefault="000561BE">
      <w:pPr>
        <w:numPr>
          <w:ilvl w:val="0"/>
          <w:numId w:val="26"/>
        </w:numPr>
        <w:tabs>
          <w:tab w:val="left" w:pos="655"/>
        </w:tabs>
        <w:spacing w:line="261" w:lineRule="auto"/>
        <w:ind w:left="660" w:right="420" w:hanging="328"/>
        <w:rPr>
          <w:rFonts w:ascii="Arial" w:eastAsia="Arial" w:hAnsi="Arial" w:cs="Arial"/>
          <w:sz w:val="21"/>
          <w:szCs w:val="21"/>
        </w:rPr>
      </w:pPr>
      <w:r>
        <w:rPr>
          <w:rFonts w:ascii="Arial" w:eastAsia="Arial" w:hAnsi="Arial" w:cs="Arial"/>
          <w:sz w:val="19"/>
          <w:szCs w:val="19"/>
        </w:rPr>
        <w:t xml:space="preserve">the FDA or comparable foreign regulatory authorities may disagree with the design, including study population, dose level, dose regimen, efficacy endpoints and bioanalytical assay methods, or </w:t>
      </w:r>
      <w:r>
        <w:rPr>
          <w:rFonts w:ascii="Arial" w:eastAsia="Arial" w:hAnsi="Arial" w:cs="Arial"/>
          <w:sz w:val="19"/>
          <w:szCs w:val="19"/>
        </w:rPr>
        <w:t>implementation of our Clinical Trials;</w:t>
      </w:r>
    </w:p>
    <w:p w:rsidR="000728AD" w:rsidRDefault="000728AD">
      <w:pPr>
        <w:spacing w:line="147" w:lineRule="exact"/>
        <w:rPr>
          <w:rFonts w:ascii="Arial" w:eastAsia="Arial" w:hAnsi="Arial" w:cs="Arial"/>
          <w:sz w:val="21"/>
          <w:szCs w:val="21"/>
        </w:rPr>
      </w:pPr>
    </w:p>
    <w:p w:rsidR="000728AD" w:rsidRDefault="000561BE">
      <w:pPr>
        <w:numPr>
          <w:ilvl w:val="0"/>
          <w:numId w:val="26"/>
        </w:numPr>
        <w:tabs>
          <w:tab w:val="left" w:pos="655"/>
        </w:tabs>
        <w:spacing w:line="238" w:lineRule="auto"/>
        <w:ind w:left="660" w:right="100" w:hanging="328"/>
        <w:rPr>
          <w:rFonts w:ascii="Arial" w:eastAsia="Arial" w:hAnsi="Arial" w:cs="Arial"/>
        </w:rPr>
      </w:pPr>
      <w:r>
        <w:rPr>
          <w:rFonts w:ascii="Arial" w:eastAsia="Arial" w:hAnsi="Arial" w:cs="Arial"/>
          <w:sz w:val="20"/>
          <w:szCs w:val="20"/>
        </w:rPr>
        <w:t>we may be unable to demonstrate to the satisfaction of the FDA or comparable foreign regulatory authorities that a drug candidate is safe and effective for its proposed indication;</w:t>
      </w:r>
    </w:p>
    <w:p w:rsidR="000728AD" w:rsidRDefault="000728AD">
      <w:pPr>
        <w:spacing w:line="169" w:lineRule="exact"/>
        <w:rPr>
          <w:rFonts w:ascii="Arial" w:eastAsia="Arial" w:hAnsi="Arial" w:cs="Arial"/>
        </w:rPr>
      </w:pPr>
    </w:p>
    <w:p w:rsidR="000728AD" w:rsidRDefault="000561BE">
      <w:pPr>
        <w:numPr>
          <w:ilvl w:val="0"/>
          <w:numId w:val="26"/>
        </w:numPr>
        <w:tabs>
          <w:tab w:val="left" w:pos="655"/>
        </w:tabs>
        <w:spacing w:line="238" w:lineRule="auto"/>
        <w:ind w:left="660" w:right="700" w:hanging="328"/>
        <w:rPr>
          <w:rFonts w:ascii="Arial" w:eastAsia="Arial" w:hAnsi="Arial" w:cs="Arial"/>
        </w:rPr>
      </w:pPr>
      <w:r>
        <w:rPr>
          <w:rFonts w:ascii="Arial" w:eastAsia="Arial" w:hAnsi="Arial" w:cs="Arial"/>
          <w:sz w:val="20"/>
          <w:szCs w:val="20"/>
        </w:rPr>
        <w:t xml:space="preserve">the results of our </w:t>
      </w:r>
      <w:r>
        <w:rPr>
          <w:rFonts w:ascii="Arial" w:eastAsia="Arial" w:hAnsi="Arial" w:cs="Arial"/>
          <w:sz w:val="20"/>
          <w:szCs w:val="20"/>
        </w:rPr>
        <w:t>Clinical Trials may not meet the level of statistical significance required by the FDA or comparable foreign regulatory authorities for approval;</w:t>
      </w:r>
    </w:p>
    <w:p w:rsidR="000728AD" w:rsidRDefault="000728AD">
      <w:pPr>
        <w:spacing w:line="166" w:lineRule="exact"/>
        <w:rPr>
          <w:rFonts w:ascii="Arial" w:eastAsia="Arial" w:hAnsi="Arial" w:cs="Arial"/>
        </w:rPr>
      </w:pPr>
    </w:p>
    <w:p w:rsidR="000728AD" w:rsidRDefault="000561BE">
      <w:pPr>
        <w:numPr>
          <w:ilvl w:val="0"/>
          <w:numId w:val="26"/>
        </w:numPr>
        <w:tabs>
          <w:tab w:val="left" w:pos="660"/>
        </w:tabs>
        <w:ind w:left="660" w:hanging="328"/>
        <w:rPr>
          <w:rFonts w:ascii="Arial" w:eastAsia="Arial" w:hAnsi="Arial" w:cs="Arial"/>
        </w:rPr>
      </w:pPr>
      <w:r>
        <w:rPr>
          <w:rFonts w:ascii="Arial" w:eastAsia="Arial" w:hAnsi="Arial" w:cs="Arial"/>
          <w:sz w:val="20"/>
          <w:szCs w:val="20"/>
        </w:rPr>
        <w:t>we may be unable to demonstrate that a product candidate's clinical and other benefits outweigh its safety ri</w:t>
      </w:r>
      <w:r>
        <w:rPr>
          <w:rFonts w:ascii="Arial" w:eastAsia="Arial" w:hAnsi="Arial" w:cs="Arial"/>
          <w:sz w:val="20"/>
          <w:szCs w:val="20"/>
        </w:rPr>
        <w:t>sks;</w:t>
      </w:r>
    </w:p>
    <w:p w:rsidR="000728AD" w:rsidRDefault="000728AD">
      <w:pPr>
        <w:spacing w:line="168" w:lineRule="exact"/>
        <w:rPr>
          <w:rFonts w:ascii="Arial" w:eastAsia="Arial" w:hAnsi="Arial" w:cs="Arial"/>
        </w:rPr>
      </w:pPr>
    </w:p>
    <w:p w:rsidR="000728AD" w:rsidRDefault="000561BE">
      <w:pPr>
        <w:numPr>
          <w:ilvl w:val="0"/>
          <w:numId w:val="26"/>
        </w:numPr>
        <w:tabs>
          <w:tab w:val="left" w:pos="655"/>
        </w:tabs>
        <w:spacing w:line="238" w:lineRule="auto"/>
        <w:ind w:left="660" w:right="180" w:hanging="328"/>
        <w:rPr>
          <w:rFonts w:ascii="Arial" w:eastAsia="Arial" w:hAnsi="Arial" w:cs="Arial"/>
        </w:rPr>
      </w:pPr>
      <w:r>
        <w:rPr>
          <w:rFonts w:ascii="Arial" w:eastAsia="Arial" w:hAnsi="Arial" w:cs="Arial"/>
          <w:sz w:val="20"/>
          <w:szCs w:val="20"/>
        </w:rPr>
        <w:t>the FDA or comparable foreign regulatory authorities may disagree with our interpretation of data from preclinical studies, Clinical Studies or Clinical Trials;</w:t>
      </w:r>
    </w:p>
    <w:p w:rsidR="000728AD" w:rsidRDefault="000728AD">
      <w:pPr>
        <w:spacing w:line="169" w:lineRule="exact"/>
        <w:rPr>
          <w:rFonts w:ascii="Arial" w:eastAsia="Arial" w:hAnsi="Arial" w:cs="Arial"/>
        </w:rPr>
      </w:pPr>
    </w:p>
    <w:p w:rsidR="000728AD" w:rsidRDefault="000561BE">
      <w:pPr>
        <w:numPr>
          <w:ilvl w:val="0"/>
          <w:numId w:val="26"/>
        </w:numPr>
        <w:tabs>
          <w:tab w:val="left" w:pos="655"/>
        </w:tabs>
        <w:spacing w:line="303" w:lineRule="auto"/>
        <w:ind w:left="660" w:right="640" w:hanging="328"/>
        <w:rPr>
          <w:rFonts w:ascii="Arial" w:eastAsia="Arial" w:hAnsi="Arial" w:cs="Arial"/>
          <w:sz w:val="19"/>
          <w:szCs w:val="19"/>
        </w:rPr>
      </w:pPr>
      <w:r>
        <w:rPr>
          <w:rFonts w:ascii="Arial" w:eastAsia="Arial" w:hAnsi="Arial" w:cs="Arial"/>
          <w:sz w:val="18"/>
          <w:szCs w:val="18"/>
        </w:rPr>
        <w:t>the data collected from our Clinical Studies and Clinical Trials for our product candida</w:t>
      </w:r>
      <w:r>
        <w:rPr>
          <w:rFonts w:ascii="Arial" w:eastAsia="Arial" w:hAnsi="Arial" w:cs="Arial"/>
          <w:sz w:val="18"/>
          <w:szCs w:val="18"/>
        </w:rPr>
        <w:t>tes may not be sufficient to support the submission of an NDA or other submission or to obtain regulatory approval in the United States or elsewhere;</w:t>
      </w:r>
    </w:p>
    <w:p w:rsidR="000728AD" w:rsidRDefault="000728AD">
      <w:pPr>
        <w:spacing w:line="110" w:lineRule="exact"/>
        <w:rPr>
          <w:rFonts w:ascii="Arial" w:eastAsia="Arial" w:hAnsi="Arial" w:cs="Arial"/>
          <w:sz w:val="19"/>
          <w:szCs w:val="19"/>
        </w:rPr>
      </w:pPr>
    </w:p>
    <w:p w:rsidR="000728AD" w:rsidRDefault="000561BE">
      <w:pPr>
        <w:numPr>
          <w:ilvl w:val="0"/>
          <w:numId w:val="26"/>
        </w:numPr>
        <w:tabs>
          <w:tab w:val="left" w:pos="655"/>
        </w:tabs>
        <w:spacing w:line="238" w:lineRule="auto"/>
        <w:ind w:left="660" w:right="400" w:hanging="328"/>
        <w:rPr>
          <w:rFonts w:ascii="Arial" w:eastAsia="Arial" w:hAnsi="Arial" w:cs="Arial"/>
        </w:rPr>
      </w:pPr>
      <w:r>
        <w:rPr>
          <w:rFonts w:ascii="Arial" w:eastAsia="Arial" w:hAnsi="Arial" w:cs="Arial"/>
          <w:sz w:val="20"/>
          <w:szCs w:val="20"/>
        </w:rPr>
        <w:t>the FDA or comparable foreign regulatory authorities may fail to approve the manufacturing processes or f</w:t>
      </w:r>
      <w:r>
        <w:rPr>
          <w:rFonts w:ascii="Arial" w:eastAsia="Arial" w:hAnsi="Arial" w:cs="Arial"/>
          <w:sz w:val="20"/>
          <w:szCs w:val="20"/>
        </w:rPr>
        <w:t>acilities of third-party manufacturers with which we contract for clinical and commercial supplies; and</w:t>
      </w:r>
    </w:p>
    <w:p w:rsidR="000728AD" w:rsidRDefault="000728AD">
      <w:pPr>
        <w:spacing w:line="169" w:lineRule="exact"/>
        <w:rPr>
          <w:rFonts w:ascii="Arial" w:eastAsia="Arial" w:hAnsi="Arial" w:cs="Arial"/>
        </w:rPr>
      </w:pPr>
    </w:p>
    <w:p w:rsidR="000728AD" w:rsidRDefault="000561BE">
      <w:pPr>
        <w:numPr>
          <w:ilvl w:val="0"/>
          <w:numId w:val="26"/>
        </w:numPr>
        <w:tabs>
          <w:tab w:val="left" w:pos="655"/>
        </w:tabs>
        <w:spacing w:line="238" w:lineRule="auto"/>
        <w:ind w:left="660" w:right="280" w:hanging="328"/>
        <w:rPr>
          <w:rFonts w:ascii="Arial" w:eastAsia="Arial" w:hAnsi="Arial" w:cs="Arial"/>
        </w:rPr>
      </w:pPr>
      <w:r>
        <w:rPr>
          <w:rFonts w:ascii="Arial" w:eastAsia="Arial" w:hAnsi="Arial" w:cs="Arial"/>
          <w:sz w:val="20"/>
          <w:szCs w:val="20"/>
        </w:rPr>
        <w:t>the approval policies or regulations of the FDA or comparable foreign regulatory authorities may significantly change in a manner rendering our clinica</w:t>
      </w:r>
      <w:r>
        <w:rPr>
          <w:rFonts w:ascii="Arial" w:eastAsia="Arial" w:hAnsi="Arial" w:cs="Arial"/>
          <w:sz w:val="20"/>
          <w:szCs w:val="20"/>
        </w:rPr>
        <w:t>l data insufficient for approval.</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93" w:lineRule="exact"/>
        <w:rPr>
          <w:sz w:val="20"/>
          <w:szCs w:val="20"/>
        </w:rPr>
      </w:pPr>
    </w:p>
    <w:p w:rsidR="000728AD" w:rsidRDefault="000561BE">
      <w:pPr>
        <w:ind w:right="-19"/>
        <w:jc w:val="center"/>
        <w:rPr>
          <w:sz w:val="20"/>
          <w:szCs w:val="20"/>
        </w:rPr>
      </w:pPr>
      <w:r>
        <w:rPr>
          <w:rFonts w:ascii="Arial" w:eastAsia="Arial" w:hAnsi="Arial" w:cs="Arial"/>
          <w:sz w:val="18"/>
          <w:szCs w:val="18"/>
        </w:rPr>
        <w:t>59</w:t>
      </w:r>
    </w:p>
    <w:p w:rsidR="000728AD" w:rsidRDefault="000561BE">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60" w:name="page60"/>
    <w:bookmarkEnd w:id="60"/>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46" w:lineRule="auto"/>
        <w:ind w:right="80"/>
        <w:rPr>
          <w:sz w:val="20"/>
          <w:szCs w:val="20"/>
        </w:rPr>
      </w:pPr>
      <w:r>
        <w:rPr>
          <w:rFonts w:ascii="Arial" w:eastAsia="Arial" w:hAnsi="Arial" w:cs="Arial"/>
          <w:sz w:val="20"/>
          <w:szCs w:val="20"/>
        </w:rPr>
        <w:t xml:space="preserve">Of the large number of drugs in development, only a small percentage successfully complete the FDA or comparable foreign regulatory </w:t>
      </w:r>
      <w:r>
        <w:rPr>
          <w:rFonts w:ascii="Arial" w:eastAsia="Arial" w:hAnsi="Arial" w:cs="Arial"/>
          <w:sz w:val="20"/>
          <w:szCs w:val="20"/>
        </w:rPr>
        <w:t>approval processes and are commercialized. The lengthy approval process as well as the unpredictability of future Clinical Trial results may result in our failing to obtain regulatory approval to market our applicable drug product candidates as drugs, whic</w:t>
      </w:r>
      <w:r>
        <w:rPr>
          <w:rFonts w:ascii="Arial" w:eastAsia="Arial" w:hAnsi="Arial" w:cs="Arial"/>
          <w:sz w:val="20"/>
          <w:szCs w:val="20"/>
        </w:rPr>
        <w:t>h would significantly harm our business, results of operations and prospects.</w:t>
      </w:r>
    </w:p>
    <w:p w:rsidR="000728AD" w:rsidRDefault="000728AD">
      <w:pPr>
        <w:spacing w:line="191" w:lineRule="exact"/>
        <w:rPr>
          <w:sz w:val="20"/>
          <w:szCs w:val="20"/>
        </w:rPr>
      </w:pPr>
    </w:p>
    <w:p w:rsidR="000728AD" w:rsidRDefault="000561BE">
      <w:pPr>
        <w:spacing w:line="246" w:lineRule="auto"/>
        <w:rPr>
          <w:sz w:val="20"/>
          <w:szCs w:val="20"/>
        </w:rPr>
      </w:pPr>
      <w:r>
        <w:rPr>
          <w:rFonts w:ascii="Arial" w:eastAsia="Arial" w:hAnsi="Arial" w:cs="Arial"/>
          <w:sz w:val="20"/>
          <w:szCs w:val="20"/>
        </w:rPr>
        <w:t xml:space="preserve">If we decide to develop any product candidate in the therapeutic path and submit an NDA, the FDA may also require a panel of experts, or an Advisory Committee, to deliberate on </w:t>
      </w:r>
      <w:r>
        <w:rPr>
          <w:rFonts w:ascii="Arial" w:eastAsia="Arial" w:hAnsi="Arial" w:cs="Arial"/>
          <w:sz w:val="20"/>
          <w:szCs w:val="20"/>
        </w:rPr>
        <w:t xml:space="preserve">the adequacy of the safety and efficacy data to support approval for therapeutic indications. The opinion of the Advisory Committee, although not binding, may have a significant impact on our ability to obtain approval of any drug product candidates based </w:t>
      </w:r>
      <w:r>
        <w:rPr>
          <w:rFonts w:ascii="Arial" w:eastAsia="Arial" w:hAnsi="Arial" w:cs="Arial"/>
          <w:sz w:val="20"/>
          <w:szCs w:val="20"/>
        </w:rPr>
        <w:t>on the completed Clinical Trials.</w:t>
      </w:r>
    </w:p>
    <w:p w:rsidR="000728AD" w:rsidRDefault="000728AD">
      <w:pPr>
        <w:spacing w:line="191" w:lineRule="exact"/>
        <w:rPr>
          <w:sz w:val="20"/>
          <w:szCs w:val="20"/>
        </w:rPr>
      </w:pPr>
    </w:p>
    <w:p w:rsidR="000728AD" w:rsidRDefault="000561BE">
      <w:pPr>
        <w:spacing w:line="242" w:lineRule="auto"/>
        <w:rPr>
          <w:sz w:val="20"/>
          <w:szCs w:val="20"/>
        </w:rPr>
      </w:pPr>
      <w:r>
        <w:rPr>
          <w:rFonts w:ascii="Arial" w:eastAsia="Arial" w:hAnsi="Arial" w:cs="Arial"/>
          <w:sz w:val="20"/>
          <w:szCs w:val="20"/>
        </w:rPr>
        <w:t xml:space="preserve">In addition, even if we were to obtain approval for use of our product candidates as drugs, regulatory authorities may approve any of our product candidates for fewer or more limited therapeutic indications than we </w:t>
      </w:r>
      <w:r>
        <w:rPr>
          <w:rFonts w:ascii="Arial" w:eastAsia="Arial" w:hAnsi="Arial" w:cs="Arial"/>
          <w:sz w:val="20"/>
          <w:szCs w:val="20"/>
        </w:rPr>
        <w:t>request, may include limitations for use or contraindications that limit the suitable patient population, may not approve the price we intend to charge for our products, may grant approval contingent on the performance of costly post-marketing Clinical Tri</w:t>
      </w:r>
      <w:r>
        <w:rPr>
          <w:rFonts w:ascii="Arial" w:eastAsia="Arial" w:hAnsi="Arial" w:cs="Arial"/>
          <w:sz w:val="20"/>
          <w:szCs w:val="20"/>
        </w:rPr>
        <w:t>als or may approve a product candidate with a label that does not include the labeling claims necessary or desirable for the successful commercialization of that drug product candidate. Similarly, regulatory authorities may limit or prohibit label claims t</w:t>
      </w:r>
      <w:r>
        <w:rPr>
          <w:rFonts w:ascii="Arial" w:eastAsia="Arial" w:hAnsi="Arial" w:cs="Arial"/>
          <w:sz w:val="20"/>
          <w:szCs w:val="20"/>
        </w:rPr>
        <w:t>hat limit the market, price or other factors that are necessary or desirable for the successful commercialization of candidates developed as non-drug products. Any of the foregoing scenarios could materially harm the commercial prospects for our product ca</w:t>
      </w:r>
      <w:r>
        <w:rPr>
          <w:rFonts w:ascii="Arial" w:eastAsia="Arial" w:hAnsi="Arial" w:cs="Arial"/>
          <w:sz w:val="20"/>
          <w:szCs w:val="20"/>
        </w:rPr>
        <w:t>ndidates.</w:t>
      </w:r>
    </w:p>
    <w:p w:rsidR="000728AD" w:rsidRDefault="000728AD">
      <w:pPr>
        <w:spacing w:line="197" w:lineRule="exact"/>
        <w:rPr>
          <w:sz w:val="20"/>
          <w:szCs w:val="20"/>
        </w:rPr>
      </w:pPr>
    </w:p>
    <w:p w:rsidR="000728AD" w:rsidRDefault="000561BE">
      <w:pPr>
        <w:spacing w:line="250" w:lineRule="auto"/>
        <w:ind w:right="760"/>
        <w:jc w:val="both"/>
        <w:rPr>
          <w:sz w:val="20"/>
          <w:szCs w:val="20"/>
        </w:rPr>
      </w:pPr>
      <w:r>
        <w:rPr>
          <w:rFonts w:ascii="Arial" w:eastAsia="Arial" w:hAnsi="Arial" w:cs="Arial"/>
          <w:sz w:val="20"/>
          <w:szCs w:val="20"/>
        </w:rPr>
        <w:t>If we experience delays or failures in obtaining regulatory approvals, where applicable, or otherwise experience delays or failures in complying with regulatory requirements for commercialization of our product candidates, the commercial prospec</w:t>
      </w:r>
      <w:r>
        <w:rPr>
          <w:rFonts w:ascii="Arial" w:eastAsia="Arial" w:hAnsi="Arial" w:cs="Arial"/>
          <w:sz w:val="20"/>
          <w:szCs w:val="20"/>
        </w:rPr>
        <w:t>ts for our product candidates may be harmed and our ability to generate revenues will be materially impaired.</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2" w:lineRule="exact"/>
        <w:rPr>
          <w:sz w:val="20"/>
          <w:szCs w:val="20"/>
        </w:rPr>
      </w:pPr>
    </w:p>
    <w:p w:rsidR="000728AD" w:rsidRDefault="000561BE">
      <w:pPr>
        <w:ind w:right="-19"/>
        <w:jc w:val="center"/>
        <w:rPr>
          <w:sz w:val="20"/>
          <w:szCs w:val="20"/>
        </w:rPr>
      </w:pPr>
      <w:r>
        <w:rPr>
          <w:rFonts w:ascii="Arial" w:eastAsia="Arial" w:hAnsi="Arial" w:cs="Arial"/>
          <w:sz w:val="18"/>
          <w:szCs w:val="18"/>
        </w:rPr>
        <w:t>60</w:t>
      </w:r>
    </w:p>
    <w:p w:rsidR="000728AD" w:rsidRDefault="000561BE">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59" w:bottom="1440" w:left="320" w:header="0" w:footer="0" w:gutter="0"/>
          <w:cols w:space="720" w:equalWidth="0">
            <w:col w:w="11220"/>
          </w:cols>
        </w:sectPr>
      </w:pPr>
    </w:p>
    <w:bookmarkStart w:id="61" w:name="page61"/>
    <w:bookmarkEnd w:id="61"/>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316" w:lineRule="auto"/>
        <w:ind w:right="280"/>
        <w:rPr>
          <w:sz w:val="20"/>
          <w:szCs w:val="20"/>
        </w:rPr>
      </w:pPr>
      <w:r>
        <w:rPr>
          <w:rFonts w:ascii="Arial" w:eastAsia="Arial" w:hAnsi="Arial" w:cs="Arial"/>
          <w:b/>
          <w:bCs/>
          <w:i/>
          <w:iCs/>
          <w:sz w:val="18"/>
          <w:szCs w:val="18"/>
        </w:rPr>
        <w:t xml:space="preserve">The FDA and comparable foreign regulatory authorities such as the </w:t>
      </w:r>
      <w:r>
        <w:rPr>
          <w:rFonts w:ascii="Arial" w:eastAsia="Arial" w:hAnsi="Arial" w:cs="Arial"/>
          <w:b/>
          <w:bCs/>
          <w:i/>
          <w:iCs/>
          <w:sz w:val="18"/>
          <w:szCs w:val="18"/>
        </w:rPr>
        <w:t>EMA may implement additional regulations or restrictions on the development and commercialization of products that act on metabolic pathways, which may be difficult to predict.</w:t>
      </w:r>
    </w:p>
    <w:p w:rsidR="000728AD" w:rsidRDefault="000728AD">
      <w:pPr>
        <w:spacing w:line="130" w:lineRule="exact"/>
        <w:rPr>
          <w:sz w:val="20"/>
          <w:szCs w:val="20"/>
        </w:rPr>
      </w:pPr>
    </w:p>
    <w:p w:rsidR="000728AD" w:rsidRDefault="000561BE">
      <w:pPr>
        <w:spacing w:line="268" w:lineRule="auto"/>
        <w:ind w:right="20"/>
        <w:rPr>
          <w:sz w:val="20"/>
          <w:szCs w:val="20"/>
        </w:rPr>
      </w:pPr>
      <w:r>
        <w:rPr>
          <w:rFonts w:ascii="Arial" w:eastAsia="Arial" w:hAnsi="Arial" w:cs="Arial"/>
          <w:sz w:val="18"/>
          <w:szCs w:val="18"/>
        </w:rPr>
        <w:t>The FDA and comparable foreign regulatory authorities such as the EMA have exp</w:t>
      </w:r>
      <w:r>
        <w:rPr>
          <w:rFonts w:ascii="Arial" w:eastAsia="Arial" w:hAnsi="Arial" w:cs="Arial"/>
          <w:sz w:val="18"/>
          <w:szCs w:val="18"/>
        </w:rPr>
        <w:t>ressed interest in further regulating biotechnology products and product candidates such as ours. Agencies at both the federal and state level in the United States, as well as the U.S. Congressional committees and other governments or governing agencies, h</w:t>
      </w:r>
      <w:r>
        <w:rPr>
          <w:rFonts w:ascii="Arial" w:eastAsia="Arial" w:hAnsi="Arial" w:cs="Arial"/>
          <w:sz w:val="18"/>
          <w:szCs w:val="18"/>
        </w:rPr>
        <w:t>ave also expressed interest in further regulating the biotechnology industry. Such action may delay or prevent commercialization of some or all of our product candidates. Adverse developments in Clinical Studies or Clinical Trials of our product candidates</w:t>
      </w:r>
      <w:r>
        <w:rPr>
          <w:rFonts w:ascii="Arial" w:eastAsia="Arial" w:hAnsi="Arial" w:cs="Arial"/>
          <w:sz w:val="18"/>
          <w:szCs w:val="18"/>
        </w:rPr>
        <w:t xml:space="preserve"> or similar products conducted by others may cause the FDA or comparable foreign regulatory authorities to change the requirements for approval of any of our product candidates. The FDA or comparable foreign regulatory authorities may impose unexpected, on</w:t>
      </w:r>
      <w:r>
        <w:rPr>
          <w:rFonts w:ascii="Arial" w:eastAsia="Arial" w:hAnsi="Arial" w:cs="Arial"/>
          <w:sz w:val="18"/>
          <w:szCs w:val="18"/>
        </w:rPr>
        <w:t xml:space="preserve">erous requirements on our products because they are composed of multiple amino acids, requiring a clinical demonstration of the functionality and contribution of each component of our product candidates. Such requirements may include additional studies or </w:t>
      </w:r>
      <w:r>
        <w:rPr>
          <w:rFonts w:ascii="Arial" w:eastAsia="Arial" w:hAnsi="Arial" w:cs="Arial"/>
          <w:sz w:val="18"/>
          <w:szCs w:val="18"/>
        </w:rPr>
        <w:t>analyses. Similarly, the EMA and member states govern the development of product candidates as drugs in the European Union and member state regulatory bodies govern the development of product candidates under non-drug regulations and may issue new guidelin</w:t>
      </w:r>
      <w:r>
        <w:rPr>
          <w:rFonts w:ascii="Arial" w:eastAsia="Arial" w:hAnsi="Arial" w:cs="Arial"/>
          <w:sz w:val="18"/>
          <w:szCs w:val="18"/>
        </w:rPr>
        <w:t>es concerning the development and marketing authorization for our product candidates and require that we comply with these new guidelines. These regulatory review agencies and committees and the new requirements or guidelines they promulgate may lengthen t</w:t>
      </w:r>
      <w:r>
        <w:rPr>
          <w:rFonts w:ascii="Arial" w:eastAsia="Arial" w:hAnsi="Arial" w:cs="Arial"/>
          <w:sz w:val="18"/>
          <w:szCs w:val="18"/>
        </w:rPr>
        <w:t xml:space="preserve">he regulatory review process, require us to perform additional Clinical Studies or Clinical Trials, increase our development costs, lead to changes in regulatory positions and interpretations, delay or prevent approval and commercialization of our product </w:t>
      </w:r>
      <w:r>
        <w:rPr>
          <w:rFonts w:ascii="Arial" w:eastAsia="Arial" w:hAnsi="Arial" w:cs="Arial"/>
          <w:sz w:val="18"/>
          <w:szCs w:val="18"/>
        </w:rPr>
        <w:t>candidates or lead to significant limitations or restrictions. As we advance our product candidates, we will be required to consult with these regulatory agencies and comply with applicable requirements and guidelines. If we fail to do so, we may be requir</w:t>
      </w:r>
      <w:r>
        <w:rPr>
          <w:rFonts w:ascii="Arial" w:eastAsia="Arial" w:hAnsi="Arial" w:cs="Arial"/>
          <w:sz w:val="18"/>
          <w:szCs w:val="18"/>
        </w:rPr>
        <w:t>ed to delay or discontinue development of such product candidates. These additional processes may, for our drug product candidates, result in a review and approval process that is longer than we otherwise would have expected and delays as a result of an in</w:t>
      </w:r>
      <w:r>
        <w:rPr>
          <w:rFonts w:ascii="Arial" w:eastAsia="Arial" w:hAnsi="Arial" w:cs="Arial"/>
          <w:sz w:val="18"/>
          <w:szCs w:val="18"/>
        </w:rPr>
        <w:t>creased or lengthier regulatory approval process or further restrictions on the development of our product candidates can be costly and could negatively impact our ability to complete Clinical Trials and commercialize our current and future product candida</w:t>
      </w:r>
      <w:r>
        <w:rPr>
          <w:rFonts w:ascii="Arial" w:eastAsia="Arial" w:hAnsi="Arial" w:cs="Arial"/>
          <w:sz w:val="18"/>
          <w:szCs w:val="18"/>
        </w:rPr>
        <w:t>tes in a timely manner, if at all.</w:t>
      </w:r>
    </w:p>
    <w:p w:rsidR="000728AD" w:rsidRDefault="000728AD">
      <w:pPr>
        <w:spacing w:line="210" w:lineRule="exact"/>
        <w:rPr>
          <w:sz w:val="20"/>
          <w:szCs w:val="20"/>
        </w:rPr>
      </w:pPr>
    </w:p>
    <w:p w:rsidR="000728AD" w:rsidRDefault="000561BE">
      <w:pPr>
        <w:spacing w:line="260" w:lineRule="auto"/>
        <w:ind w:right="220"/>
        <w:rPr>
          <w:sz w:val="20"/>
          <w:szCs w:val="20"/>
        </w:rPr>
      </w:pPr>
      <w:r>
        <w:rPr>
          <w:rFonts w:ascii="Arial" w:eastAsia="Arial" w:hAnsi="Arial" w:cs="Arial"/>
          <w:b/>
          <w:bCs/>
          <w:i/>
          <w:iCs/>
          <w:sz w:val="19"/>
          <w:szCs w:val="19"/>
        </w:rPr>
        <w:t>Even if we receive regulatory approval of any drug product candidates, or commercialize our product candidates as non-drug products, we will be subject to ongoing regulatory compliance obligations or continued regulatory</w:t>
      </w:r>
      <w:r>
        <w:rPr>
          <w:rFonts w:ascii="Arial" w:eastAsia="Arial" w:hAnsi="Arial" w:cs="Arial"/>
          <w:b/>
          <w:bCs/>
          <w:i/>
          <w:iCs/>
          <w:sz w:val="19"/>
          <w:szCs w:val="19"/>
        </w:rPr>
        <w:t xml:space="preserve"> review, which may result in significant additional expense. Additionally, any of our product candidates, if approved or commercialized, could be subject to labeling and other restrictions and market withdrawal and we may be subject to penalties if we fail</w:t>
      </w:r>
      <w:r>
        <w:rPr>
          <w:rFonts w:ascii="Arial" w:eastAsia="Arial" w:hAnsi="Arial" w:cs="Arial"/>
          <w:b/>
          <w:bCs/>
          <w:i/>
          <w:iCs/>
          <w:sz w:val="19"/>
          <w:szCs w:val="19"/>
        </w:rPr>
        <w:t xml:space="preserve"> to comply with regulatory requirements or experience unanticipated problems with our product candidates.</w:t>
      </w:r>
    </w:p>
    <w:p w:rsidR="000728AD" w:rsidRDefault="000728AD">
      <w:pPr>
        <w:spacing w:line="207" w:lineRule="exact"/>
        <w:rPr>
          <w:sz w:val="20"/>
          <w:szCs w:val="20"/>
        </w:rPr>
      </w:pPr>
    </w:p>
    <w:p w:rsidR="000728AD" w:rsidRDefault="000561BE">
      <w:pPr>
        <w:spacing w:line="276" w:lineRule="auto"/>
        <w:rPr>
          <w:sz w:val="20"/>
          <w:szCs w:val="20"/>
        </w:rPr>
      </w:pPr>
      <w:r>
        <w:rPr>
          <w:rFonts w:ascii="Arial" w:eastAsia="Arial" w:hAnsi="Arial" w:cs="Arial"/>
          <w:sz w:val="18"/>
          <w:szCs w:val="18"/>
        </w:rPr>
        <w:t>If any of our product candidates are approved for therapeutic indications or are commercialized as non-drug products, they will be subject to ongoing</w:t>
      </w:r>
      <w:r>
        <w:rPr>
          <w:rFonts w:ascii="Arial" w:eastAsia="Arial" w:hAnsi="Arial" w:cs="Arial"/>
          <w:sz w:val="18"/>
          <w:szCs w:val="18"/>
        </w:rPr>
        <w:t xml:space="preserve"> regulatory requirements for manufacturing, processing, labeling, packaging, storage, holding, testing, distribution, quality, safety, sale, marketing, advertising, promotion, sampling, record-keeping, export, import, conduct of post-marketing studies and </w:t>
      </w:r>
      <w:r>
        <w:rPr>
          <w:rFonts w:ascii="Arial" w:eastAsia="Arial" w:hAnsi="Arial" w:cs="Arial"/>
          <w:sz w:val="18"/>
          <w:szCs w:val="18"/>
        </w:rPr>
        <w:t>submission of safety, efficacy or other post-market information. Such requirements may be imposed as federal and state requirements in the United States or by comparable foreign regulatory authorities. In addition, we will be subject to continued complianc</w:t>
      </w:r>
      <w:r>
        <w:rPr>
          <w:rFonts w:ascii="Arial" w:eastAsia="Arial" w:hAnsi="Arial" w:cs="Arial"/>
          <w:sz w:val="18"/>
          <w:szCs w:val="18"/>
        </w:rPr>
        <w:t>e with cGMP requirements as applicable to drug and non-drug products and GCP requirements for any Clinical Trials that we conduct post-approval, if applicable.</w:t>
      </w:r>
    </w:p>
    <w:p w:rsidR="000728AD" w:rsidRDefault="000728AD">
      <w:pPr>
        <w:spacing w:line="165" w:lineRule="exact"/>
        <w:rPr>
          <w:sz w:val="20"/>
          <w:szCs w:val="20"/>
        </w:rPr>
      </w:pPr>
    </w:p>
    <w:p w:rsidR="000728AD" w:rsidRDefault="000561BE">
      <w:pPr>
        <w:spacing w:line="276" w:lineRule="auto"/>
        <w:ind w:right="60"/>
        <w:rPr>
          <w:sz w:val="20"/>
          <w:szCs w:val="20"/>
        </w:rPr>
      </w:pPr>
      <w:r>
        <w:rPr>
          <w:rFonts w:ascii="Arial" w:eastAsia="Arial" w:hAnsi="Arial" w:cs="Arial"/>
          <w:sz w:val="18"/>
          <w:szCs w:val="18"/>
        </w:rPr>
        <w:t>Manufacturers and manufacturers' facilities are required to comply with extensive FDA, and comp</w:t>
      </w:r>
      <w:r>
        <w:rPr>
          <w:rFonts w:ascii="Arial" w:eastAsia="Arial" w:hAnsi="Arial" w:cs="Arial"/>
          <w:sz w:val="18"/>
          <w:szCs w:val="18"/>
        </w:rPr>
        <w:t>arable foreign regulatory authority requirements, including ensuring that quality assurance, quality control and manufacturing procedures conform to the respective cGMP regulations. As such, we and our contract manufacturers will be subject to continual re</w:t>
      </w:r>
      <w:r>
        <w:rPr>
          <w:rFonts w:ascii="Arial" w:eastAsia="Arial" w:hAnsi="Arial" w:cs="Arial"/>
          <w:sz w:val="18"/>
          <w:szCs w:val="18"/>
        </w:rPr>
        <w:t>view and inspections to assess compliance with cGMP and adherence to commitments made in any NDA, if applicable, or other marketing application or submission, and previous responses to inspection observations. Accordingly, we and others with whom we work m</w:t>
      </w:r>
      <w:r>
        <w:rPr>
          <w:rFonts w:ascii="Arial" w:eastAsia="Arial" w:hAnsi="Arial" w:cs="Arial"/>
          <w:sz w:val="18"/>
          <w:szCs w:val="18"/>
        </w:rPr>
        <w:t>ust continue to expend time, money and effort in all areas of regulatory compliance, including manufacturing, production, quality assurance and quality control.</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61" w:lineRule="exact"/>
        <w:rPr>
          <w:sz w:val="20"/>
          <w:szCs w:val="20"/>
        </w:rPr>
      </w:pPr>
    </w:p>
    <w:p w:rsidR="000728AD" w:rsidRDefault="000561BE">
      <w:pPr>
        <w:ind w:right="-19"/>
        <w:jc w:val="center"/>
        <w:rPr>
          <w:sz w:val="20"/>
          <w:szCs w:val="20"/>
        </w:rPr>
      </w:pPr>
      <w:r>
        <w:rPr>
          <w:rFonts w:ascii="Arial" w:eastAsia="Arial" w:hAnsi="Arial" w:cs="Arial"/>
          <w:sz w:val="18"/>
          <w:szCs w:val="18"/>
        </w:rPr>
        <w:t>61</w:t>
      </w:r>
    </w:p>
    <w:p w:rsidR="000728AD" w:rsidRDefault="000561BE">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62" w:name="page62"/>
    <w:bookmarkEnd w:id="62"/>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55" w:lineRule="auto"/>
        <w:ind w:right="100"/>
        <w:rPr>
          <w:sz w:val="20"/>
          <w:szCs w:val="20"/>
        </w:rPr>
      </w:pPr>
      <w:r>
        <w:rPr>
          <w:rFonts w:ascii="Arial" w:eastAsia="Arial" w:hAnsi="Arial" w:cs="Arial"/>
          <w:sz w:val="19"/>
          <w:szCs w:val="19"/>
        </w:rPr>
        <w:t xml:space="preserve">The FDA has </w:t>
      </w:r>
      <w:r>
        <w:rPr>
          <w:rFonts w:ascii="Arial" w:eastAsia="Arial" w:hAnsi="Arial" w:cs="Arial"/>
          <w:sz w:val="19"/>
          <w:szCs w:val="19"/>
        </w:rPr>
        <w:t xml:space="preserve">significant post-marketing authority, including, for example, the authority to require labeling or packaging changes based on the use of improper product claims or new safety or other information and, where applicable, to require post-marketing studies or </w:t>
      </w:r>
      <w:r>
        <w:rPr>
          <w:rFonts w:ascii="Arial" w:eastAsia="Arial" w:hAnsi="Arial" w:cs="Arial"/>
          <w:sz w:val="19"/>
          <w:szCs w:val="19"/>
        </w:rPr>
        <w:t>Clinical Trials to evaluate serious safety risks related to the use of a drug. With respect to products developed as drugs, any regulatory approvals that we receive for our product candidates may be subject to limitations on the approved indicated uses for</w:t>
      </w:r>
      <w:r>
        <w:rPr>
          <w:rFonts w:ascii="Arial" w:eastAsia="Arial" w:hAnsi="Arial" w:cs="Arial"/>
          <w:sz w:val="19"/>
          <w:szCs w:val="19"/>
        </w:rPr>
        <w:t xml:space="preserve"> which a drug may be marketed or to the conditions of approval, or contain requirements for potentially costly post-marketing testing, including Phase 4 Clinical Trials and surveillance to monitor the safety and efficacy of the product candidate. The FDA m</w:t>
      </w:r>
      <w:r>
        <w:rPr>
          <w:rFonts w:ascii="Arial" w:eastAsia="Arial" w:hAnsi="Arial" w:cs="Arial"/>
          <w:sz w:val="19"/>
          <w:szCs w:val="19"/>
        </w:rPr>
        <w:t>ay also require a Risk Evaluation and Mitigation Strategy, or REMS, program as a condition of approval of drug product candidates, which could entail requirements for long-term patient follow-up, a medication guide, physician communication plans or additio</w:t>
      </w:r>
      <w:r>
        <w:rPr>
          <w:rFonts w:ascii="Arial" w:eastAsia="Arial" w:hAnsi="Arial" w:cs="Arial"/>
          <w:sz w:val="19"/>
          <w:szCs w:val="19"/>
        </w:rPr>
        <w:t>nal elements to ensure safe use, such as restricted distribution methods, patient registries and other risk minimization tools. In addition, if the FDA or a comparable foreign regulatory authority approves our product candidates as drugs for therapeutic us</w:t>
      </w:r>
      <w:r>
        <w:rPr>
          <w:rFonts w:ascii="Arial" w:eastAsia="Arial" w:hAnsi="Arial" w:cs="Arial"/>
          <w:sz w:val="19"/>
          <w:szCs w:val="19"/>
        </w:rPr>
        <w:t>es, we will have to comply with requirements including submissions of safety and other post-marketing information and reports and registration.</w:t>
      </w:r>
    </w:p>
    <w:p w:rsidR="000728AD" w:rsidRDefault="000728AD">
      <w:pPr>
        <w:spacing w:line="187" w:lineRule="exact"/>
        <w:rPr>
          <w:sz w:val="20"/>
          <w:szCs w:val="20"/>
        </w:rPr>
      </w:pPr>
    </w:p>
    <w:p w:rsidR="000728AD" w:rsidRDefault="000561BE">
      <w:pPr>
        <w:spacing w:line="260" w:lineRule="auto"/>
        <w:ind w:right="100"/>
        <w:rPr>
          <w:sz w:val="20"/>
          <w:szCs w:val="20"/>
        </w:rPr>
      </w:pPr>
      <w:r>
        <w:rPr>
          <w:rFonts w:ascii="Arial" w:eastAsia="Arial" w:hAnsi="Arial" w:cs="Arial"/>
          <w:sz w:val="19"/>
          <w:szCs w:val="19"/>
        </w:rPr>
        <w:t xml:space="preserve">The FDA or comparable foreign regulatory authorities may take regulatory enforcement action or other legal </w:t>
      </w:r>
      <w:r>
        <w:rPr>
          <w:rFonts w:ascii="Arial" w:eastAsia="Arial" w:hAnsi="Arial" w:cs="Arial"/>
          <w:sz w:val="19"/>
          <w:szCs w:val="19"/>
        </w:rPr>
        <w:t>action or, in the case of drugs, impose consent decrees or withdraw approval if compliance with regulatory requirements and standards is not maintained or if problems occur after the product reaches the market. Later discovery of previously unknown problem</w:t>
      </w:r>
      <w:r>
        <w:rPr>
          <w:rFonts w:ascii="Arial" w:eastAsia="Arial" w:hAnsi="Arial" w:cs="Arial"/>
          <w:sz w:val="19"/>
          <w:szCs w:val="19"/>
        </w:rPr>
        <w:t>s with our product candidates, including adverse events of unanticipated severity or frequency, or with our third-party manufacturers or manufacturing processes, or failure to comply with regulatory requirements, may result in potential consequences, inclu</w:t>
      </w:r>
      <w:r>
        <w:rPr>
          <w:rFonts w:ascii="Arial" w:eastAsia="Arial" w:hAnsi="Arial" w:cs="Arial"/>
          <w:sz w:val="19"/>
          <w:szCs w:val="19"/>
        </w:rPr>
        <w:t>ding, among other things:</w:t>
      </w:r>
    </w:p>
    <w:p w:rsidR="000728AD" w:rsidRDefault="000728AD">
      <w:pPr>
        <w:spacing w:line="207" w:lineRule="exact"/>
        <w:rPr>
          <w:sz w:val="20"/>
          <w:szCs w:val="20"/>
        </w:rPr>
      </w:pPr>
    </w:p>
    <w:p w:rsidR="000728AD" w:rsidRDefault="000561BE">
      <w:pPr>
        <w:numPr>
          <w:ilvl w:val="0"/>
          <w:numId w:val="27"/>
        </w:numPr>
        <w:tabs>
          <w:tab w:val="left" w:pos="655"/>
        </w:tabs>
        <w:spacing w:line="238" w:lineRule="auto"/>
        <w:ind w:left="660" w:right="100" w:hanging="328"/>
        <w:rPr>
          <w:rFonts w:ascii="Arial" w:eastAsia="Arial" w:hAnsi="Arial" w:cs="Arial"/>
        </w:rPr>
      </w:pPr>
      <w:r>
        <w:rPr>
          <w:rFonts w:ascii="Arial" w:eastAsia="Arial" w:hAnsi="Arial" w:cs="Arial"/>
          <w:sz w:val="20"/>
          <w:szCs w:val="20"/>
        </w:rPr>
        <w:t>in the case of drug product candidates, revisions to the approved labeling to add new safety information and required regulatory submissions; imposition of post-market studies or Clinical Trials to assess new safety risks; or imp</w:t>
      </w:r>
      <w:r>
        <w:rPr>
          <w:rFonts w:ascii="Arial" w:eastAsia="Arial" w:hAnsi="Arial" w:cs="Arial"/>
          <w:sz w:val="20"/>
          <w:szCs w:val="20"/>
        </w:rPr>
        <w:t>osition of distribution restrictions or other restrictions under a REMS program;</w:t>
      </w:r>
    </w:p>
    <w:p w:rsidR="000728AD" w:rsidRDefault="000728AD">
      <w:pPr>
        <w:spacing w:line="170" w:lineRule="exact"/>
        <w:rPr>
          <w:rFonts w:ascii="Arial" w:eastAsia="Arial" w:hAnsi="Arial" w:cs="Arial"/>
        </w:rPr>
      </w:pPr>
    </w:p>
    <w:p w:rsidR="000728AD" w:rsidRDefault="000561BE">
      <w:pPr>
        <w:numPr>
          <w:ilvl w:val="0"/>
          <w:numId w:val="27"/>
        </w:numPr>
        <w:tabs>
          <w:tab w:val="left" w:pos="655"/>
        </w:tabs>
        <w:spacing w:line="238" w:lineRule="auto"/>
        <w:ind w:left="660" w:hanging="328"/>
        <w:rPr>
          <w:rFonts w:ascii="Arial" w:eastAsia="Arial" w:hAnsi="Arial" w:cs="Arial"/>
        </w:rPr>
      </w:pPr>
      <w:r>
        <w:rPr>
          <w:rFonts w:ascii="Arial" w:eastAsia="Arial" w:hAnsi="Arial" w:cs="Arial"/>
          <w:sz w:val="20"/>
          <w:szCs w:val="20"/>
        </w:rPr>
        <w:t>restrictions on the marketing or manufacturing of our products, withdrawal of the product from the market or voluntary or mandatory product recalls;</w:t>
      </w:r>
    </w:p>
    <w:p w:rsidR="000728AD" w:rsidRDefault="000728AD">
      <w:pPr>
        <w:spacing w:line="166" w:lineRule="exact"/>
        <w:rPr>
          <w:rFonts w:ascii="Arial" w:eastAsia="Arial" w:hAnsi="Arial" w:cs="Arial"/>
        </w:rPr>
      </w:pPr>
    </w:p>
    <w:p w:rsidR="000728AD" w:rsidRDefault="000561BE">
      <w:pPr>
        <w:numPr>
          <w:ilvl w:val="0"/>
          <w:numId w:val="27"/>
        </w:numPr>
        <w:tabs>
          <w:tab w:val="left" w:pos="660"/>
        </w:tabs>
        <w:ind w:left="660" w:hanging="328"/>
        <w:rPr>
          <w:rFonts w:ascii="Arial" w:eastAsia="Arial" w:hAnsi="Arial" w:cs="Arial"/>
        </w:rPr>
      </w:pPr>
      <w:r>
        <w:rPr>
          <w:rFonts w:ascii="Arial" w:eastAsia="Arial" w:hAnsi="Arial" w:cs="Arial"/>
          <w:sz w:val="20"/>
          <w:szCs w:val="20"/>
        </w:rPr>
        <w:t xml:space="preserve">re-labeling or </w:t>
      </w:r>
      <w:r>
        <w:rPr>
          <w:rFonts w:ascii="Arial" w:eastAsia="Arial" w:hAnsi="Arial" w:cs="Arial"/>
          <w:sz w:val="20"/>
          <w:szCs w:val="20"/>
        </w:rPr>
        <w:t>re-packaging;</w:t>
      </w:r>
    </w:p>
    <w:p w:rsidR="000728AD" w:rsidRDefault="000728AD">
      <w:pPr>
        <w:spacing w:line="165" w:lineRule="exact"/>
        <w:rPr>
          <w:rFonts w:ascii="Arial" w:eastAsia="Arial" w:hAnsi="Arial" w:cs="Arial"/>
        </w:rPr>
      </w:pPr>
    </w:p>
    <w:p w:rsidR="000728AD" w:rsidRDefault="000561BE">
      <w:pPr>
        <w:numPr>
          <w:ilvl w:val="0"/>
          <w:numId w:val="27"/>
        </w:numPr>
        <w:tabs>
          <w:tab w:val="left" w:pos="660"/>
        </w:tabs>
        <w:ind w:left="660" w:hanging="328"/>
        <w:rPr>
          <w:rFonts w:ascii="Arial" w:eastAsia="Arial" w:hAnsi="Arial" w:cs="Arial"/>
        </w:rPr>
      </w:pPr>
      <w:r>
        <w:rPr>
          <w:rFonts w:ascii="Arial" w:eastAsia="Arial" w:hAnsi="Arial" w:cs="Arial"/>
          <w:sz w:val="20"/>
          <w:szCs w:val="20"/>
        </w:rPr>
        <w:t>fines, warning or untitled enforcement letters or holds on Clinical Trials;</w:t>
      </w:r>
    </w:p>
    <w:p w:rsidR="000728AD" w:rsidRDefault="000728AD">
      <w:pPr>
        <w:spacing w:line="168" w:lineRule="exact"/>
        <w:rPr>
          <w:rFonts w:ascii="Arial" w:eastAsia="Arial" w:hAnsi="Arial" w:cs="Arial"/>
        </w:rPr>
      </w:pPr>
    </w:p>
    <w:p w:rsidR="000728AD" w:rsidRDefault="000561BE">
      <w:pPr>
        <w:numPr>
          <w:ilvl w:val="0"/>
          <w:numId w:val="27"/>
        </w:numPr>
        <w:tabs>
          <w:tab w:val="left" w:pos="655"/>
        </w:tabs>
        <w:spacing w:line="238" w:lineRule="auto"/>
        <w:ind w:left="660" w:right="460" w:hanging="328"/>
        <w:rPr>
          <w:rFonts w:ascii="Arial" w:eastAsia="Arial" w:hAnsi="Arial" w:cs="Arial"/>
        </w:rPr>
      </w:pPr>
      <w:r>
        <w:rPr>
          <w:rFonts w:ascii="Arial" w:eastAsia="Arial" w:hAnsi="Arial" w:cs="Arial"/>
          <w:sz w:val="20"/>
          <w:szCs w:val="20"/>
        </w:rPr>
        <w:t xml:space="preserve">in the case of drugs, refusal by the FDA to approve pending applications or supplements to approved applications filed by us or suspension or revocation of license </w:t>
      </w:r>
      <w:r>
        <w:rPr>
          <w:rFonts w:ascii="Arial" w:eastAsia="Arial" w:hAnsi="Arial" w:cs="Arial"/>
          <w:sz w:val="20"/>
          <w:szCs w:val="20"/>
        </w:rPr>
        <w:t>approvals;</w:t>
      </w:r>
    </w:p>
    <w:p w:rsidR="000728AD" w:rsidRDefault="000728AD">
      <w:pPr>
        <w:spacing w:line="166" w:lineRule="exact"/>
        <w:rPr>
          <w:rFonts w:ascii="Arial" w:eastAsia="Arial" w:hAnsi="Arial" w:cs="Arial"/>
        </w:rPr>
      </w:pPr>
    </w:p>
    <w:p w:rsidR="000728AD" w:rsidRDefault="000561BE">
      <w:pPr>
        <w:numPr>
          <w:ilvl w:val="0"/>
          <w:numId w:val="27"/>
        </w:numPr>
        <w:tabs>
          <w:tab w:val="left" w:pos="660"/>
        </w:tabs>
        <w:ind w:left="660" w:hanging="328"/>
        <w:rPr>
          <w:rFonts w:ascii="Arial" w:eastAsia="Arial" w:hAnsi="Arial" w:cs="Arial"/>
        </w:rPr>
      </w:pPr>
      <w:r>
        <w:rPr>
          <w:rFonts w:ascii="Arial" w:eastAsia="Arial" w:hAnsi="Arial" w:cs="Arial"/>
          <w:sz w:val="20"/>
          <w:szCs w:val="20"/>
        </w:rPr>
        <w:t>product seizure or detention or refusal to permit the import or export of our product candidates; and</w:t>
      </w:r>
    </w:p>
    <w:p w:rsidR="000728AD" w:rsidRDefault="000728AD">
      <w:pPr>
        <w:spacing w:line="165" w:lineRule="exact"/>
        <w:rPr>
          <w:rFonts w:ascii="Arial" w:eastAsia="Arial" w:hAnsi="Arial" w:cs="Arial"/>
        </w:rPr>
      </w:pPr>
    </w:p>
    <w:p w:rsidR="000728AD" w:rsidRDefault="000561BE">
      <w:pPr>
        <w:numPr>
          <w:ilvl w:val="0"/>
          <w:numId w:val="27"/>
        </w:numPr>
        <w:tabs>
          <w:tab w:val="left" w:pos="660"/>
        </w:tabs>
        <w:ind w:left="660" w:hanging="328"/>
        <w:rPr>
          <w:rFonts w:ascii="Arial" w:eastAsia="Arial" w:hAnsi="Arial" w:cs="Arial"/>
        </w:rPr>
      </w:pPr>
      <w:r>
        <w:rPr>
          <w:rFonts w:ascii="Arial" w:eastAsia="Arial" w:hAnsi="Arial" w:cs="Arial"/>
          <w:sz w:val="20"/>
          <w:szCs w:val="20"/>
        </w:rPr>
        <w:t>injunctions or the imposition of civil or criminal penalties.</w:t>
      </w:r>
    </w:p>
    <w:p w:rsidR="000728AD" w:rsidRDefault="000728AD">
      <w:pPr>
        <w:spacing w:line="195" w:lineRule="exact"/>
        <w:rPr>
          <w:sz w:val="20"/>
          <w:szCs w:val="20"/>
        </w:rPr>
      </w:pPr>
    </w:p>
    <w:p w:rsidR="000728AD" w:rsidRDefault="000561BE">
      <w:pPr>
        <w:spacing w:line="272" w:lineRule="auto"/>
        <w:ind w:right="60"/>
        <w:rPr>
          <w:sz w:val="20"/>
          <w:szCs w:val="20"/>
        </w:rPr>
      </w:pPr>
      <w:r>
        <w:rPr>
          <w:rFonts w:ascii="Arial" w:eastAsia="Arial" w:hAnsi="Arial" w:cs="Arial"/>
          <w:sz w:val="18"/>
          <w:szCs w:val="18"/>
        </w:rPr>
        <w:t>The FDA and FTC strictly regulate marketing, labeling, advertising and promoti</w:t>
      </w:r>
      <w:r>
        <w:rPr>
          <w:rFonts w:ascii="Arial" w:eastAsia="Arial" w:hAnsi="Arial" w:cs="Arial"/>
          <w:sz w:val="18"/>
          <w:szCs w:val="18"/>
        </w:rPr>
        <w:t>on of products that are placed on the market. Drugs may be promoted only for the approved indications and in accordance with the provisions of the approved labeling. The FDA and other agencies actively enforce the laws and regulations prohibiting the promo</w:t>
      </w:r>
      <w:r>
        <w:rPr>
          <w:rFonts w:ascii="Arial" w:eastAsia="Arial" w:hAnsi="Arial" w:cs="Arial"/>
          <w:sz w:val="18"/>
          <w:szCs w:val="18"/>
        </w:rPr>
        <w:t xml:space="preserve">tion of off-label uses for drugs, and a company that is found to have improperly promoted off-label uses may be subject to significant liability. Additionally, FDA and other regulatory authorities can take action against a company that makes misleading or </w:t>
      </w:r>
      <w:r>
        <w:rPr>
          <w:rFonts w:ascii="Arial" w:eastAsia="Arial" w:hAnsi="Arial" w:cs="Arial"/>
          <w:sz w:val="18"/>
          <w:szCs w:val="18"/>
        </w:rPr>
        <w:t xml:space="preserve">inaccurate claims regarding efficacy and safety of an approved product. Non-drug products are prohibited from making any claims, whether express or implied, that the product is intended to "diagnose, mitigate, treat, cure or prevent disease," and doing so </w:t>
      </w:r>
      <w:r>
        <w:rPr>
          <w:rFonts w:ascii="Arial" w:eastAsia="Arial" w:hAnsi="Arial" w:cs="Arial"/>
          <w:sz w:val="18"/>
          <w:szCs w:val="18"/>
        </w:rPr>
        <w:t>may subject a non-drug product to classification as a drug product and regulatory enforcement action. If the FDA or other regulatory agency determines that any of our product candidates make impermissible claims, we may be subject to any of the aforementio</w:t>
      </w:r>
      <w:r>
        <w:rPr>
          <w:rFonts w:ascii="Arial" w:eastAsia="Arial" w:hAnsi="Arial" w:cs="Arial"/>
          <w:sz w:val="18"/>
          <w:szCs w:val="18"/>
        </w:rPr>
        <w:t>ned consequences or other legal challenges that may have an adverse effect on the Company's business and operations.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67" w:lineRule="exact"/>
        <w:rPr>
          <w:sz w:val="20"/>
          <w:szCs w:val="20"/>
        </w:rPr>
      </w:pPr>
    </w:p>
    <w:p w:rsidR="000728AD" w:rsidRDefault="000561BE">
      <w:pPr>
        <w:ind w:right="-39"/>
        <w:jc w:val="center"/>
        <w:rPr>
          <w:sz w:val="20"/>
          <w:szCs w:val="20"/>
        </w:rPr>
      </w:pPr>
      <w:r>
        <w:rPr>
          <w:rFonts w:ascii="Arial" w:eastAsia="Arial" w:hAnsi="Arial" w:cs="Arial"/>
          <w:sz w:val="18"/>
          <w:szCs w:val="18"/>
        </w:rPr>
        <w:t>62</w:t>
      </w:r>
    </w:p>
    <w:p w:rsidR="000728AD" w:rsidRDefault="000561BE">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79" w:bottom="1440" w:left="320" w:header="0" w:footer="0" w:gutter="0"/>
          <w:cols w:space="720" w:equalWidth="0">
            <w:col w:w="11200"/>
          </w:cols>
        </w:sectPr>
      </w:pPr>
    </w:p>
    <w:bookmarkStart w:id="63" w:name="page63"/>
    <w:bookmarkEnd w:id="63"/>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59" w:lineRule="auto"/>
        <w:rPr>
          <w:sz w:val="20"/>
          <w:szCs w:val="20"/>
        </w:rPr>
      </w:pPr>
      <w:r>
        <w:rPr>
          <w:rFonts w:ascii="Arial" w:eastAsia="Arial" w:hAnsi="Arial" w:cs="Arial"/>
          <w:sz w:val="19"/>
          <w:szCs w:val="19"/>
        </w:rPr>
        <w:t xml:space="preserve">The policies of the FDA and of other comparable foreign </w:t>
      </w:r>
      <w:r>
        <w:rPr>
          <w:rFonts w:ascii="Arial" w:eastAsia="Arial" w:hAnsi="Arial" w:cs="Arial"/>
          <w:sz w:val="19"/>
          <w:szCs w:val="19"/>
        </w:rPr>
        <w:t>regulatory authorities may change and additional government regulations may be enacted that could prevent, limit or delay regulatory approval, where applicable, and commercialization, and continued commercialization, of our product candidates. If we are sl</w:t>
      </w:r>
      <w:r>
        <w:rPr>
          <w:rFonts w:ascii="Arial" w:eastAsia="Arial" w:hAnsi="Arial" w:cs="Arial"/>
          <w:sz w:val="19"/>
          <w:szCs w:val="19"/>
        </w:rPr>
        <w:t>ow or unable to adapt to changes in existing requirements or the adoption of new requirements or policies, or if we are not able to maintain regulatory compliance, we may lose any marketing approval that we may have obtained for any drugs, or may no longer</w:t>
      </w:r>
      <w:r>
        <w:rPr>
          <w:rFonts w:ascii="Arial" w:eastAsia="Arial" w:hAnsi="Arial" w:cs="Arial"/>
          <w:sz w:val="19"/>
          <w:szCs w:val="19"/>
        </w:rPr>
        <w:t xml:space="preserve"> be able to market or sell products we develop as non-drug products, which would adversely affect our business, prospects and ability to achieve or sustain profitability.</w:t>
      </w:r>
    </w:p>
    <w:p w:rsidR="000728AD" w:rsidRDefault="000728AD">
      <w:pPr>
        <w:spacing w:line="178" w:lineRule="exact"/>
        <w:rPr>
          <w:sz w:val="20"/>
          <w:szCs w:val="20"/>
        </w:rPr>
      </w:pPr>
    </w:p>
    <w:p w:rsidR="000728AD" w:rsidRDefault="000561BE">
      <w:pPr>
        <w:spacing w:line="274" w:lineRule="auto"/>
        <w:rPr>
          <w:sz w:val="20"/>
          <w:szCs w:val="20"/>
        </w:rPr>
      </w:pPr>
      <w:r>
        <w:rPr>
          <w:rFonts w:ascii="Arial" w:eastAsia="Arial" w:hAnsi="Arial" w:cs="Arial"/>
          <w:sz w:val="18"/>
          <w:szCs w:val="18"/>
        </w:rPr>
        <w:t>We also cannot predict the likelihood, nature or extent of government regulation tha</w:t>
      </w:r>
      <w:r>
        <w:rPr>
          <w:rFonts w:ascii="Arial" w:eastAsia="Arial" w:hAnsi="Arial" w:cs="Arial"/>
          <w:sz w:val="18"/>
          <w:szCs w:val="18"/>
        </w:rPr>
        <w:t>t may arise from future legislation or administrative or executive action, either in the United States or abroad. It is difficult to predict how any executive actions, including any executive orders, will be implemented, and the extent to which they will i</w:t>
      </w:r>
      <w:r>
        <w:rPr>
          <w:rFonts w:ascii="Arial" w:eastAsia="Arial" w:hAnsi="Arial" w:cs="Arial"/>
          <w:sz w:val="18"/>
          <w:szCs w:val="18"/>
        </w:rPr>
        <w:t xml:space="preserve">mpact the FDA's ability to exercise its regulatory authority. If any executive actions impose constraints on the FDA's ability to engage in oversight and implementation activities in the normal course, our business may be negatively impacted. In addition, </w:t>
      </w:r>
      <w:r>
        <w:rPr>
          <w:rFonts w:ascii="Arial" w:eastAsia="Arial" w:hAnsi="Arial" w:cs="Arial"/>
          <w:sz w:val="18"/>
          <w:szCs w:val="18"/>
        </w:rPr>
        <w:t xml:space="preserve">if we are slow or unable to adapt to changes in existing requirements or the adoption of new requirements or policies, or if we are not able to maintain regulatory compliance, we may lose any marketing approval that we may have obtained, where applicable, </w:t>
      </w:r>
      <w:r>
        <w:rPr>
          <w:rFonts w:ascii="Arial" w:eastAsia="Arial" w:hAnsi="Arial" w:cs="Arial"/>
          <w:sz w:val="18"/>
          <w:szCs w:val="18"/>
        </w:rPr>
        <w:t>our ability to continue to market and sell our products and we may not achieve or sustain profitability.</w:t>
      </w:r>
    </w:p>
    <w:p w:rsidR="000728AD" w:rsidRDefault="000728AD">
      <w:pPr>
        <w:spacing w:line="168" w:lineRule="exact"/>
        <w:rPr>
          <w:sz w:val="20"/>
          <w:szCs w:val="20"/>
        </w:rPr>
      </w:pPr>
    </w:p>
    <w:p w:rsidR="000728AD" w:rsidRDefault="000561BE">
      <w:pPr>
        <w:spacing w:line="260" w:lineRule="auto"/>
        <w:ind w:right="940"/>
        <w:rPr>
          <w:sz w:val="20"/>
          <w:szCs w:val="20"/>
        </w:rPr>
      </w:pPr>
      <w:r>
        <w:rPr>
          <w:rFonts w:ascii="Arial" w:eastAsia="Arial" w:hAnsi="Arial" w:cs="Arial"/>
          <w:sz w:val="20"/>
          <w:szCs w:val="20"/>
        </w:rPr>
        <w:t>Non-compliance by us or any future collaborator with regulatory requirements, including safety monitoring or pharmacovigilance requirements, where app</w:t>
      </w:r>
      <w:r>
        <w:rPr>
          <w:rFonts w:ascii="Arial" w:eastAsia="Arial" w:hAnsi="Arial" w:cs="Arial"/>
          <w:sz w:val="20"/>
          <w:szCs w:val="20"/>
        </w:rPr>
        <w:t>licable, can also result in significant financial penalties.</w:t>
      </w:r>
    </w:p>
    <w:p w:rsidR="000728AD" w:rsidRDefault="000728AD">
      <w:pPr>
        <w:spacing w:line="177" w:lineRule="exact"/>
        <w:rPr>
          <w:sz w:val="20"/>
          <w:szCs w:val="20"/>
        </w:rPr>
      </w:pPr>
    </w:p>
    <w:p w:rsidR="000728AD" w:rsidRDefault="000561BE">
      <w:pPr>
        <w:spacing w:line="287" w:lineRule="auto"/>
        <w:ind w:right="560"/>
        <w:rPr>
          <w:sz w:val="20"/>
          <w:szCs w:val="20"/>
        </w:rPr>
      </w:pPr>
      <w:r>
        <w:rPr>
          <w:rFonts w:ascii="Arial" w:eastAsia="Arial" w:hAnsi="Arial" w:cs="Arial"/>
          <w:b/>
          <w:bCs/>
          <w:i/>
          <w:iCs/>
          <w:sz w:val="19"/>
          <w:szCs w:val="19"/>
        </w:rPr>
        <w:t>Healthcare insurance coverage and reimbursement may be limited or unavailable in certain market segments for our drug product candidates, if approved, which could make it difficult for us to sel</w:t>
      </w:r>
      <w:r>
        <w:rPr>
          <w:rFonts w:ascii="Arial" w:eastAsia="Arial" w:hAnsi="Arial" w:cs="Arial"/>
          <w:b/>
          <w:bCs/>
          <w:i/>
          <w:iCs/>
          <w:sz w:val="19"/>
          <w:szCs w:val="19"/>
        </w:rPr>
        <w:t>l any such drug product profitably.</w:t>
      </w:r>
    </w:p>
    <w:p w:rsidR="000728AD" w:rsidRDefault="000728AD">
      <w:pPr>
        <w:spacing w:line="152" w:lineRule="exact"/>
        <w:rPr>
          <w:sz w:val="20"/>
          <w:szCs w:val="20"/>
        </w:rPr>
      </w:pPr>
    </w:p>
    <w:p w:rsidR="000728AD" w:rsidRDefault="000561BE">
      <w:pPr>
        <w:spacing w:line="321" w:lineRule="auto"/>
        <w:ind w:right="60"/>
        <w:rPr>
          <w:sz w:val="20"/>
          <w:szCs w:val="20"/>
        </w:rPr>
      </w:pPr>
      <w:r>
        <w:rPr>
          <w:rFonts w:ascii="Arial" w:eastAsia="Arial" w:hAnsi="Arial" w:cs="Arial"/>
          <w:sz w:val="16"/>
          <w:szCs w:val="16"/>
        </w:rPr>
        <w:t xml:space="preserve">The success of our product candidates, if approved for therapeutic indications, depends on the availability of adequate coverage and reimbursement from third-party payors, including governmental healthcare </w:t>
      </w:r>
      <w:r>
        <w:rPr>
          <w:rFonts w:ascii="Arial" w:eastAsia="Arial" w:hAnsi="Arial" w:cs="Arial"/>
          <w:sz w:val="16"/>
          <w:szCs w:val="16"/>
        </w:rPr>
        <w:t xml:space="preserve">programs, such as Medicare and Medicaid, commercial payors and health maintenance organizations. In addition, because our product candidates have the potential to represent a relatively new approach to the treatment of the diseases, we cannot be sure that </w:t>
      </w:r>
      <w:r>
        <w:rPr>
          <w:rFonts w:ascii="Arial" w:eastAsia="Arial" w:hAnsi="Arial" w:cs="Arial"/>
          <w:sz w:val="16"/>
          <w:szCs w:val="16"/>
        </w:rPr>
        <w:t>coverage and reimbursement will be available for, or accurately estimate the potential revenue from, our product candidates or assure that coverage and reimbursement will be available for any product that we may develop.</w:t>
      </w:r>
    </w:p>
    <w:p w:rsidR="000728AD" w:rsidRDefault="000728AD">
      <w:pPr>
        <w:spacing w:line="133" w:lineRule="exact"/>
        <w:rPr>
          <w:sz w:val="20"/>
          <w:szCs w:val="20"/>
        </w:rPr>
      </w:pPr>
    </w:p>
    <w:p w:rsidR="000728AD" w:rsidRDefault="000561BE">
      <w:pPr>
        <w:spacing w:line="273" w:lineRule="auto"/>
        <w:ind w:right="120"/>
        <w:rPr>
          <w:sz w:val="20"/>
          <w:szCs w:val="20"/>
        </w:rPr>
      </w:pPr>
      <w:r>
        <w:rPr>
          <w:rFonts w:ascii="Arial" w:eastAsia="Arial" w:hAnsi="Arial" w:cs="Arial"/>
          <w:sz w:val="18"/>
          <w:szCs w:val="18"/>
        </w:rPr>
        <w:t xml:space="preserve">Patients who are provided medical </w:t>
      </w:r>
      <w:r>
        <w:rPr>
          <w:rFonts w:ascii="Arial" w:eastAsia="Arial" w:hAnsi="Arial" w:cs="Arial"/>
          <w:sz w:val="18"/>
          <w:szCs w:val="18"/>
        </w:rPr>
        <w:t>treatment for their conditions generally rely on third-party payors to reimburse all or part of the costs associated with their treatment. Adequate coverage and reimbursement from governmental healthcare programs and commercial payors are critical to new p</w:t>
      </w:r>
      <w:r>
        <w:rPr>
          <w:rFonts w:ascii="Arial" w:eastAsia="Arial" w:hAnsi="Arial" w:cs="Arial"/>
          <w:sz w:val="18"/>
          <w:szCs w:val="18"/>
        </w:rPr>
        <w:t>roduct acceptance. Government authorities and third-party payors, such as private health insurers and health maintenance organizations, decide which drugs and treatments they will cover and the amount of reimbursement. In the United States, the principal d</w:t>
      </w:r>
      <w:r>
        <w:rPr>
          <w:rFonts w:ascii="Arial" w:eastAsia="Arial" w:hAnsi="Arial" w:cs="Arial"/>
          <w:sz w:val="18"/>
          <w:szCs w:val="18"/>
        </w:rPr>
        <w:t>ecisions about reimbursement for new medicines are typically made by the Centers for Medicare &amp; Medicaid Services, or CMS, an agency within the U.S. Department of Health and Human Services. CMS decides whether and to what extent a new medicine will be cove</w:t>
      </w:r>
      <w:r>
        <w:rPr>
          <w:rFonts w:ascii="Arial" w:eastAsia="Arial" w:hAnsi="Arial" w:cs="Arial"/>
          <w:sz w:val="18"/>
          <w:szCs w:val="18"/>
        </w:rPr>
        <w:t>red and reimbursed under Medicare and private payors tend to follow CMS to a substantial degree. Coverage and reimbursement by a third-party payor may depend upon a number of factors, including the third-party payor's determination that use of a product is</w:t>
      </w:r>
      <w:r>
        <w:rPr>
          <w:rFonts w:ascii="Arial" w:eastAsia="Arial" w:hAnsi="Arial" w:cs="Arial"/>
          <w:sz w:val="18"/>
          <w:szCs w:val="18"/>
        </w:rPr>
        <w:t>:</w:t>
      </w:r>
    </w:p>
    <w:p w:rsidR="000728AD" w:rsidRDefault="000728AD">
      <w:pPr>
        <w:spacing w:line="193" w:lineRule="exact"/>
        <w:rPr>
          <w:sz w:val="20"/>
          <w:szCs w:val="20"/>
        </w:rPr>
      </w:pPr>
    </w:p>
    <w:p w:rsidR="000728AD" w:rsidRDefault="000561BE">
      <w:pPr>
        <w:numPr>
          <w:ilvl w:val="0"/>
          <w:numId w:val="28"/>
        </w:numPr>
        <w:tabs>
          <w:tab w:val="left" w:pos="660"/>
        </w:tabs>
        <w:ind w:left="660" w:hanging="328"/>
        <w:rPr>
          <w:rFonts w:ascii="Arial" w:eastAsia="Arial" w:hAnsi="Arial" w:cs="Arial"/>
        </w:rPr>
      </w:pPr>
      <w:r>
        <w:rPr>
          <w:rFonts w:ascii="Arial" w:eastAsia="Arial" w:hAnsi="Arial" w:cs="Arial"/>
          <w:sz w:val="20"/>
          <w:szCs w:val="20"/>
        </w:rPr>
        <w:t>a covered benefit under its health plan;</w:t>
      </w:r>
    </w:p>
    <w:p w:rsidR="000728AD" w:rsidRDefault="000728AD">
      <w:pPr>
        <w:spacing w:line="165" w:lineRule="exact"/>
        <w:rPr>
          <w:rFonts w:ascii="Arial" w:eastAsia="Arial" w:hAnsi="Arial" w:cs="Arial"/>
        </w:rPr>
      </w:pPr>
    </w:p>
    <w:p w:rsidR="000728AD" w:rsidRDefault="000561BE">
      <w:pPr>
        <w:numPr>
          <w:ilvl w:val="0"/>
          <w:numId w:val="28"/>
        </w:numPr>
        <w:tabs>
          <w:tab w:val="left" w:pos="660"/>
        </w:tabs>
        <w:ind w:left="660" w:hanging="328"/>
        <w:rPr>
          <w:rFonts w:ascii="Arial" w:eastAsia="Arial" w:hAnsi="Arial" w:cs="Arial"/>
        </w:rPr>
      </w:pPr>
      <w:r>
        <w:rPr>
          <w:rFonts w:ascii="Arial" w:eastAsia="Arial" w:hAnsi="Arial" w:cs="Arial"/>
          <w:sz w:val="20"/>
          <w:szCs w:val="20"/>
        </w:rPr>
        <w:t>safe, effective and medically necessary;</w:t>
      </w:r>
    </w:p>
    <w:p w:rsidR="000728AD" w:rsidRDefault="000728AD">
      <w:pPr>
        <w:spacing w:line="165" w:lineRule="exact"/>
        <w:rPr>
          <w:rFonts w:ascii="Arial" w:eastAsia="Arial" w:hAnsi="Arial" w:cs="Arial"/>
        </w:rPr>
      </w:pPr>
    </w:p>
    <w:p w:rsidR="000728AD" w:rsidRDefault="000561BE">
      <w:pPr>
        <w:numPr>
          <w:ilvl w:val="0"/>
          <w:numId w:val="28"/>
        </w:numPr>
        <w:tabs>
          <w:tab w:val="left" w:pos="660"/>
        </w:tabs>
        <w:ind w:left="660" w:hanging="328"/>
        <w:rPr>
          <w:rFonts w:ascii="Arial" w:eastAsia="Arial" w:hAnsi="Arial" w:cs="Arial"/>
        </w:rPr>
      </w:pPr>
      <w:r>
        <w:rPr>
          <w:rFonts w:ascii="Arial" w:eastAsia="Arial" w:hAnsi="Arial" w:cs="Arial"/>
          <w:sz w:val="20"/>
          <w:szCs w:val="20"/>
        </w:rPr>
        <w:t>appropriate for the specific patient;</w:t>
      </w:r>
    </w:p>
    <w:p w:rsidR="000728AD" w:rsidRDefault="000728AD">
      <w:pPr>
        <w:spacing w:line="165" w:lineRule="exact"/>
        <w:rPr>
          <w:rFonts w:ascii="Arial" w:eastAsia="Arial" w:hAnsi="Arial" w:cs="Arial"/>
        </w:rPr>
      </w:pPr>
    </w:p>
    <w:p w:rsidR="000728AD" w:rsidRDefault="000561BE">
      <w:pPr>
        <w:numPr>
          <w:ilvl w:val="0"/>
          <w:numId w:val="28"/>
        </w:numPr>
        <w:tabs>
          <w:tab w:val="left" w:pos="660"/>
        </w:tabs>
        <w:ind w:left="660" w:hanging="328"/>
        <w:rPr>
          <w:rFonts w:ascii="Arial" w:eastAsia="Arial" w:hAnsi="Arial" w:cs="Arial"/>
        </w:rPr>
      </w:pPr>
      <w:r>
        <w:rPr>
          <w:rFonts w:ascii="Arial" w:eastAsia="Arial" w:hAnsi="Arial" w:cs="Arial"/>
          <w:sz w:val="20"/>
          <w:szCs w:val="20"/>
        </w:rPr>
        <w:t>cost-effective; and</w:t>
      </w:r>
    </w:p>
    <w:p w:rsidR="000728AD" w:rsidRDefault="000728AD">
      <w:pPr>
        <w:spacing w:line="219" w:lineRule="exact"/>
        <w:rPr>
          <w:rFonts w:ascii="Arial" w:eastAsia="Arial" w:hAnsi="Arial" w:cs="Arial"/>
        </w:rPr>
      </w:pPr>
    </w:p>
    <w:p w:rsidR="000728AD" w:rsidRDefault="000561BE">
      <w:pPr>
        <w:numPr>
          <w:ilvl w:val="0"/>
          <w:numId w:val="28"/>
        </w:numPr>
        <w:tabs>
          <w:tab w:val="left" w:pos="660"/>
        </w:tabs>
        <w:ind w:left="660" w:hanging="328"/>
        <w:rPr>
          <w:rFonts w:ascii="Arial" w:eastAsia="Arial" w:hAnsi="Arial" w:cs="Arial"/>
        </w:rPr>
      </w:pPr>
      <w:r>
        <w:rPr>
          <w:rFonts w:ascii="Arial" w:eastAsia="Arial" w:hAnsi="Arial" w:cs="Arial"/>
          <w:sz w:val="20"/>
          <w:szCs w:val="20"/>
        </w:rPr>
        <w:t>neither experimental nor investigational.</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92" w:lineRule="exact"/>
        <w:rPr>
          <w:sz w:val="20"/>
          <w:szCs w:val="20"/>
        </w:rPr>
      </w:pPr>
    </w:p>
    <w:p w:rsidR="000728AD" w:rsidRDefault="000561BE">
      <w:pPr>
        <w:ind w:right="-19"/>
        <w:jc w:val="center"/>
        <w:rPr>
          <w:sz w:val="20"/>
          <w:szCs w:val="20"/>
        </w:rPr>
      </w:pPr>
      <w:r>
        <w:rPr>
          <w:rFonts w:ascii="Arial" w:eastAsia="Arial" w:hAnsi="Arial" w:cs="Arial"/>
          <w:sz w:val="18"/>
          <w:szCs w:val="18"/>
        </w:rPr>
        <w:t>63</w:t>
      </w:r>
    </w:p>
    <w:p w:rsidR="000728AD" w:rsidRDefault="000561BE">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59" w:bottom="1440" w:left="320" w:header="0" w:footer="0" w:gutter="0"/>
          <w:cols w:space="720" w:equalWidth="0">
            <w:col w:w="11220"/>
          </w:cols>
        </w:sectPr>
      </w:pPr>
    </w:p>
    <w:bookmarkStart w:id="64" w:name="page64"/>
    <w:bookmarkEnd w:id="64"/>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70" w:lineRule="auto"/>
        <w:ind w:right="40"/>
        <w:rPr>
          <w:sz w:val="20"/>
          <w:szCs w:val="20"/>
        </w:rPr>
      </w:pPr>
      <w:r>
        <w:rPr>
          <w:rFonts w:ascii="Arial" w:eastAsia="Arial" w:hAnsi="Arial" w:cs="Arial"/>
          <w:sz w:val="18"/>
          <w:szCs w:val="18"/>
        </w:rPr>
        <w:t xml:space="preserve">In the United States, no uniform policy of coverage and reimbursement for products exists among third-party payors. As a result, obtaining coverage and reimbursement approval of a product from a government or </w:t>
      </w:r>
      <w:r>
        <w:rPr>
          <w:rFonts w:ascii="Arial" w:eastAsia="Arial" w:hAnsi="Arial" w:cs="Arial"/>
          <w:sz w:val="18"/>
          <w:szCs w:val="18"/>
        </w:rPr>
        <w:t>other third-party payor is a time-consuming and costly process that could require us to provide to each payor supporting scientific, clinical and cost-effectiveness data for the use of our products on a payor-by-payor basis, with no assurance that coverage</w:t>
      </w:r>
      <w:r>
        <w:rPr>
          <w:rFonts w:ascii="Arial" w:eastAsia="Arial" w:hAnsi="Arial" w:cs="Arial"/>
          <w:sz w:val="18"/>
          <w:szCs w:val="18"/>
        </w:rPr>
        <w:t xml:space="preserve"> and adequate reimbursement will be obtained. Even if we obtain coverage for a given product, the resulting reimbursement payment rates might not be adequate for us to achieve or sustain profitability or may require co-payments that patients find unaccepta</w:t>
      </w:r>
      <w:r>
        <w:rPr>
          <w:rFonts w:ascii="Arial" w:eastAsia="Arial" w:hAnsi="Arial" w:cs="Arial"/>
          <w:sz w:val="18"/>
          <w:szCs w:val="18"/>
        </w:rPr>
        <w:t>bly high. Additionally, third-party payors may not cover, or provide adequate reimbursement for, long-term follow-up evaluations required following the use of product candidates. Patients are unlikely to use our product candidates unless coverage is provid</w:t>
      </w:r>
      <w:r>
        <w:rPr>
          <w:rFonts w:ascii="Arial" w:eastAsia="Arial" w:hAnsi="Arial" w:cs="Arial"/>
          <w:sz w:val="18"/>
          <w:szCs w:val="18"/>
        </w:rPr>
        <w:t>ed, and reimbursement is adequate to cover a significant portion of the cost of our product candidates. Because our product candidates may have a higher cost of goods than conventional therapies, and may require long-term follow-up evaluations, the risk th</w:t>
      </w:r>
      <w:r>
        <w:rPr>
          <w:rFonts w:ascii="Arial" w:eastAsia="Arial" w:hAnsi="Arial" w:cs="Arial"/>
          <w:sz w:val="18"/>
          <w:szCs w:val="18"/>
        </w:rPr>
        <w:t>at coverage and reimbursement rates may be inadequate for us to achieve profitability may be greater. There is significant uncertainty related to insurance coverage and reimbursement of newly approved products and coverage may be more limited than the purp</w:t>
      </w:r>
      <w:r>
        <w:rPr>
          <w:rFonts w:ascii="Arial" w:eastAsia="Arial" w:hAnsi="Arial" w:cs="Arial"/>
          <w:sz w:val="18"/>
          <w:szCs w:val="18"/>
        </w:rPr>
        <w:t>oses for which the medicine is approved by the FDA or comparable foreign regulatory authorities. It is difficult to predict at this time what third-party payors will decide with respect to the coverage and reimbursement for our product candidates.</w:t>
      </w:r>
    </w:p>
    <w:p w:rsidR="000728AD" w:rsidRDefault="000728AD">
      <w:pPr>
        <w:spacing w:line="172" w:lineRule="exact"/>
        <w:rPr>
          <w:sz w:val="20"/>
          <w:szCs w:val="20"/>
        </w:rPr>
      </w:pPr>
    </w:p>
    <w:p w:rsidR="000728AD" w:rsidRDefault="000561BE">
      <w:pPr>
        <w:spacing w:line="278" w:lineRule="auto"/>
        <w:rPr>
          <w:sz w:val="20"/>
          <w:szCs w:val="20"/>
        </w:rPr>
      </w:pPr>
      <w:r>
        <w:rPr>
          <w:rFonts w:ascii="Arial" w:eastAsia="Arial" w:hAnsi="Arial" w:cs="Arial"/>
          <w:sz w:val="18"/>
          <w:szCs w:val="18"/>
        </w:rPr>
        <w:t>The pri</w:t>
      </w:r>
      <w:r>
        <w:rPr>
          <w:rFonts w:ascii="Arial" w:eastAsia="Arial" w:hAnsi="Arial" w:cs="Arial"/>
          <w:sz w:val="18"/>
          <w:szCs w:val="18"/>
        </w:rPr>
        <w:t>cing of prescription pharmaceuticals is also subject to governmental control outside the United States. In these other countries, pricing negotiations with governmental authorities can take considerable time after the receipt of marketing approval for a pr</w:t>
      </w:r>
      <w:r>
        <w:rPr>
          <w:rFonts w:ascii="Arial" w:eastAsia="Arial" w:hAnsi="Arial" w:cs="Arial"/>
          <w:sz w:val="18"/>
          <w:szCs w:val="18"/>
        </w:rPr>
        <w:t>oduct. To obtain reimbursement or pricing approval in some countries, we may be required to conduct a Clinical Trial that compares the cost effectiveness of our product candidates to other available therapies. If reimbursement of our products is unavailabl</w:t>
      </w:r>
      <w:r>
        <w:rPr>
          <w:rFonts w:ascii="Arial" w:eastAsia="Arial" w:hAnsi="Arial" w:cs="Arial"/>
          <w:sz w:val="18"/>
          <w:szCs w:val="18"/>
        </w:rPr>
        <w:t>e or limited in scope or amount, or if pricing is set at unsatisfactory levels, our ability to generate revenues and become profitable could be impaired.</w:t>
      </w:r>
    </w:p>
    <w:p w:rsidR="000728AD" w:rsidRDefault="000728AD">
      <w:pPr>
        <w:spacing w:line="165" w:lineRule="exact"/>
        <w:rPr>
          <w:sz w:val="20"/>
          <w:szCs w:val="20"/>
        </w:rPr>
      </w:pPr>
    </w:p>
    <w:p w:rsidR="000728AD" w:rsidRDefault="000561BE">
      <w:pPr>
        <w:spacing w:line="260" w:lineRule="auto"/>
        <w:ind w:right="540"/>
        <w:rPr>
          <w:sz w:val="20"/>
          <w:szCs w:val="20"/>
        </w:rPr>
      </w:pPr>
      <w:r>
        <w:rPr>
          <w:rFonts w:ascii="Arial" w:eastAsia="Arial" w:hAnsi="Arial" w:cs="Arial"/>
          <w:sz w:val="20"/>
          <w:szCs w:val="20"/>
        </w:rPr>
        <w:t xml:space="preserve">Healthcare insurance often does not cover non-drug products administered outside of the </w:t>
      </w:r>
      <w:r>
        <w:rPr>
          <w:rFonts w:ascii="Arial" w:eastAsia="Arial" w:hAnsi="Arial" w:cs="Arial"/>
          <w:sz w:val="20"/>
          <w:szCs w:val="20"/>
        </w:rPr>
        <w:t>hospital setting. This may impact our product candidates if we decide to commercialize them as non-drug products.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73" w:lineRule="exact"/>
        <w:rPr>
          <w:sz w:val="20"/>
          <w:szCs w:val="20"/>
        </w:rPr>
      </w:pPr>
    </w:p>
    <w:p w:rsidR="000728AD" w:rsidRDefault="000561BE">
      <w:pPr>
        <w:ind w:right="-39"/>
        <w:jc w:val="center"/>
        <w:rPr>
          <w:sz w:val="20"/>
          <w:szCs w:val="20"/>
        </w:rPr>
      </w:pPr>
      <w:r>
        <w:rPr>
          <w:rFonts w:ascii="Arial" w:eastAsia="Arial" w:hAnsi="Arial" w:cs="Arial"/>
          <w:sz w:val="18"/>
          <w:szCs w:val="18"/>
        </w:rPr>
        <w:t>64</w:t>
      </w:r>
    </w:p>
    <w:p w:rsidR="000728AD" w:rsidRDefault="000561BE">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59" w:bottom="1440" w:left="320" w:header="0" w:footer="0" w:gutter="0"/>
          <w:cols w:space="720" w:equalWidth="0">
            <w:col w:w="11220"/>
          </w:cols>
        </w:sectPr>
      </w:pPr>
    </w:p>
    <w:bookmarkStart w:id="65" w:name="page65"/>
    <w:bookmarkEnd w:id="65"/>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69" w:lineRule="auto"/>
        <w:ind w:right="160"/>
        <w:rPr>
          <w:sz w:val="20"/>
          <w:szCs w:val="20"/>
        </w:rPr>
      </w:pPr>
      <w:r>
        <w:rPr>
          <w:rFonts w:ascii="Arial" w:eastAsia="Arial" w:hAnsi="Arial" w:cs="Arial"/>
          <w:b/>
          <w:bCs/>
          <w:i/>
          <w:iCs/>
          <w:sz w:val="19"/>
          <w:szCs w:val="19"/>
        </w:rPr>
        <w:t xml:space="preserve">For our drug product candidates, our relationships with </w:t>
      </w:r>
      <w:r>
        <w:rPr>
          <w:rFonts w:ascii="Arial" w:eastAsia="Arial" w:hAnsi="Arial" w:cs="Arial"/>
          <w:b/>
          <w:bCs/>
          <w:i/>
          <w:iCs/>
          <w:sz w:val="19"/>
          <w:szCs w:val="19"/>
        </w:rPr>
        <w:t xml:space="preserve">healthcare providers, physicians and third-party payors will be subject to applicable anti-kickback, fraud and abuse and other healthcare laws and regulations, which could expose us to criminal sanctions, civil penalties, contractual damages, reputational </w:t>
      </w:r>
      <w:r>
        <w:rPr>
          <w:rFonts w:ascii="Arial" w:eastAsia="Arial" w:hAnsi="Arial" w:cs="Arial"/>
          <w:b/>
          <w:bCs/>
          <w:i/>
          <w:iCs/>
          <w:sz w:val="19"/>
          <w:szCs w:val="19"/>
        </w:rPr>
        <w:t>harm and diminished profits and future earnings.</w:t>
      </w:r>
    </w:p>
    <w:p w:rsidR="000728AD" w:rsidRDefault="000728AD">
      <w:pPr>
        <w:spacing w:line="170" w:lineRule="exact"/>
        <w:rPr>
          <w:sz w:val="20"/>
          <w:szCs w:val="20"/>
        </w:rPr>
      </w:pPr>
    </w:p>
    <w:p w:rsidR="000728AD" w:rsidRDefault="000561BE">
      <w:pPr>
        <w:spacing w:line="274" w:lineRule="auto"/>
        <w:rPr>
          <w:sz w:val="20"/>
          <w:szCs w:val="20"/>
        </w:rPr>
      </w:pPr>
      <w:r>
        <w:rPr>
          <w:rFonts w:ascii="Arial" w:eastAsia="Arial" w:hAnsi="Arial" w:cs="Arial"/>
          <w:sz w:val="18"/>
          <w:szCs w:val="18"/>
        </w:rPr>
        <w:t>If we obtain FDA approval for any of our product candidates and begin commercializing those products in the U.S., our operations may be directly, or indirectly through our future, potential customers and th</w:t>
      </w:r>
      <w:r>
        <w:rPr>
          <w:rFonts w:ascii="Arial" w:eastAsia="Arial" w:hAnsi="Arial" w:cs="Arial"/>
          <w:sz w:val="18"/>
          <w:szCs w:val="18"/>
        </w:rPr>
        <w:t>ird-party payors, subject to various federal and state fraud and abuse laws, including, without limitation, the federal Anti-Kickback Statute, the federal False Claims Act (“FCA”), and data privacy and physician sunshine laws and regulations. These laws or</w:t>
      </w:r>
      <w:r>
        <w:rPr>
          <w:rFonts w:ascii="Arial" w:eastAsia="Arial" w:hAnsi="Arial" w:cs="Arial"/>
          <w:sz w:val="18"/>
          <w:szCs w:val="18"/>
        </w:rPr>
        <w:t xml:space="preserve"> their relevant foreign counterparts may impact, among other things, our proposed sales, marketing, and education programs and our relationships with healthcare providers, physicians and other parties through which we market, sell and distribute our produc</w:t>
      </w:r>
      <w:r>
        <w:rPr>
          <w:rFonts w:ascii="Arial" w:eastAsia="Arial" w:hAnsi="Arial" w:cs="Arial"/>
          <w:sz w:val="18"/>
          <w:szCs w:val="18"/>
        </w:rPr>
        <w:t>ts for which we obtain marketing approval. In addition, we may be subject to patient privacy regulation by the federal government and the states in the U.S. as well as other jurisdictions. The laws that may affect our ability to operate include:</w:t>
      </w:r>
    </w:p>
    <w:p w:rsidR="000728AD" w:rsidRDefault="000728AD">
      <w:pPr>
        <w:spacing w:line="195" w:lineRule="exact"/>
        <w:rPr>
          <w:sz w:val="20"/>
          <w:szCs w:val="20"/>
        </w:rPr>
      </w:pPr>
    </w:p>
    <w:p w:rsidR="000728AD" w:rsidRDefault="000561BE">
      <w:pPr>
        <w:numPr>
          <w:ilvl w:val="0"/>
          <w:numId w:val="29"/>
        </w:numPr>
        <w:tabs>
          <w:tab w:val="left" w:pos="655"/>
        </w:tabs>
        <w:spacing w:line="253" w:lineRule="auto"/>
        <w:ind w:left="660" w:right="40" w:hanging="328"/>
        <w:rPr>
          <w:rFonts w:ascii="Arial" w:eastAsia="Arial" w:hAnsi="Arial" w:cs="Arial"/>
          <w:sz w:val="21"/>
          <w:szCs w:val="21"/>
        </w:rPr>
      </w:pPr>
      <w:r>
        <w:rPr>
          <w:rFonts w:ascii="Arial" w:eastAsia="Arial" w:hAnsi="Arial" w:cs="Arial"/>
          <w:sz w:val="19"/>
          <w:szCs w:val="19"/>
        </w:rPr>
        <w:t>The feder</w:t>
      </w:r>
      <w:r>
        <w:rPr>
          <w:rFonts w:ascii="Arial" w:eastAsia="Arial" w:hAnsi="Arial" w:cs="Arial"/>
          <w:sz w:val="19"/>
          <w:szCs w:val="19"/>
        </w:rPr>
        <w:t>al Anti-Kickback Statute, which prohibits, among other things, knowingly and willfully soliciting, receiving, offering or paying any remuneration (including any kickback, bribe or rebate), directly or indirectly, overtly or covertly, in cash or in kind, to</w:t>
      </w:r>
      <w:r>
        <w:rPr>
          <w:rFonts w:ascii="Arial" w:eastAsia="Arial" w:hAnsi="Arial" w:cs="Arial"/>
          <w:sz w:val="19"/>
          <w:szCs w:val="19"/>
        </w:rPr>
        <w:t xml:space="preserve"> induce or reward, or in return for, either the referral of an individual, or the purchase, lease, order or recommendation or arranging of any good, facility, item or service for which payment may be made, in whole or in part, under a federal healthcare pr</w:t>
      </w:r>
      <w:r>
        <w:rPr>
          <w:rFonts w:ascii="Arial" w:eastAsia="Arial" w:hAnsi="Arial" w:cs="Arial"/>
          <w:sz w:val="19"/>
          <w:szCs w:val="19"/>
        </w:rPr>
        <w:t>ogram, such as the Medicare and Medicaid programs. A person or entity can be found guilty of violating the statute without actual knowledge of the statute or specific intent to violate it. In addition, a claim including items or services resulting from a v</w:t>
      </w:r>
      <w:r>
        <w:rPr>
          <w:rFonts w:ascii="Arial" w:eastAsia="Arial" w:hAnsi="Arial" w:cs="Arial"/>
          <w:sz w:val="19"/>
          <w:szCs w:val="19"/>
        </w:rPr>
        <w:t>iolation of the federal Anti-Kickback Statute constitutes a false or fraudulent claim for purposes of the FCA. The Anti-Kickback Statute has been interpreted to apply to arrangements between pharmaceutical manufacturers on the one hand and prescribers, pur</w:t>
      </w:r>
      <w:r>
        <w:rPr>
          <w:rFonts w:ascii="Arial" w:eastAsia="Arial" w:hAnsi="Arial" w:cs="Arial"/>
          <w:sz w:val="19"/>
          <w:szCs w:val="19"/>
        </w:rPr>
        <w:t>chasers and formulary managers on the other. There are a number of statutory exceptions and regulatory safe harbors protecting some common activities from prosecution.</w:t>
      </w:r>
    </w:p>
    <w:p w:rsidR="000728AD" w:rsidRDefault="000728AD">
      <w:pPr>
        <w:spacing w:line="156" w:lineRule="exact"/>
        <w:rPr>
          <w:rFonts w:ascii="Arial" w:eastAsia="Arial" w:hAnsi="Arial" w:cs="Arial"/>
          <w:sz w:val="21"/>
          <w:szCs w:val="21"/>
        </w:rPr>
      </w:pPr>
    </w:p>
    <w:p w:rsidR="000728AD" w:rsidRDefault="000561BE">
      <w:pPr>
        <w:numPr>
          <w:ilvl w:val="0"/>
          <w:numId w:val="29"/>
        </w:numPr>
        <w:tabs>
          <w:tab w:val="left" w:pos="655"/>
        </w:tabs>
        <w:spacing w:line="253" w:lineRule="auto"/>
        <w:ind w:left="660" w:right="40" w:hanging="328"/>
        <w:rPr>
          <w:rFonts w:ascii="Arial" w:eastAsia="Arial" w:hAnsi="Arial" w:cs="Arial"/>
          <w:sz w:val="21"/>
          <w:szCs w:val="21"/>
        </w:rPr>
      </w:pPr>
      <w:r>
        <w:rPr>
          <w:rFonts w:ascii="Arial" w:eastAsia="Arial" w:hAnsi="Arial" w:cs="Arial"/>
          <w:sz w:val="19"/>
          <w:szCs w:val="19"/>
        </w:rPr>
        <w:t xml:space="preserve">Federal civil and criminal false claims laws and civil monetary penalty laws, </w:t>
      </w:r>
      <w:r>
        <w:rPr>
          <w:rFonts w:ascii="Arial" w:eastAsia="Arial" w:hAnsi="Arial" w:cs="Arial"/>
          <w:sz w:val="19"/>
          <w:szCs w:val="19"/>
        </w:rPr>
        <w:t>including the FCA, which prohibit, among other things, individuals or entities from knowingly presenting, or causing to be presented, false or fraudulent claims for payment to, or approval by Medicare, Medicaid or other federal healthcare programs, knowing</w:t>
      </w:r>
      <w:r>
        <w:rPr>
          <w:rFonts w:ascii="Arial" w:eastAsia="Arial" w:hAnsi="Arial" w:cs="Arial"/>
          <w:sz w:val="19"/>
          <w:szCs w:val="19"/>
        </w:rPr>
        <w:t>ly making, using or causing to be made or used a false record or statement material to a false, fictitious or fraudulent claim or an obligation to pay or transmit money to the federal government, or knowingly concealing or knowingly and improperly avoiding</w:t>
      </w:r>
      <w:r>
        <w:rPr>
          <w:rFonts w:ascii="Arial" w:eastAsia="Arial" w:hAnsi="Arial" w:cs="Arial"/>
          <w:sz w:val="19"/>
          <w:szCs w:val="19"/>
        </w:rPr>
        <w:t xml:space="preserve"> or decreasing or concealing an obligation to pay money to the federal government. Manufacturers can be held liable under the FCA even when they do not submit claims directly to government payors if they are deemed to "cause" the submission of false or fra</w:t>
      </w:r>
      <w:r>
        <w:rPr>
          <w:rFonts w:ascii="Arial" w:eastAsia="Arial" w:hAnsi="Arial" w:cs="Arial"/>
          <w:sz w:val="19"/>
          <w:szCs w:val="19"/>
        </w:rPr>
        <w:t>udulent claims. The FCA also permits a private individual acting as a "whistleblower" to bring actions on behalf of the federal government alleging violations of the FCA and to share in any monetary recovery. A claim that includes items or services resulti</w:t>
      </w:r>
      <w:r>
        <w:rPr>
          <w:rFonts w:ascii="Arial" w:eastAsia="Arial" w:hAnsi="Arial" w:cs="Arial"/>
          <w:sz w:val="19"/>
          <w:szCs w:val="19"/>
        </w:rPr>
        <w:t>ng from a violation of the federal Anti-Kickback Statute constitutes a false or fraudulent claim under the federal civil False Claims Act.</w:t>
      </w:r>
    </w:p>
    <w:p w:rsidR="000728AD" w:rsidRDefault="000728AD">
      <w:pPr>
        <w:spacing w:line="156" w:lineRule="exact"/>
        <w:rPr>
          <w:rFonts w:ascii="Arial" w:eastAsia="Arial" w:hAnsi="Arial" w:cs="Arial"/>
          <w:sz w:val="21"/>
          <w:szCs w:val="21"/>
        </w:rPr>
      </w:pPr>
    </w:p>
    <w:p w:rsidR="000728AD" w:rsidRDefault="000561BE">
      <w:pPr>
        <w:numPr>
          <w:ilvl w:val="0"/>
          <w:numId w:val="29"/>
        </w:numPr>
        <w:tabs>
          <w:tab w:val="left" w:pos="655"/>
        </w:tabs>
        <w:spacing w:line="253" w:lineRule="auto"/>
        <w:ind w:left="660" w:right="120" w:hanging="328"/>
        <w:rPr>
          <w:rFonts w:ascii="Arial" w:eastAsia="Arial" w:hAnsi="Arial" w:cs="Arial"/>
          <w:sz w:val="21"/>
          <w:szCs w:val="21"/>
        </w:rPr>
      </w:pPr>
      <w:r>
        <w:rPr>
          <w:rFonts w:ascii="Arial" w:eastAsia="Arial" w:hAnsi="Arial" w:cs="Arial"/>
          <w:sz w:val="19"/>
          <w:szCs w:val="19"/>
        </w:rPr>
        <w:t>The federal Physician Payment Sunshine Act, created under the Patient Protection and Affordable Care Act, or the ACA</w:t>
      </w:r>
      <w:r>
        <w:rPr>
          <w:rFonts w:ascii="Arial" w:eastAsia="Arial" w:hAnsi="Arial" w:cs="Arial"/>
          <w:sz w:val="19"/>
          <w:szCs w:val="19"/>
        </w:rPr>
        <w:t>, and its implementing regulations, which require manufacturers of drugs, devices, biologicals and medical supplies for which payment is available under Medicare, Medicaid or the Children's Health Insurance Program (with certain exceptions) to report annua</w:t>
      </w:r>
      <w:r>
        <w:rPr>
          <w:rFonts w:ascii="Arial" w:eastAsia="Arial" w:hAnsi="Arial" w:cs="Arial"/>
          <w:sz w:val="19"/>
          <w:szCs w:val="19"/>
        </w:rPr>
        <w:t>lly to the United States Department of Health and Human Services, or HHS, information related to payments or other transfers of value made to physicians (defined to include doctors, dentists, optometrists, podiatrists and chiropractors) and teaching hospit</w:t>
      </w:r>
      <w:r>
        <w:rPr>
          <w:rFonts w:ascii="Arial" w:eastAsia="Arial" w:hAnsi="Arial" w:cs="Arial"/>
          <w:sz w:val="19"/>
          <w:szCs w:val="19"/>
        </w:rPr>
        <w:t>als, as well as ownership and investment interests held by physicians and their immediate family members. Effective January 1, 2022, these reporting obligations will extend to include transfers of value made to certain non-physician providers such as physi</w:t>
      </w:r>
      <w:r>
        <w:rPr>
          <w:rFonts w:ascii="Arial" w:eastAsia="Arial" w:hAnsi="Arial" w:cs="Arial"/>
          <w:sz w:val="19"/>
          <w:szCs w:val="19"/>
        </w:rPr>
        <w:t>cian assistants and nurse practitioners.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2" w:lineRule="exact"/>
        <w:rPr>
          <w:sz w:val="20"/>
          <w:szCs w:val="20"/>
        </w:rPr>
      </w:pPr>
    </w:p>
    <w:p w:rsidR="000728AD" w:rsidRDefault="000561BE">
      <w:pPr>
        <w:ind w:right="-19"/>
        <w:jc w:val="center"/>
        <w:rPr>
          <w:sz w:val="20"/>
          <w:szCs w:val="20"/>
        </w:rPr>
      </w:pPr>
      <w:r>
        <w:rPr>
          <w:rFonts w:ascii="Arial" w:eastAsia="Arial" w:hAnsi="Arial" w:cs="Arial"/>
          <w:sz w:val="18"/>
          <w:szCs w:val="18"/>
        </w:rPr>
        <w:t>65</w:t>
      </w:r>
    </w:p>
    <w:p w:rsidR="000728AD" w:rsidRDefault="000561BE">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59" w:bottom="1440" w:left="320" w:header="0" w:footer="0" w:gutter="0"/>
          <w:cols w:space="720" w:equalWidth="0">
            <w:col w:w="11220"/>
          </w:cols>
        </w:sectPr>
      </w:pPr>
    </w:p>
    <w:bookmarkStart w:id="66" w:name="page66"/>
    <w:bookmarkEnd w:id="66"/>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28" w:lineRule="exact"/>
        <w:rPr>
          <w:sz w:val="20"/>
          <w:szCs w:val="20"/>
        </w:rPr>
      </w:pPr>
    </w:p>
    <w:p w:rsidR="000728AD" w:rsidRDefault="000561BE">
      <w:pPr>
        <w:numPr>
          <w:ilvl w:val="0"/>
          <w:numId w:val="30"/>
        </w:numPr>
        <w:tabs>
          <w:tab w:val="left" w:pos="655"/>
        </w:tabs>
        <w:spacing w:line="253" w:lineRule="auto"/>
        <w:ind w:left="660" w:right="180" w:hanging="328"/>
        <w:rPr>
          <w:rFonts w:ascii="Arial" w:eastAsia="Arial" w:hAnsi="Arial" w:cs="Arial"/>
          <w:sz w:val="21"/>
          <w:szCs w:val="21"/>
        </w:rPr>
      </w:pPr>
      <w:r>
        <w:rPr>
          <w:rFonts w:ascii="Arial" w:eastAsia="Arial" w:hAnsi="Arial" w:cs="Arial"/>
          <w:sz w:val="19"/>
          <w:szCs w:val="19"/>
        </w:rPr>
        <w:t>Analogous state and foreign laws and regulations, such as state anti-kickback and false claims laws, which may apply to sales or marketing</w:t>
      </w:r>
      <w:r>
        <w:rPr>
          <w:rFonts w:ascii="Arial" w:eastAsia="Arial" w:hAnsi="Arial" w:cs="Arial"/>
          <w:sz w:val="19"/>
          <w:szCs w:val="19"/>
        </w:rPr>
        <w:t xml:space="preserve"> arrangements and claims involving healthcare items or services reimbursed by non-governmental third-party payors, including private insurers, and may be broader in scope than their federal equivalents; state and foreign laws that require pharmaceutical co</w:t>
      </w:r>
      <w:r>
        <w:rPr>
          <w:rFonts w:ascii="Arial" w:eastAsia="Arial" w:hAnsi="Arial" w:cs="Arial"/>
          <w:sz w:val="19"/>
          <w:szCs w:val="19"/>
        </w:rPr>
        <w:t xml:space="preserve">mpanies to comply with the pharmaceutical industry's voluntary compliance guidelines and the relevant compliance guidance promulgated by the federal government or otherwise restrict payments that may be made to healthcare providers; state and foreign laws </w:t>
      </w:r>
      <w:r>
        <w:rPr>
          <w:rFonts w:ascii="Arial" w:eastAsia="Arial" w:hAnsi="Arial" w:cs="Arial"/>
          <w:sz w:val="19"/>
          <w:szCs w:val="19"/>
        </w:rPr>
        <w:t>that require drug manufacturers to report information related to payments and other transfers of value to physicians and other healthcare providers or marketing expenditures; and state and foreign laws governing the privacy and security of health informati</w:t>
      </w:r>
      <w:r>
        <w:rPr>
          <w:rFonts w:ascii="Arial" w:eastAsia="Arial" w:hAnsi="Arial" w:cs="Arial"/>
          <w:sz w:val="19"/>
          <w:szCs w:val="19"/>
        </w:rPr>
        <w:t>on in certain circumstances, many of which differ from each other in significant ways and often are not preempted by HIPAA, thus complicating compliance efforts.</w:t>
      </w:r>
    </w:p>
    <w:p w:rsidR="000728AD" w:rsidRDefault="000728AD">
      <w:pPr>
        <w:spacing w:line="184" w:lineRule="exact"/>
        <w:rPr>
          <w:sz w:val="20"/>
          <w:szCs w:val="20"/>
        </w:rPr>
      </w:pPr>
    </w:p>
    <w:p w:rsidR="000728AD" w:rsidRDefault="000561BE">
      <w:pPr>
        <w:spacing w:line="287" w:lineRule="auto"/>
        <w:ind w:right="620"/>
        <w:rPr>
          <w:sz w:val="20"/>
          <w:szCs w:val="20"/>
        </w:rPr>
      </w:pPr>
      <w:r>
        <w:rPr>
          <w:rFonts w:ascii="Arial" w:eastAsia="Arial" w:hAnsi="Arial" w:cs="Arial"/>
          <w:sz w:val="19"/>
          <w:szCs w:val="19"/>
        </w:rPr>
        <w:t xml:space="preserve">The distribution of pharmaceutical products is subject to additional requirements and </w:t>
      </w:r>
      <w:r>
        <w:rPr>
          <w:rFonts w:ascii="Arial" w:eastAsia="Arial" w:hAnsi="Arial" w:cs="Arial"/>
          <w:sz w:val="19"/>
          <w:szCs w:val="19"/>
        </w:rPr>
        <w:t>regulations, including extensive record-keeping, licensing, storage and security requirements intended to prevent the unauthorized sale of pharmaceutical products.</w:t>
      </w:r>
    </w:p>
    <w:p w:rsidR="000728AD" w:rsidRDefault="000728AD">
      <w:pPr>
        <w:spacing w:line="152" w:lineRule="exact"/>
        <w:rPr>
          <w:sz w:val="20"/>
          <w:szCs w:val="20"/>
        </w:rPr>
      </w:pPr>
    </w:p>
    <w:p w:rsidR="000728AD" w:rsidRDefault="000561BE">
      <w:pPr>
        <w:spacing w:line="259" w:lineRule="auto"/>
        <w:ind w:right="240"/>
        <w:rPr>
          <w:sz w:val="20"/>
          <w:szCs w:val="20"/>
        </w:rPr>
      </w:pPr>
      <w:r>
        <w:rPr>
          <w:rFonts w:ascii="Arial" w:eastAsia="Arial" w:hAnsi="Arial" w:cs="Arial"/>
          <w:sz w:val="19"/>
          <w:szCs w:val="19"/>
        </w:rPr>
        <w:t>The scope and enforcement of each of these laws is uncertain and subject to rapid change in</w:t>
      </w:r>
      <w:r>
        <w:rPr>
          <w:rFonts w:ascii="Arial" w:eastAsia="Arial" w:hAnsi="Arial" w:cs="Arial"/>
          <w:sz w:val="19"/>
          <w:szCs w:val="19"/>
        </w:rPr>
        <w:t xml:space="preserve"> the current environment of healthcare reform, especially in light of the lack of applicable precedent and regulations. Federal and state enforcement bodies have recently increased their scrutiny of interactions between healthcare companies and healthcare </w:t>
      </w:r>
      <w:r>
        <w:rPr>
          <w:rFonts w:ascii="Arial" w:eastAsia="Arial" w:hAnsi="Arial" w:cs="Arial"/>
          <w:sz w:val="19"/>
          <w:szCs w:val="19"/>
        </w:rPr>
        <w:t>providers, which has led to a number of investigations, prosecutions, convictions and settlements in the healthcare industry. Ensuring business arrangements comply with applicable healthcare laws, as well as responding to possible investigations by governm</w:t>
      </w:r>
      <w:r>
        <w:rPr>
          <w:rFonts w:ascii="Arial" w:eastAsia="Arial" w:hAnsi="Arial" w:cs="Arial"/>
          <w:sz w:val="19"/>
          <w:szCs w:val="19"/>
        </w:rPr>
        <w:t>ent authorities, can be time- and resource-consuming, costly, and can divert a company's attention from the business.</w:t>
      </w:r>
    </w:p>
    <w:p w:rsidR="000728AD" w:rsidRDefault="000728AD">
      <w:pPr>
        <w:spacing w:line="178" w:lineRule="exact"/>
        <w:rPr>
          <w:sz w:val="20"/>
          <w:szCs w:val="20"/>
        </w:rPr>
      </w:pPr>
    </w:p>
    <w:p w:rsidR="000728AD" w:rsidRDefault="000561BE">
      <w:pPr>
        <w:spacing w:line="255" w:lineRule="auto"/>
        <w:rPr>
          <w:sz w:val="20"/>
          <w:szCs w:val="20"/>
        </w:rPr>
      </w:pPr>
      <w:r>
        <w:rPr>
          <w:rFonts w:ascii="Arial" w:eastAsia="Arial" w:hAnsi="Arial" w:cs="Arial"/>
          <w:sz w:val="19"/>
          <w:szCs w:val="19"/>
        </w:rPr>
        <w:t>It is possible that governmental and enforcement authorities will conclude that our business practices may not comply with current or fut</w:t>
      </w:r>
      <w:r>
        <w:rPr>
          <w:rFonts w:ascii="Arial" w:eastAsia="Arial" w:hAnsi="Arial" w:cs="Arial"/>
          <w:sz w:val="19"/>
          <w:szCs w:val="19"/>
        </w:rPr>
        <w:t>ure statutes, regulations or case law interpreting applicable fraud and abuse or other healthcare laws and regulations. If any such actions are instituted against us and we are not successful in defending ourselves or asserting our rights, those actions co</w:t>
      </w:r>
      <w:r>
        <w:rPr>
          <w:rFonts w:ascii="Arial" w:eastAsia="Arial" w:hAnsi="Arial" w:cs="Arial"/>
          <w:sz w:val="19"/>
          <w:szCs w:val="19"/>
        </w:rPr>
        <w:t>uld have a significant impact on our business, including the imposition of civil, criminal and administrative penalties, damages, disgorgement, monetary fines, imprisonment, possible exclusion from participation in Medicare, Medicaid and other federal heal</w:t>
      </w:r>
      <w:r>
        <w:rPr>
          <w:rFonts w:ascii="Arial" w:eastAsia="Arial" w:hAnsi="Arial" w:cs="Arial"/>
          <w:sz w:val="19"/>
          <w:szCs w:val="19"/>
        </w:rPr>
        <w:t xml:space="preserve">thcare programs, contractual damages, reputational harm, diminished profits and future earnings, curtailment of our operations, additional reporting requirements and oversight if we become subject to a corporate integrity agreement or similar agreement to </w:t>
      </w:r>
      <w:r>
        <w:rPr>
          <w:rFonts w:ascii="Arial" w:eastAsia="Arial" w:hAnsi="Arial" w:cs="Arial"/>
          <w:sz w:val="19"/>
          <w:szCs w:val="19"/>
        </w:rPr>
        <w:t>resolve allegations of noncompliance with these laws, any of which could adversely affect our ability to operate our business and our results of operations. In addition, the approval and commercialization of any of our product candidates outside the United</w:t>
      </w:r>
      <w:r>
        <w:rPr>
          <w:rFonts w:ascii="Arial" w:eastAsia="Arial" w:hAnsi="Arial" w:cs="Arial"/>
          <w:sz w:val="19"/>
          <w:szCs w:val="19"/>
        </w:rPr>
        <w:t xml:space="preserve"> States will also likely subject us to foreign equivalents of the healthcare laws mentioned above, among other foreign laws.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6" w:lineRule="exact"/>
        <w:rPr>
          <w:sz w:val="20"/>
          <w:szCs w:val="20"/>
        </w:rPr>
      </w:pPr>
    </w:p>
    <w:p w:rsidR="000728AD" w:rsidRDefault="000561BE">
      <w:pPr>
        <w:ind w:right="-19"/>
        <w:jc w:val="center"/>
        <w:rPr>
          <w:sz w:val="20"/>
          <w:szCs w:val="20"/>
        </w:rPr>
      </w:pPr>
      <w:r>
        <w:rPr>
          <w:rFonts w:ascii="Arial" w:eastAsia="Arial" w:hAnsi="Arial" w:cs="Arial"/>
          <w:sz w:val="18"/>
          <w:szCs w:val="18"/>
        </w:rPr>
        <w:t>66</w:t>
      </w:r>
    </w:p>
    <w:p w:rsidR="000728AD" w:rsidRDefault="000561BE">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59" w:bottom="1440" w:left="320" w:header="0" w:footer="0" w:gutter="0"/>
          <w:cols w:space="720" w:equalWidth="0">
            <w:col w:w="11220"/>
          </w:cols>
        </w:sectPr>
      </w:pPr>
    </w:p>
    <w:bookmarkStart w:id="67" w:name="page67"/>
    <w:bookmarkEnd w:id="67"/>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385" w:lineRule="auto"/>
        <w:ind w:right="200"/>
        <w:rPr>
          <w:sz w:val="20"/>
          <w:szCs w:val="20"/>
        </w:rPr>
      </w:pPr>
      <w:r>
        <w:rPr>
          <w:rFonts w:ascii="Arial" w:eastAsia="Arial" w:hAnsi="Arial" w:cs="Arial"/>
          <w:b/>
          <w:bCs/>
          <w:i/>
          <w:iCs/>
          <w:sz w:val="16"/>
          <w:szCs w:val="16"/>
        </w:rPr>
        <w:t xml:space="preserve">Failure to comply with health and data </w:t>
      </w:r>
      <w:r>
        <w:rPr>
          <w:rFonts w:ascii="Arial" w:eastAsia="Arial" w:hAnsi="Arial" w:cs="Arial"/>
          <w:b/>
          <w:bCs/>
          <w:i/>
          <w:iCs/>
          <w:sz w:val="16"/>
          <w:szCs w:val="16"/>
        </w:rPr>
        <w:t>protection laws and regulations could lead to government enforcement actions (which could include civil or criminal penalties), private litigation or adverse publicity and could negatively affect our operating results and business.</w:t>
      </w:r>
    </w:p>
    <w:p w:rsidR="000728AD" w:rsidRDefault="000728AD">
      <w:pPr>
        <w:spacing w:line="85" w:lineRule="exact"/>
        <w:rPr>
          <w:sz w:val="20"/>
          <w:szCs w:val="20"/>
        </w:rPr>
      </w:pPr>
    </w:p>
    <w:p w:rsidR="000728AD" w:rsidRDefault="000561BE">
      <w:pPr>
        <w:spacing w:line="270" w:lineRule="auto"/>
        <w:rPr>
          <w:sz w:val="20"/>
          <w:szCs w:val="20"/>
        </w:rPr>
      </w:pPr>
      <w:r>
        <w:rPr>
          <w:rFonts w:ascii="Arial" w:eastAsia="Arial" w:hAnsi="Arial" w:cs="Arial"/>
          <w:sz w:val="18"/>
          <w:szCs w:val="18"/>
        </w:rPr>
        <w:t>We and any potential co</w:t>
      </w:r>
      <w:r>
        <w:rPr>
          <w:rFonts w:ascii="Arial" w:eastAsia="Arial" w:hAnsi="Arial" w:cs="Arial"/>
          <w:sz w:val="18"/>
          <w:szCs w:val="18"/>
        </w:rPr>
        <w:t>llaborators may be subject to federal, state and foreign data protection laws and regulations (i.e., laws and regulations that address privacy and data security). In the United States, numerous federal and state laws and regulations, including federal heal</w:t>
      </w:r>
      <w:r>
        <w:rPr>
          <w:rFonts w:ascii="Arial" w:eastAsia="Arial" w:hAnsi="Arial" w:cs="Arial"/>
          <w:sz w:val="18"/>
          <w:szCs w:val="18"/>
        </w:rPr>
        <w:t>th information privacy laws, state data breach notification laws, state health information privacy laws and federal and state consumer protection laws (e.g., Section 5 of the FTC Act), that govern the collection, use, disclosure and protection of health-re</w:t>
      </w:r>
      <w:r>
        <w:rPr>
          <w:rFonts w:ascii="Arial" w:eastAsia="Arial" w:hAnsi="Arial" w:cs="Arial"/>
          <w:sz w:val="18"/>
          <w:szCs w:val="18"/>
        </w:rPr>
        <w:t>lated and other personal information could apply to our operations or the operations of our collaborators. For instance, California recently enacted the California Consumer Privacy Act, or CCPA, which creates new individual privacy rights for California co</w:t>
      </w:r>
      <w:r>
        <w:rPr>
          <w:rFonts w:ascii="Arial" w:eastAsia="Arial" w:hAnsi="Arial" w:cs="Arial"/>
          <w:sz w:val="18"/>
          <w:szCs w:val="18"/>
        </w:rPr>
        <w:t xml:space="preserve">nsumers (as defined in the law) and places increased privacy and security obligations on entities handling personal data of consumers or households. The CCPA requires covered companies to provide certain disclosures to consumers about its data collection, </w:t>
      </w:r>
      <w:r>
        <w:rPr>
          <w:rFonts w:ascii="Arial" w:eastAsia="Arial" w:hAnsi="Arial" w:cs="Arial"/>
          <w:sz w:val="18"/>
          <w:szCs w:val="18"/>
        </w:rPr>
        <w:t>use and sharing practices, and to provide affected California residents with ways to opt-out of certain sales or transfers of personal information. The CCPA went into effect on January 1, 2020, and the California Attorney General commenced enforcement acti</w:t>
      </w:r>
      <w:r>
        <w:rPr>
          <w:rFonts w:ascii="Arial" w:eastAsia="Arial" w:hAnsi="Arial" w:cs="Arial"/>
          <w:sz w:val="18"/>
          <w:szCs w:val="18"/>
        </w:rPr>
        <w:t>ons against violators beginning July 1, 2020. As currently written, the CCPA may impact our business activities; however, there continues to be uncertainty about how the law will be interpreted and enforced. The uncertainty surrounding the implementation o</w:t>
      </w:r>
      <w:r>
        <w:rPr>
          <w:rFonts w:ascii="Arial" w:eastAsia="Arial" w:hAnsi="Arial" w:cs="Arial"/>
          <w:sz w:val="18"/>
          <w:szCs w:val="18"/>
        </w:rPr>
        <w:t>f CCPA exemplifies the vulnerability of our business to the evolving regulatory environment related to personal data and protected health information.</w:t>
      </w:r>
    </w:p>
    <w:p w:rsidR="000728AD" w:rsidRDefault="000728AD">
      <w:pPr>
        <w:spacing w:line="172" w:lineRule="exact"/>
        <w:rPr>
          <w:sz w:val="20"/>
          <w:szCs w:val="20"/>
        </w:rPr>
      </w:pPr>
    </w:p>
    <w:p w:rsidR="000728AD" w:rsidRDefault="000561BE">
      <w:pPr>
        <w:spacing w:line="263" w:lineRule="auto"/>
        <w:ind w:right="140"/>
        <w:rPr>
          <w:sz w:val="20"/>
          <w:szCs w:val="20"/>
        </w:rPr>
      </w:pPr>
      <w:r>
        <w:rPr>
          <w:rFonts w:ascii="Arial" w:eastAsia="Arial" w:hAnsi="Arial" w:cs="Arial"/>
          <w:sz w:val="19"/>
          <w:szCs w:val="19"/>
        </w:rPr>
        <w:t xml:space="preserve">In addition, we may obtain health information from third parties (including research </w:t>
      </w:r>
      <w:r>
        <w:rPr>
          <w:rFonts w:ascii="Arial" w:eastAsia="Arial" w:hAnsi="Arial" w:cs="Arial"/>
          <w:sz w:val="19"/>
          <w:szCs w:val="19"/>
        </w:rPr>
        <w:t>institutions from which we obtain Clinical Trial data) that are subject to privacy and security requirements under HIPAA, as amended by HITECH. Depending on the facts and circumstances, we could be subject to civil, criminal and administrative penalties if</w:t>
      </w:r>
      <w:r>
        <w:rPr>
          <w:rFonts w:ascii="Arial" w:eastAsia="Arial" w:hAnsi="Arial" w:cs="Arial"/>
          <w:sz w:val="19"/>
          <w:szCs w:val="19"/>
        </w:rPr>
        <w:t xml:space="preserve"> we knowingly obtain, use or disclose individually identifiable health information maintained by a HIPAA-covered entity in a manner that is not authorized or permitted by HIPAA.</w:t>
      </w:r>
    </w:p>
    <w:p w:rsidR="000728AD" w:rsidRDefault="000728AD">
      <w:pPr>
        <w:spacing w:line="176" w:lineRule="exact"/>
        <w:rPr>
          <w:sz w:val="20"/>
          <w:szCs w:val="20"/>
        </w:rPr>
      </w:pPr>
    </w:p>
    <w:p w:rsidR="000728AD" w:rsidRDefault="000561BE">
      <w:pPr>
        <w:spacing w:line="242" w:lineRule="auto"/>
        <w:ind w:right="40"/>
        <w:rPr>
          <w:sz w:val="20"/>
          <w:szCs w:val="20"/>
        </w:rPr>
      </w:pPr>
      <w:r>
        <w:rPr>
          <w:rFonts w:ascii="Arial" w:eastAsia="Arial" w:hAnsi="Arial" w:cs="Arial"/>
          <w:sz w:val="20"/>
          <w:szCs w:val="20"/>
        </w:rPr>
        <w:t>Compliance with U.S. and international data protection laws and regulations c</w:t>
      </w:r>
      <w:r>
        <w:rPr>
          <w:rFonts w:ascii="Arial" w:eastAsia="Arial" w:hAnsi="Arial" w:cs="Arial"/>
          <w:sz w:val="20"/>
          <w:szCs w:val="20"/>
        </w:rPr>
        <w:t xml:space="preserve">ould require us to take on more onerous obligations in our contracts, restrict our ability to collect, use and disclose data or, in some cases, impact our ability to operate in certain jurisdictions. Failure to comply with these laws and regulations could </w:t>
      </w:r>
      <w:r>
        <w:rPr>
          <w:rFonts w:ascii="Arial" w:eastAsia="Arial" w:hAnsi="Arial" w:cs="Arial"/>
          <w:sz w:val="20"/>
          <w:szCs w:val="20"/>
        </w:rPr>
        <w:t>result in government enforcement actions (which could include civil, criminal and administrative penalties), private litigation or adverse publicity and could negatively affect our operating results and business. Moreover, Clinical Study and Clinical Trial</w:t>
      </w:r>
      <w:r>
        <w:rPr>
          <w:rFonts w:ascii="Arial" w:eastAsia="Arial" w:hAnsi="Arial" w:cs="Arial"/>
          <w:sz w:val="20"/>
          <w:szCs w:val="20"/>
        </w:rPr>
        <w:t xml:space="preserve"> subjects, employees and other individuals about whom we or our potential collaborators obtain personal information, as well as the providers who share this information with us, may limit our ability to collect, use and disclose the information. Claims tha</w:t>
      </w:r>
      <w:r>
        <w:rPr>
          <w:rFonts w:ascii="Arial" w:eastAsia="Arial" w:hAnsi="Arial" w:cs="Arial"/>
          <w:sz w:val="20"/>
          <w:szCs w:val="20"/>
        </w:rPr>
        <w:t>t we have violated individuals' privacy rights, failed to comply with data protection laws, or breached our contractual obligations, even if we are not found liable, could be expensive and time-consuming to defend and could result in adverse publicity that</w:t>
      </w:r>
      <w:r>
        <w:rPr>
          <w:rFonts w:ascii="Arial" w:eastAsia="Arial" w:hAnsi="Arial" w:cs="Arial"/>
          <w:sz w:val="20"/>
          <w:szCs w:val="20"/>
        </w:rPr>
        <w:t xml:space="preserve"> could harm our business.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91" w:lineRule="exact"/>
        <w:rPr>
          <w:sz w:val="20"/>
          <w:szCs w:val="20"/>
        </w:rPr>
      </w:pPr>
    </w:p>
    <w:p w:rsidR="000728AD" w:rsidRDefault="000561BE">
      <w:pPr>
        <w:ind w:right="-19"/>
        <w:jc w:val="center"/>
        <w:rPr>
          <w:sz w:val="20"/>
          <w:szCs w:val="20"/>
        </w:rPr>
      </w:pPr>
      <w:r>
        <w:rPr>
          <w:rFonts w:ascii="Arial" w:eastAsia="Arial" w:hAnsi="Arial" w:cs="Arial"/>
          <w:sz w:val="18"/>
          <w:szCs w:val="18"/>
        </w:rPr>
        <w:t>67</w:t>
      </w:r>
    </w:p>
    <w:p w:rsidR="000728AD" w:rsidRDefault="000561BE">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68" w:name="page68"/>
    <w:bookmarkEnd w:id="68"/>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60" w:lineRule="auto"/>
        <w:ind w:right="560"/>
        <w:rPr>
          <w:sz w:val="20"/>
          <w:szCs w:val="20"/>
        </w:rPr>
      </w:pPr>
      <w:r>
        <w:rPr>
          <w:rFonts w:ascii="Arial" w:eastAsia="Arial" w:hAnsi="Arial" w:cs="Arial"/>
          <w:b/>
          <w:bCs/>
          <w:i/>
          <w:iCs/>
          <w:sz w:val="20"/>
          <w:szCs w:val="20"/>
        </w:rPr>
        <w:t>European data collection is governed by restrictive regulations governing the use, processing and cross-border transfer of personal information.</w:t>
      </w:r>
    </w:p>
    <w:p w:rsidR="000728AD" w:rsidRDefault="000728AD">
      <w:pPr>
        <w:spacing w:line="177" w:lineRule="exact"/>
        <w:rPr>
          <w:sz w:val="20"/>
          <w:szCs w:val="20"/>
        </w:rPr>
      </w:pPr>
    </w:p>
    <w:p w:rsidR="000728AD" w:rsidRDefault="000561BE">
      <w:pPr>
        <w:spacing w:line="269" w:lineRule="auto"/>
        <w:rPr>
          <w:sz w:val="20"/>
          <w:szCs w:val="20"/>
        </w:rPr>
      </w:pPr>
      <w:r>
        <w:rPr>
          <w:rFonts w:ascii="Arial" w:eastAsia="Arial" w:hAnsi="Arial" w:cs="Arial"/>
          <w:sz w:val="18"/>
          <w:szCs w:val="18"/>
        </w:rPr>
        <w:t>We plan</w:t>
      </w:r>
      <w:r>
        <w:rPr>
          <w:rFonts w:ascii="Arial" w:eastAsia="Arial" w:hAnsi="Arial" w:cs="Arial"/>
          <w:sz w:val="18"/>
          <w:szCs w:val="18"/>
        </w:rPr>
        <w:t xml:space="preserve"> to conduct Clinical Trials in the European Union, which may subject us to additional privacy restrictions. The collection, use, storage, disclosure, transfer, and other processing of personal data, including health data in the European Union is governed b</w:t>
      </w:r>
      <w:r>
        <w:rPr>
          <w:rFonts w:ascii="Arial" w:eastAsia="Arial" w:hAnsi="Arial" w:cs="Arial"/>
          <w:sz w:val="18"/>
          <w:szCs w:val="18"/>
        </w:rPr>
        <w:t xml:space="preserve">y the provisions of the GDPR, which became effective on May 25, 2018. It imposes several requirements relating to the processing health and other sensitive data, the consent of the individuals to whom the personal data relates, the information provided to </w:t>
      </w:r>
      <w:r>
        <w:rPr>
          <w:rFonts w:ascii="Arial" w:eastAsia="Arial" w:hAnsi="Arial" w:cs="Arial"/>
          <w:sz w:val="18"/>
          <w:szCs w:val="18"/>
        </w:rPr>
        <w:t>the individuals, notification of data processing obligations to the competent national data protection authorities and the security and confidentiality of the personal data, implementation of safeguards to protect the security and confidentiality of person</w:t>
      </w:r>
      <w:r>
        <w:rPr>
          <w:rFonts w:ascii="Arial" w:eastAsia="Arial" w:hAnsi="Arial" w:cs="Arial"/>
          <w:sz w:val="18"/>
          <w:szCs w:val="18"/>
        </w:rPr>
        <w:t>al data. The GDPR also imposes strict rules on the transfer of personal data out of the European Union to the United States. Failure to comply with the requirements of the GDPR, and the related national data protection laws of the European Union Member Sta</w:t>
      </w:r>
      <w:r>
        <w:rPr>
          <w:rFonts w:ascii="Arial" w:eastAsia="Arial" w:hAnsi="Arial" w:cs="Arial"/>
          <w:sz w:val="18"/>
          <w:szCs w:val="18"/>
        </w:rPr>
        <w:t>tes may result in fines and other administrative penalties. Non-compliance with the GDPR may result in monetary penalties of up to €20 million or 4% of worldwide revenue, whichever is higher. The GDPR also confers a private right of action on data subjects</w:t>
      </w:r>
      <w:r>
        <w:rPr>
          <w:rFonts w:ascii="Arial" w:eastAsia="Arial" w:hAnsi="Arial" w:cs="Arial"/>
          <w:sz w:val="18"/>
          <w:szCs w:val="18"/>
        </w:rPr>
        <w:t xml:space="preserve"> and consumer associations to lodge complaints with supervisory authorities, seek judicial remedies, and obtain compensation for damages resulting from violations of the GDPR. In addition, the GDPR includes restrictions on cross-border data transfers. The </w:t>
      </w:r>
      <w:r>
        <w:rPr>
          <w:rFonts w:ascii="Arial" w:eastAsia="Arial" w:hAnsi="Arial" w:cs="Arial"/>
          <w:sz w:val="18"/>
          <w:szCs w:val="18"/>
        </w:rPr>
        <w:t>GDPR introduces new data protection requirements in the European Union and substantial fines for breaches of the data protection rules. The GDPR regulations may impose additional responsibility and liability in relation to personal data that we process, an</w:t>
      </w:r>
      <w:r>
        <w:rPr>
          <w:rFonts w:ascii="Arial" w:eastAsia="Arial" w:hAnsi="Arial" w:cs="Arial"/>
          <w:sz w:val="18"/>
          <w:szCs w:val="18"/>
        </w:rPr>
        <w:t>d we may be required to put in place additional mechanisms ensuring compliance with these or new data protection rules. This may be onerous and adversely affect our business, financial condition, prospects and results of operations.</w:t>
      </w:r>
    </w:p>
    <w:p w:rsidR="000728AD" w:rsidRDefault="000728AD">
      <w:pPr>
        <w:spacing w:line="179" w:lineRule="exact"/>
        <w:rPr>
          <w:sz w:val="20"/>
          <w:szCs w:val="20"/>
        </w:rPr>
      </w:pPr>
    </w:p>
    <w:p w:rsidR="000728AD" w:rsidRDefault="000561BE">
      <w:pPr>
        <w:spacing w:line="260" w:lineRule="auto"/>
        <w:ind w:right="20"/>
        <w:rPr>
          <w:sz w:val="20"/>
          <w:szCs w:val="20"/>
        </w:rPr>
      </w:pPr>
      <w:r>
        <w:rPr>
          <w:rFonts w:ascii="Arial" w:eastAsia="Arial" w:hAnsi="Arial" w:cs="Arial"/>
          <w:b/>
          <w:bCs/>
          <w:i/>
          <w:iCs/>
          <w:sz w:val="20"/>
          <w:szCs w:val="20"/>
        </w:rPr>
        <w:t>European Union drug ma</w:t>
      </w:r>
      <w:r>
        <w:rPr>
          <w:rFonts w:ascii="Arial" w:eastAsia="Arial" w:hAnsi="Arial" w:cs="Arial"/>
          <w:b/>
          <w:bCs/>
          <w:i/>
          <w:iCs/>
          <w:sz w:val="20"/>
          <w:szCs w:val="20"/>
        </w:rPr>
        <w:t>rketing and reimbursement regulations may materially affect our ability to market and receive coverage for any drug product candidate in the European member states.</w:t>
      </w:r>
    </w:p>
    <w:p w:rsidR="000728AD" w:rsidRDefault="000728AD">
      <w:pPr>
        <w:spacing w:line="177" w:lineRule="exact"/>
        <w:rPr>
          <w:sz w:val="20"/>
          <w:szCs w:val="20"/>
        </w:rPr>
      </w:pPr>
    </w:p>
    <w:p w:rsidR="000728AD" w:rsidRDefault="000561BE">
      <w:pPr>
        <w:spacing w:line="274" w:lineRule="auto"/>
        <w:ind w:right="100"/>
        <w:rPr>
          <w:sz w:val="20"/>
          <w:szCs w:val="20"/>
        </w:rPr>
      </w:pPr>
      <w:r>
        <w:rPr>
          <w:rFonts w:ascii="Arial" w:eastAsia="Arial" w:hAnsi="Arial" w:cs="Arial"/>
          <w:sz w:val="18"/>
          <w:szCs w:val="18"/>
        </w:rPr>
        <w:t xml:space="preserve">We intend to seek approval to market our product candidates in both the United </w:t>
      </w:r>
      <w:r>
        <w:rPr>
          <w:rFonts w:ascii="Arial" w:eastAsia="Arial" w:hAnsi="Arial" w:cs="Arial"/>
          <w:sz w:val="18"/>
          <w:szCs w:val="18"/>
        </w:rPr>
        <w:t>States and in selected foreign jurisdictions. If we obtain approval in one or more foreign jurisdictions for our product candidates, we will be subject to rules and regulations in those jurisdictions. In some foreign countries, particularly those in the Eu</w:t>
      </w:r>
      <w:r>
        <w:rPr>
          <w:rFonts w:ascii="Arial" w:eastAsia="Arial" w:hAnsi="Arial" w:cs="Arial"/>
          <w:sz w:val="18"/>
          <w:szCs w:val="18"/>
        </w:rPr>
        <w:t>ropean Union, the pricing of pharmaceutical products is subject to governmental control and other market regulations which could put pressure on the pricing and usage of our product candidates. In these countries, pricing negotiations with governmental aut</w:t>
      </w:r>
      <w:r>
        <w:rPr>
          <w:rFonts w:ascii="Arial" w:eastAsia="Arial" w:hAnsi="Arial" w:cs="Arial"/>
          <w:sz w:val="18"/>
          <w:szCs w:val="18"/>
        </w:rPr>
        <w:t>horities can take considerable time after obtaining marketing approval of product candidates. In addition, market acceptance and sales of our product candidates will depend significantly on the availability of adequate coverage and reimbursement from third</w:t>
      </w:r>
      <w:r>
        <w:rPr>
          <w:rFonts w:ascii="Arial" w:eastAsia="Arial" w:hAnsi="Arial" w:cs="Arial"/>
          <w:sz w:val="18"/>
          <w:szCs w:val="18"/>
        </w:rPr>
        <w:t>-party payors for our product candidates and may be affected by existing and future healthcare reform measures.</w:t>
      </w:r>
    </w:p>
    <w:p w:rsidR="000728AD" w:rsidRDefault="000728AD">
      <w:pPr>
        <w:spacing w:line="168" w:lineRule="exact"/>
        <w:rPr>
          <w:sz w:val="20"/>
          <w:szCs w:val="20"/>
        </w:rPr>
      </w:pPr>
    </w:p>
    <w:p w:rsidR="000728AD" w:rsidRDefault="000561BE">
      <w:pPr>
        <w:spacing w:line="282" w:lineRule="auto"/>
        <w:ind w:right="120"/>
        <w:rPr>
          <w:sz w:val="20"/>
          <w:szCs w:val="20"/>
        </w:rPr>
      </w:pPr>
      <w:r>
        <w:rPr>
          <w:rFonts w:ascii="Arial" w:eastAsia="Arial" w:hAnsi="Arial" w:cs="Arial"/>
          <w:sz w:val="18"/>
          <w:szCs w:val="18"/>
        </w:rPr>
        <w:t>Much like the federal Anti-Kickback Statute prohibition in the United States, the provision of benefits or advantages to physicians to induce o</w:t>
      </w:r>
      <w:r>
        <w:rPr>
          <w:rFonts w:ascii="Arial" w:eastAsia="Arial" w:hAnsi="Arial" w:cs="Arial"/>
          <w:sz w:val="18"/>
          <w:szCs w:val="18"/>
        </w:rPr>
        <w:t>r encourage the prescription, recommendation, endorsement, purchase, supply, order or use of medicinal products is also prohibited in the European Union. The provision of benefits or advantages to physicians is governed by the national anti-bribery laws of</w:t>
      </w:r>
      <w:r>
        <w:rPr>
          <w:rFonts w:ascii="Arial" w:eastAsia="Arial" w:hAnsi="Arial" w:cs="Arial"/>
          <w:sz w:val="18"/>
          <w:szCs w:val="18"/>
        </w:rPr>
        <w:t xml:space="preserve"> European Union Member States, such as the UK Bribery Act 2010. Infringement of these laws could result in substantial fines and imprisonment.</w:t>
      </w:r>
    </w:p>
    <w:p w:rsidR="000728AD" w:rsidRDefault="000728AD">
      <w:pPr>
        <w:spacing w:line="161" w:lineRule="exact"/>
        <w:rPr>
          <w:sz w:val="20"/>
          <w:szCs w:val="20"/>
        </w:rPr>
      </w:pPr>
    </w:p>
    <w:p w:rsidR="000728AD" w:rsidRDefault="000561BE">
      <w:pPr>
        <w:spacing w:line="260" w:lineRule="auto"/>
        <w:ind w:right="20"/>
        <w:rPr>
          <w:sz w:val="20"/>
          <w:szCs w:val="20"/>
        </w:rPr>
      </w:pPr>
      <w:r>
        <w:rPr>
          <w:rFonts w:ascii="Arial" w:eastAsia="Arial" w:hAnsi="Arial" w:cs="Arial"/>
          <w:sz w:val="19"/>
          <w:szCs w:val="19"/>
        </w:rPr>
        <w:t xml:space="preserve">Payments made to physicians in certain European Union Member States must be publicly disclosed. </w:t>
      </w:r>
      <w:r>
        <w:rPr>
          <w:rFonts w:ascii="Arial" w:eastAsia="Arial" w:hAnsi="Arial" w:cs="Arial"/>
          <w:sz w:val="19"/>
          <w:szCs w:val="19"/>
        </w:rPr>
        <w:t>Moreover, agreements with physicians often must be the subject of prior notification and approval by the physician's employer, his or her competent professional organization or the regulatory authorities of the individual European Union Member States. Thes</w:t>
      </w:r>
      <w:r>
        <w:rPr>
          <w:rFonts w:ascii="Arial" w:eastAsia="Arial" w:hAnsi="Arial" w:cs="Arial"/>
          <w:sz w:val="19"/>
          <w:szCs w:val="19"/>
        </w:rPr>
        <w:t>e requirements are provided in the national laws, industry codes or professional codes of conduct, applicable in the European Union Member States. Failure to comply with these requirements could result in reputational risk, public reprimands, administrativ</w:t>
      </w:r>
      <w:r>
        <w:rPr>
          <w:rFonts w:ascii="Arial" w:eastAsia="Arial" w:hAnsi="Arial" w:cs="Arial"/>
          <w:sz w:val="19"/>
          <w:szCs w:val="19"/>
        </w:rPr>
        <w:t>e penalties, fines or imprisonment.</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77" w:lineRule="exact"/>
        <w:rPr>
          <w:sz w:val="20"/>
          <w:szCs w:val="20"/>
        </w:rPr>
      </w:pPr>
    </w:p>
    <w:p w:rsidR="000728AD" w:rsidRDefault="000561BE">
      <w:pPr>
        <w:ind w:right="-19"/>
        <w:jc w:val="center"/>
        <w:rPr>
          <w:sz w:val="20"/>
          <w:szCs w:val="20"/>
        </w:rPr>
      </w:pPr>
      <w:r>
        <w:rPr>
          <w:rFonts w:ascii="Arial" w:eastAsia="Arial" w:hAnsi="Arial" w:cs="Arial"/>
          <w:sz w:val="18"/>
          <w:szCs w:val="18"/>
        </w:rPr>
        <w:t>68</w:t>
      </w:r>
    </w:p>
    <w:p w:rsidR="000728AD" w:rsidRDefault="000561BE">
      <w:pPr>
        <w:spacing w:line="20" w:lineRule="exact"/>
        <w:rPr>
          <w:sz w:val="20"/>
          <w:szCs w:val="20"/>
        </w:rPr>
      </w:pPr>
      <w:r>
        <w:rPr>
          <w:noProof/>
          <w:sz w:val="20"/>
          <w:szCs w:val="20"/>
        </w:rPr>
        <w:drawing>
          <wp:anchor distT="0" distB="0" distL="114300" distR="114300" simplePos="0" relativeHeight="251677696"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59" w:bottom="1440" w:left="320" w:header="0" w:footer="0" w:gutter="0"/>
          <w:cols w:space="720" w:equalWidth="0">
            <w:col w:w="11220"/>
          </w:cols>
        </w:sectPr>
      </w:pPr>
    </w:p>
    <w:bookmarkStart w:id="69" w:name="page69"/>
    <w:bookmarkEnd w:id="69"/>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69" w:lineRule="auto"/>
        <w:rPr>
          <w:sz w:val="20"/>
          <w:szCs w:val="20"/>
        </w:rPr>
      </w:pPr>
      <w:r>
        <w:rPr>
          <w:rFonts w:ascii="Arial" w:eastAsia="Arial" w:hAnsi="Arial" w:cs="Arial"/>
          <w:sz w:val="18"/>
          <w:szCs w:val="18"/>
        </w:rPr>
        <w:t>In addition, in most foreign countries, including the European Economic Area, the proposed pricing for a drug must be approved before it may be</w:t>
      </w:r>
      <w:r>
        <w:rPr>
          <w:rFonts w:ascii="Arial" w:eastAsia="Arial" w:hAnsi="Arial" w:cs="Arial"/>
          <w:sz w:val="18"/>
          <w:szCs w:val="18"/>
        </w:rPr>
        <w:t xml:space="preserve"> lawfully marketed. The requirements governing drug pricing and reimbursement vary widely from country to country. For example, the European Union provides options for its member states to restrict the range of medicinal products for which their national h</w:t>
      </w:r>
      <w:r>
        <w:rPr>
          <w:rFonts w:ascii="Arial" w:eastAsia="Arial" w:hAnsi="Arial" w:cs="Arial"/>
          <w:sz w:val="18"/>
          <w:szCs w:val="18"/>
        </w:rPr>
        <w:t>ealth insurance systems provide reimbursement and to control the prices of medicinal products for human use. Reference pricing used by various European Union Member States and parallel distribution, or arbitrage between low-priced and high-priced member st</w:t>
      </w:r>
      <w:r>
        <w:rPr>
          <w:rFonts w:ascii="Arial" w:eastAsia="Arial" w:hAnsi="Arial" w:cs="Arial"/>
          <w:sz w:val="18"/>
          <w:szCs w:val="18"/>
        </w:rPr>
        <w:t>ates, can further reduce prices. A member state may approve a specific price for the medicinal product, or it may instead adopt a system of direct or indirect controls on the profitability of the Company placing the medicinal product on the market. In some</w:t>
      </w:r>
      <w:r>
        <w:rPr>
          <w:rFonts w:ascii="Arial" w:eastAsia="Arial" w:hAnsi="Arial" w:cs="Arial"/>
          <w:sz w:val="18"/>
          <w:szCs w:val="18"/>
        </w:rPr>
        <w:t xml:space="preserve"> countries, we may be required to conduct a Clinical Trial or other studies that compare the cost-effectiveness of any of our product candidates to other available therapies in order to obtain or maintain reimbursement or pricing approval. There can be no </w:t>
      </w:r>
      <w:r>
        <w:rPr>
          <w:rFonts w:ascii="Arial" w:eastAsia="Arial" w:hAnsi="Arial" w:cs="Arial"/>
          <w:sz w:val="18"/>
          <w:szCs w:val="18"/>
        </w:rPr>
        <w:t>assurance that any country that has price controls or reimbursement limitations for pharmaceutical products will allow favorable reimbursement and pricing arrangements for any of our products. Historically, products launched in the European Union do not fo</w:t>
      </w:r>
      <w:r>
        <w:rPr>
          <w:rFonts w:ascii="Arial" w:eastAsia="Arial" w:hAnsi="Arial" w:cs="Arial"/>
          <w:sz w:val="18"/>
          <w:szCs w:val="18"/>
        </w:rPr>
        <w:t>llow price structures of the United States and generally prices tend to be significantly lower. Publication of discounts by third-party payors or authorities may lead to further pressure on the prices or reimbursement levels within the country of publicati</w:t>
      </w:r>
      <w:r>
        <w:rPr>
          <w:rFonts w:ascii="Arial" w:eastAsia="Arial" w:hAnsi="Arial" w:cs="Arial"/>
          <w:sz w:val="18"/>
          <w:szCs w:val="18"/>
        </w:rPr>
        <w:t>on and other countries. If pricing is set at unsatisfactory levels or if reimbursement of our products is unavailable or limited in scope or amount, our revenues from sales by us or our strategic partners and the potential profitability of any of our produ</w:t>
      </w:r>
      <w:r>
        <w:rPr>
          <w:rFonts w:ascii="Arial" w:eastAsia="Arial" w:hAnsi="Arial" w:cs="Arial"/>
          <w:sz w:val="18"/>
          <w:szCs w:val="18"/>
        </w:rPr>
        <w:t>ct candidates in those countries would be negatively affected.</w:t>
      </w:r>
    </w:p>
    <w:p w:rsidR="000728AD" w:rsidRDefault="000728AD">
      <w:pPr>
        <w:spacing w:line="179" w:lineRule="exact"/>
        <w:rPr>
          <w:sz w:val="20"/>
          <w:szCs w:val="20"/>
        </w:rPr>
      </w:pPr>
    </w:p>
    <w:p w:rsidR="000728AD" w:rsidRDefault="000561BE">
      <w:pPr>
        <w:spacing w:line="250" w:lineRule="auto"/>
        <w:ind w:right="520"/>
        <w:rPr>
          <w:sz w:val="20"/>
          <w:szCs w:val="20"/>
        </w:rPr>
      </w:pPr>
      <w:r>
        <w:rPr>
          <w:rFonts w:ascii="Arial" w:eastAsia="Arial" w:hAnsi="Arial" w:cs="Arial"/>
          <w:b/>
          <w:bCs/>
          <w:i/>
          <w:iCs/>
          <w:sz w:val="20"/>
          <w:szCs w:val="20"/>
        </w:rPr>
        <w:t>Laws and regulations governing any international operations we may have in the future may preclude us from developing, manufacturing and selling certain products outside of the United States a</w:t>
      </w:r>
      <w:r>
        <w:rPr>
          <w:rFonts w:ascii="Arial" w:eastAsia="Arial" w:hAnsi="Arial" w:cs="Arial"/>
          <w:b/>
          <w:bCs/>
          <w:i/>
          <w:iCs/>
          <w:sz w:val="20"/>
          <w:szCs w:val="20"/>
        </w:rPr>
        <w:t>nd require us to develop and implement costly compliance programs.</w:t>
      </w:r>
    </w:p>
    <w:p w:rsidR="000728AD" w:rsidRDefault="000728AD">
      <w:pPr>
        <w:spacing w:line="186" w:lineRule="exact"/>
        <w:rPr>
          <w:sz w:val="20"/>
          <w:szCs w:val="20"/>
        </w:rPr>
      </w:pPr>
    </w:p>
    <w:p w:rsidR="000728AD" w:rsidRDefault="000561BE">
      <w:pPr>
        <w:spacing w:line="274" w:lineRule="auto"/>
        <w:ind w:right="100"/>
        <w:rPr>
          <w:sz w:val="20"/>
          <w:szCs w:val="20"/>
        </w:rPr>
      </w:pPr>
      <w:r>
        <w:rPr>
          <w:rFonts w:ascii="Arial" w:eastAsia="Arial" w:hAnsi="Arial" w:cs="Arial"/>
          <w:sz w:val="18"/>
          <w:szCs w:val="18"/>
        </w:rPr>
        <w:t xml:space="preserve">If we expand our operations outside of the United States, we must dedicate additional resources to comply with numerous laws and regulations in each jurisdiction in which we plan to </w:t>
      </w:r>
      <w:r>
        <w:rPr>
          <w:rFonts w:ascii="Arial" w:eastAsia="Arial" w:hAnsi="Arial" w:cs="Arial"/>
          <w:sz w:val="18"/>
          <w:szCs w:val="18"/>
        </w:rPr>
        <w:t>operate. The FCPA prohibits any U.S. individual or business from paying, offering and authorizing payment, or offering of anything of value, directly or indirectly, to any foreign official, political party or candidate for the purpose of influencing any ac</w:t>
      </w:r>
      <w:r>
        <w:rPr>
          <w:rFonts w:ascii="Arial" w:eastAsia="Arial" w:hAnsi="Arial" w:cs="Arial"/>
          <w:sz w:val="18"/>
          <w:szCs w:val="18"/>
        </w:rPr>
        <w:t xml:space="preserve">t or decision of the foreign entity in order to assist the individual or business in obtaining or retaining business. The FCPA also obligates companies whose securities are listed in the United States to comply with certain accounting provisions requiring </w:t>
      </w:r>
      <w:r>
        <w:rPr>
          <w:rFonts w:ascii="Arial" w:eastAsia="Arial" w:hAnsi="Arial" w:cs="Arial"/>
          <w:sz w:val="18"/>
          <w:szCs w:val="18"/>
        </w:rPr>
        <w:t>the Company to maintain books and records that accurately and fairly reflect all transactions of the corporation, including international subsidiaries, and to devise and maintain an adequate system of internal accounting controls for international operatio</w:t>
      </w:r>
      <w:r>
        <w:rPr>
          <w:rFonts w:ascii="Arial" w:eastAsia="Arial" w:hAnsi="Arial" w:cs="Arial"/>
          <w:sz w:val="18"/>
          <w:szCs w:val="18"/>
        </w:rPr>
        <w:t>ns.</w:t>
      </w:r>
    </w:p>
    <w:p w:rsidR="000728AD" w:rsidRDefault="000728AD">
      <w:pPr>
        <w:spacing w:line="168" w:lineRule="exact"/>
        <w:rPr>
          <w:sz w:val="20"/>
          <w:szCs w:val="20"/>
        </w:rPr>
      </w:pPr>
    </w:p>
    <w:p w:rsidR="000728AD" w:rsidRDefault="000561BE">
      <w:pPr>
        <w:spacing w:line="328" w:lineRule="auto"/>
        <w:ind w:right="140"/>
        <w:rPr>
          <w:sz w:val="20"/>
          <w:szCs w:val="20"/>
        </w:rPr>
      </w:pPr>
      <w:r>
        <w:rPr>
          <w:rFonts w:ascii="Arial" w:eastAsia="Arial" w:hAnsi="Arial" w:cs="Arial"/>
          <w:sz w:val="16"/>
          <w:szCs w:val="16"/>
        </w:rPr>
        <w:t xml:space="preserve">Compliance with the FCPA is expensive and difficult, particularly in countries in which corruption is a recognized problem. In addition, the FCPA presents particular challenges in the pharmaceutical industry, because, in many countries, hospitals are </w:t>
      </w:r>
      <w:r>
        <w:rPr>
          <w:rFonts w:ascii="Arial" w:eastAsia="Arial" w:hAnsi="Arial" w:cs="Arial"/>
          <w:sz w:val="16"/>
          <w:szCs w:val="16"/>
        </w:rPr>
        <w:t>operated by the government, and doctors and other hospital employees are considered foreign officials. Certain payments to hospitals in connection to Clinical Trials and other work have been deemed to be improper payments to government officials and have l</w:t>
      </w:r>
      <w:r>
        <w:rPr>
          <w:rFonts w:ascii="Arial" w:eastAsia="Arial" w:hAnsi="Arial" w:cs="Arial"/>
          <w:sz w:val="16"/>
          <w:szCs w:val="16"/>
        </w:rPr>
        <w:t>ed to FCPA enforcement actions.</w:t>
      </w:r>
    </w:p>
    <w:p w:rsidR="000728AD" w:rsidRDefault="000728AD">
      <w:pPr>
        <w:spacing w:line="128" w:lineRule="exact"/>
        <w:rPr>
          <w:sz w:val="20"/>
          <w:szCs w:val="20"/>
        </w:rPr>
      </w:pPr>
    </w:p>
    <w:p w:rsidR="000728AD" w:rsidRDefault="000561BE">
      <w:pPr>
        <w:spacing w:line="260" w:lineRule="auto"/>
        <w:rPr>
          <w:sz w:val="20"/>
          <w:szCs w:val="20"/>
        </w:rPr>
      </w:pPr>
      <w:r>
        <w:rPr>
          <w:rFonts w:ascii="Arial" w:eastAsia="Arial" w:hAnsi="Arial" w:cs="Arial"/>
          <w:sz w:val="19"/>
          <w:szCs w:val="19"/>
        </w:rPr>
        <w:t>Various laws, regulations and executive orders also restrict the use and dissemination outside of the United States, or the sharing with certain ex-U.S. nationals, of information classified for national security purposes, a</w:t>
      </w:r>
      <w:r>
        <w:rPr>
          <w:rFonts w:ascii="Arial" w:eastAsia="Arial" w:hAnsi="Arial" w:cs="Arial"/>
          <w:sz w:val="19"/>
          <w:szCs w:val="19"/>
        </w:rPr>
        <w:t>s well as certain products and technical data relating to those products. If we expand our presence outside of the United States, it will require us to dedicate additional resources to comply with these laws, and these laws may preclude us from developing,</w:t>
      </w:r>
      <w:r>
        <w:rPr>
          <w:rFonts w:ascii="Arial" w:eastAsia="Arial" w:hAnsi="Arial" w:cs="Arial"/>
          <w:sz w:val="19"/>
          <w:szCs w:val="19"/>
        </w:rPr>
        <w:t xml:space="preserve"> manufacturing, or selling certain products and product candidates outside of the United States, which could limit our growth potential and increase our development costs.</w:t>
      </w:r>
    </w:p>
    <w:p w:rsidR="000728AD" w:rsidRDefault="000728AD">
      <w:pPr>
        <w:spacing w:line="180" w:lineRule="exact"/>
        <w:rPr>
          <w:sz w:val="20"/>
          <w:szCs w:val="20"/>
        </w:rPr>
      </w:pPr>
    </w:p>
    <w:p w:rsidR="000728AD" w:rsidRDefault="000561BE">
      <w:pPr>
        <w:spacing w:line="250" w:lineRule="auto"/>
        <w:ind w:right="140"/>
        <w:rPr>
          <w:sz w:val="20"/>
          <w:szCs w:val="20"/>
        </w:rPr>
      </w:pPr>
      <w:r>
        <w:rPr>
          <w:rFonts w:ascii="Arial" w:eastAsia="Arial" w:hAnsi="Arial" w:cs="Arial"/>
          <w:sz w:val="20"/>
          <w:szCs w:val="20"/>
        </w:rPr>
        <w:t>The failure to comply with laws governing international business practices may resu</w:t>
      </w:r>
      <w:r>
        <w:rPr>
          <w:rFonts w:ascii="Arial" w:eastAsia="Arial" w:hAnsi="Arial" w:cs="Arial"/>
          <w:sz w:val="20"/>
          <w:szCs w:val="20"/>
        </w:rPr>
        <w:t>lt in substantial civil and criminal penalties and suspension or debarment from government contracting. The SEC also may suspend or bar issuers from trading securities on U.S. exchanges for violations of the FCPA's accounting provisions.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2" w:lineRule="exact"/>
        <w:rPr>
          <w:sz w:val="20"/>
          <w:szCs w:val="20"/>
        </w:rPr>
      </w:pPr>
    </w:p>
    <w:p w:rsidR="000728AD" w:rsidRDefault="000561BE">
      <w:pPr>
        <w:ind w:right="-19"/>
        <w:jc w:val="center"/>
        <w:rPr>
          <w:sz w:val="20"/>
          <w:szCs w:val="20"/>
        </w:rPr>
      </w:pPr>
      <w:r>
        <w:rPr>
          <w:rFonts w:ascii="Arial" w:eastAsia="Arial" w:hAnsi="Arial" w:cs="Arial"/>
          <w:sz w:val="18"/>
          <w:szCs w:val="18"/>
        </w:rPr>
        <w:t>69</w:t>
      </w:r>
    </w:p>
    <w:p w:rsidR="000728AD" w:rsidRDefault="000561BE">
      <w:pPr>
        <w:spacing w:line="20" w:lineRule="exact"/>
        <w:rPr>
          <w:sz w:val="20"/>
          <w:szCs w:val="20"/>
        </w:rPr>
      </w:pPr>
      <w:r>
        <w:rPr>
          <w:noProof/>
          <w:sz w:val="20"/>
          <w:szCs w:val="20"/>
        </w:rPr>
        <w:drawing>
          <wp:anchor distT="0" distB="0" distL="114300" distR="114300" simplePos="0" relativeHeight="251678720"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59" w:bottom="1440" w:left="320" w:header="0" w:footer="0" w:gutter="0"/>
          <w:cols w:space="720" w:equalWidth="0">
            <w:col w:w="11220"/>
          </w:cols>
        </w:sectPr>
      </w:pPr>
    </w:p>
    <w:bookmarkStart w:id="70" w:name="page70"/>
    <w:bookmarkEnd w:id="70"/>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60" w:lineRule="auto"/>
        <w:ind w:right="360"/>
        <w:rPr>
          <w:sz w:val="20"/>
          <w:szCs w:val="20"/>
        </w:rPr>
      </w:pPr>
      <w:r>
        <w:rPr>
          <w:rFonts w:ascii="Arial" w:eastAsia="Arial" w:hAnsi="Arial" w:cs="Arial"/>
          <w:b/>
          <w:bCs/>
          <w:i/>
          <w:iCs/>
          <w:sz w:val="20"/>
          <w:szCs w:val="20"/>
        </w:rPr>
        <w:t xml:space="preserve">We are subject to certain U.S. and foreign anti-corruption, anti-money laundering, export control, sanctions and other trade laws and regulations. We can face serious </w:t>
      </w:r>
      <w:r>
        <w:rPr>
          <w:rFonts w:ascii="Arial" w:eastAsia="Arial" w:hAnsi="Arial" w:cs="Arial"/>
          <w:b/>
          <w:bCs/>
          <w:i/>
          <w:iCs/>
          <w:sz w:val="20"/>
          <w:szCs w:val="20"/>
        </w:rPr>
        <w:t>consequences for violations.</w:t>
      </w:r>
    </w:p>
    <w:p w:rsidR="000728AD" w:rsidRDefault="000728AD">
      <w:pPr>
        <w:spacing w:line="177" w:lineRule="exact"/>
        <w:rPr>
          <w:sz w:val="20"/>
          <w:szCs w:val="20"/>
        </w:rPr>
      </w:pPr>
    </w:p>
    <w:p w:rsidR="000728AD" w:rsidRDefault="000561BE">
      <w:pPr>
        <w:spacing w:line="255" w:lineRule="auto"/>
        <w:rPr>
          <w:sz w:val="20"/>
          <w:szCs w:val="20"/>
        </w:rPr>
      </w:pPr>
      <w:r>
        <w:rPr>
          <w:rFonts w:ascii="Arial" w:eastAsia="Arial" w:hAnsi="Arial" w:cs="Arial"/>
          <w:sz w:val="19"/>
          <w:szCs w:val="19"/>
        </w:rPr>
        <w:t>Among other matters, U.S. and foreign anti-corruption, anti-money laundering, export control, sanctions and other trade laws and regulations, which are collectively referred to as Trade Laws, prohibit companies and their emplo</w:t>
      </w:r>
      <w:r>
        <w:rPr>
          <w:rFonts w:ascii="Arial" w:eastAsia="Arial" w:hAnsi="Arial" w:cs="Arial"/>
          <w:sz w:val="19"/>
          <w:szCs w:val="19"/>
        </w:rPr>
        <w:t xml:space="preserve">yees, agents, CROs, legal counsel, accountants, consultants, contractors and other partners from authorizing, promising, offering, providing, soliciting or receiving directly or indirectly, corrupt or improper payments or anything else of value to or from </w:t>
      </w:r>
      <w:r>
        <w:rPr>
          <w:rFonts w:ascii="Arial" w:eastAsia="Arial" w:hAnsi="Arial" w:cs="Arial"/>
          <w:sz w:val="19"/>
          <w:szCs w:val="19"/>
        </w:rPr>
        <w:t>recipients in the public or private sector. Violations of Trade Laws can result in substantial criminal fines and civil penalties, imprisonment, the loss of trade privileges, debarment, tax reassessments, breach of contract and fraud litigation, reputation</w:t>
      </w:r>
      <w:r>
        <w:rPr>
          <w:rFonts w:ascii="Arial" w:eastAsia="Arial" w:hAnsi="Arial" w:cs="Arial"/>
          <w:sz w:val="19"/>
          <w:szCs w:val="19"/>
        </w:rPr>
        <w:t>al harm and other consequences. We have direct or indirect interactions with officials and employees of government agencies or government-affiliated hospitals, universities and other organizations. We also expect our ex-U.S. activities to increase in time.</w:t>
      </w:r>
      <w:r>
        <w:rPr>
          <w:rFonts w:ascii="Arial" w:eastAsia="Arial" w:hAnsi="Arial" w:cs="Arial"/>
          <w:sz w:val="19"/>
          <w:szCs w:val="19"/>
        </w:rPr>
        <w:t xml:space="preserve"> We plan to engage third parties for Clinical Trials or to obtain necessary permits, licenses, patent registrations and other regulatory approvals and we can be held liable for the corrupt or other illegal activities of our personnel, agents or partners, e</w:t>
      </w:r>
      <w:r>
        <w:rPr>
          <w:rFonts w:ascii="Arial" w:eastAsia="Arial" w:hAnsi="Arial" w:cs="Arial"/>
          <w:sz w:val="19"/>
          <w:szCs w:val="19"/>
        </w:rPr>
        <w:t>ven if we do not explicitly authorize or have prior knowledge of such activities.</w:t>
      </w:r>
    </w:p>
    <w:p w:rsidR="000728AD" w:rsidRDefault="000728AD">
      <w:pPr>
        <w:spacing w:line="190" w:lineRule="exact"/>
        <w:rPr>
          <w:sz w:val="20"/>
          <w:szCs w:val="20"/>
        </w:rPr>
      </w:pPr>
    </w:p>
    <w:p w:rsidR="000728AD" w:rsidRDefault="000561BE">
      <w:pPr>
        <w:spacing w:line="246" w:lineRule="auto"/>
        <w:ind w:right="40"/>
        <w:rPr>
          <w:sz w:val="20"/>
          <w:szCs w:val="20"/>
        </w:rPr>
      </w:pPr>
      <w:r>
        <w:rPr>
          <w:rFonts w:ascii="Arial" w:eastAsia="Arial" w:hAnsi="Arial" w:cs="Arial"/>
          <w:b/>
          <w:bCs/>
          <w:i/>
          <w:iCs/>
          <w:sz w:val="20"/>
          <w:szCs w:val="20"/>
        </w:rPr>
        <w:t xml:space="preserve">Changes in funding for the FDA, the SEC and other government agencies could hinder their ability to hire and retain key leadership and other personnel, prevent new products </w:t>
      </w:r>
      <w:r>
        <w:rPr>
          <w:rFonts w:ascii="Arial" w:eastAsia="Arial" w:hAnsi="Arial" w:cs="Arial"/>
          <w:b/>
          <w:bCs/>
          <w:i/>
          <w:iCs/>
          <w:sz w:val="20"/>
          <w:szCs w:val="20"/>
        </w:rPr>
        <w:t>and services from being developed or commercialized in a timely manner or otherwise prevent those agencies from performing normal functions on which the operation of our business may rely, which could negatively impact our business.</w:t>
      </w:r>
    </w:p>
    <w:p w:rsidR="000728AD" w:rsidRDefault="000728AD">
      <w:pPr>
        <w:spacing w:line="191" w:lineRule="exact"/>
        <w:rPr>
          <w:sz w:val="20"/>
          <w:szCs w:val="20"/>
        </w:rPr>
      </w:pPr>
    </w:p>
    <w:p w:rsidR="000728AD" w:rsidRDefault="000561BE">
      <w:pPr>
        <w:spacing w:line="260" w:lineRule="auto"/>
        <w:ind w:right="200"/>
        <w:rPr>
          <w:sz w:val="20"/>
          <w:szCs w:val="20"/>
        </w:rPr>
      </w:pPr>
      <w:r>
        <w:rPr>
          <w:rFonts w:ascii="Arial" w:eastAsia="Arial" w:hAnsi="Arial" w:cs="Arial"/>
          <w:sz w:val="19"/>
          <w:szCs w:val="19"/>
        </w:rPr>
        <w:t>The ability of the FDA</w:t>
      </w:r>
      <w:r>
        <w:rPr>
          <w:rFonts w:ascii="Arial" w:eastAsia="Arial" w:hAnsi="Arial" w:cs="Arial"/>
          <w:sz w:val="19"/>
          <w:szCs w:val="19"/>
        </w:rPr>
        <w:t xml:space="preserve"> to review and approve new products or take action with respect to other regulatory matters can be affected by a variety of factors, including government budget and funding levels, ability to hire and retain key personnel and accept payment of user fees an</w:t>
      </w:r>
      <w:r>
        <w:rPr>
          <w:rFonts w:ascii="Arial" w:eastAsia="Arial" w:hAnsi="Arial" w:cs="Arial"/>
          <w:sz w:val="19"/>
          <w:szCs w:val="19"/>
        </w:rPr>
        <w:t>d statutory, regulatory and policy changes. Average review times at the agency have fluctuated in recent years as a result. In addition, government funding of the SEC and other government agencies on which our operations may rely, including those that fund</w:t>
      </w:r>
      <w:r>
        <w:rPr>
          <w:rFonts w:ascii="Arial" w:eastAsia="Arial" w:hAnsi="Arial" w:cs="Arial"/>
          <w:sz w:val="19"/>
          <w:szCs w:val="19"/>
        </w:rPr>
        <w:t xml:space="preserve"> research and development activities is subject to the political process, which is inherently fluid and unpredictable.</w:t>
      </w:r>
    </w:p>
    <w:p w:rsidR="000728AD" w:rsidRDefault="000728AD">
      <w:pPr>
        <w:spacing w:line="180" w:lineRule="exact"/>
        <w:rPr>
          <w:sz w:val="20"/>
          <w:szCs w:val="20"/>
        </w:rPr>
      </w:pPr>
    </w:p>
    <w:p w:rsidR="000728AD" w:rsidRDefault="000561BE">
      <w:pPr>
        <w:spacing w:line="256" w:lineRule="auto"/>
        <w:ind w:right="160"/>
        <w:rPr>
          <w:sz w:val="20"/>
          <w:szCs w:val="20"/>
        </w:rPr>
      </w:pPr>
      <w:r>
        <w:rPr>
          <w:rFonts w:ascii="Arial" w:eastAsia="Arial" w:hAnsi="Arial" w:cs="Arial"/>
          <w:sz w:val="19"/>
          <w:szCs w:val="19"/>
        </w:rPr>
        <w:t>Disruptions at the FDA and other agencies may also slow the time necessary for new drugs to be reviewed or approved, or for other action</w:t>
      </w:r>
      <w:r>
        <w:rPr>
          <w:rFonts w:ascii="Arial" w:eastAsia="Arial" w:hAnsi="Arial" w:cs="Arial"/>
          <w:sz w:val="19"/>
          <w:szCs w:val="19"/>
        </w:rPr>
        <w:t>s to be taken, by relevant government agencies, which would adversely affect our business. For example, over the last several years, the U.S. government has shut down several times and certain regulatory agencies, such as the FDA and the SEC, have had to f</w:t>
      </w:r>
      <w:r>
        <w:rPr>
          <w:rFonts w:ascii="Arial" w:eastAsia="Arial" w:hAnsi="Arial" w:cs="Arial"/>
          <w:sz w:val="19"/>
          <w:szCs w:val="19"/>
        </w:rPr>
        <w:t>urlough critical FDA, SEC and other government employees and stop critical activities. If a prolonged government shutdown occurs, it could significantly impact the ability of the FDA to timely review and process our regulatory submissions, which could have</w:t>
      </w:r>
      <w:r>
        <w:rPr>
          <w:rFonts w:ascii="Arial" w:eastAsia="Arial" w:hAnsi="Arial" w:cs="Arial"/>
          <w:sz w:val="19"/>
          <w:szCs w:val="19"/>
        </w:rPr>
        <w:t xml:space="preserve"> a material adverse effect on our business. Similarly, a prolonged government shutdown could prevent the timely review of our patent applications by the United States Patent and Trademark Office, or USPTO, which could delay the issuance of any U.S. patents</w:t>
      </w:r>
      <w:r>
        <w:rPr>
          <w:rFonts w:ascii="Arial" w:eastAsia="Arial" w:hAnsi="Arial" w:cs="Arial"/>
          <w:sz w:val="19"/>
          <w:szCs w:val="19"/>
        </w:rPr>
        <w:t xml:space="preserve"> to which we might otherwise be entitled. Further, in our operations as a public company, future government shutdowns could impact our ability to access the public markets and obtain necessary capital in order to properly execute our business plans.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1" w:lineRule="exact"/>
        <w:rPr>
          <w:sz w:val="20"/>
          <w:szCs w:val="20"/>
        </w:rPr>
      </w:pPr>
    </w:p>
    <w:p w:rsidR="000728AD" w:rsidRDefault="000561BE">
      <w:pPr>
        <w:jc w:val="center"/>
        <w:rPr>
          <w:sz w:val="20"/>
          <w:szCs w:val="20"/>
        </w:rPr>
      </w:pPr>
      <w:r>
        <w:rPr>
          <w:rFonts w:ascii="Arial" w:eastAsia="Arial" w:hAnsi="Arial" w:cs="Arial"/>
          <w:sz w:val="18"/>
          <w:szCs w:val="18"/>
        </w:rPr>
        <w:t>70</w:t>
      </w:r>
    </w:p>
    <w:p w:rsidR="000728AD" w:rsidRDefault="000561BE">
      <w:pPr>
        <w:spacing w:line="20" w:lineRule="exact"/>
        <w:rPr>
          <w:sz w:val="20"/>
          <w:szCs w:val="20"/>
        </w:rPr>
      </w:pPr>
      <w:r>
        <w:rPr>
          <w:noProof/>
          <w:sz w:val="20"/>
          <w:szCs w:val="20"/>
        </w:rPr>
        <w:drawing>
          <wp:anchor distT="0" distB="0" distL="114300" distR="114300" simplePos="0" relativeHeight="251679744"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71" w:name="page71"/>
    <w:bookmarkEnd w:id="71"/>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395" w:lineRule="exact"/>
        <w:rPr>
          <w:sz w:val="20"/>
          <w:szCs w:val="20"/>
        </w:rPr>
      </w:pPr>
    </w:p>
    <w:p w:rsidR="000728AD" w:rsidRDefault="000561BE">
      <w:pPr>
        <w:rPr>
          <w:sz w:val="20"/>
          <w:szCs w:val="20"/>
        </w:rPr>
      </w:pPr>
      <w:r>
        <w:rPr>
          <w:rFonts w:ascii="Arial" w:eastAsia="Arial" w:hAnsi="Arial" w:cs="Arial"/>
          <w:b/>
          <w:bCs/>
          <w:sz w:val="20"/>
          <w:szCs w:val="20"/>
        </w:rPr>
        <w:t>Risks Related to Our Intellectual Property</w:t>
      </w:r>
    </w:p>
    <w:p w:rsidR="000728AD" w:rsidRDefault="000728AD">
      <w:pPr>
        <w:spacing w:line="222" w:lineRule="exact"/>
        <w:rPr>
          <w:sz w:val="20"/>
          <w:szCs w:val="20"/>
        </w:rPr>
      </w:pPr>
    </w:p>
    <w:p w:rsidR="000728AD" w:rsidRDefault="000561BE">
      <w:pPr>
        <w:spacing w:line="291" w:lineRule="auto"/>
        <w:rPr>
          <w:sz w:val="20"/>
          <w:szCs w:val="20"/>
        </w:rPr>
      </w:pPr>
      <w:r>
        <w:rPr>
          <w:rFonts w:ascii="Arial" w:eastAsia="Arial" w:hAnsi="Arial" w:cs="Arial"/>
          <w:b/>
          <w:bCs/>
          <w:i/>
          <w:iCs/>
          <w:sz w:val="18"/>
          <w:szCs w:val="18"/>
        </w:rPr>
        <w:t xml:space="preserve">If we are unable to obtain and maintain patent protection for any product candidates we develop or for our development platform or other </w:t>
      </w:r>
      <w:r>
        <w:rPr>
          <w:rFonts w:ascii="Arial" w:eastAsia="Arial" w:hAnsi="Arial" w:cs="Arial"/>
          <w:b/>
          <w:bCs/>
          <w:i/>
          <w:iCs/>
          <w:sz w:val="18"/>
          <w:szCs w:val="18"/>
        </w:rPr>
        <w:t>technologies, our competitors could develop and commercialize products or technology similar or identical to ours, and our ability to successfully commercialize any product candidates we may develop, and our technology may be adversely affected.</w:t>
      </w:r>
    </w:p>
    <w:p w:rsidR="000728AD" w:rsidRDefault="000728AD">
      <w:pPr>
        <w:spacing w:line="152" w:lineRule="exact"/>
        <w:rPr>
          <w:sz w:val="20"/>
          <w:szCs w:val="20"/>
        </w:rPr>
      </w:pPr>
    </w:p>
    <w:p w:rsidR="000728AD" w:rsidRDefault="000561BE">
      <w:pPr>
        <w:spacing w:line="270" w:lineRule="auto"/>
        <w:ind w:right="20"/>
        <w:rPr>
          <w:sz w:val="20"/>
          <w:szCs w:val="20"/>
        </w:rPr>
      </w:pPr>
      <w:r>
        <w:rPr>
          <w:rFonts w:ascii="Arial" w:eastAsia="Arial" w:hAnsi="Arial" w:cs="Arial"/>
          <w:sz w:val="18"/>
          <w:szCs w:val="18"/>
        </w:rPr>
        <w:t>Our succe</w:t>
      </w:r>
      <w:r>
        <w:rPr>
          <w:rFonts w:ascii="Arial" w:eastAsia="Arial" w:hAnsi="Arial" w:cs="Arial"/>
          <w:sz w:val="18"/>
          <w:szCs w:val="18"/>
        </w:rPr>
        <w:t>ss depends in large part on our ability to obtain and maintain patent protection in the United States and other countries with respect to our product candidates, development platform and other technologies we may develop. We seek to protect our proprietary</w:t>
      </w:r>
      <w:r>
        <w:rPr>
          <w:rFonts w:ascii="Arial" w:eastAsia="Arial" w:hAnsi="Arial" w:cs="Arial"/>
          <w:sz w:val="18"/>
          <w:szCs w:val="18"/>
        </w:rPr>
        <w:t xml:space="preserve"> position by filing patent applications in the United States and abroad relating to our product candidates and development platform, as well as other technologies that are important to our business. Given that the development of our technology and product </w:t>
      </w:r>
      <w:r>
        <w:rPr>
          <w:rFonts w:ascii="Arial" w:eastAsia="Arial" w:hAnsi="Arial" w:cs="Arial"/>
          <w:sz w:val="18"/>
          <w:szCs w:val="18"/>
        </w:rPr>
        <w:t>candidates is at an early stage, our intellectual property portfolio with respect to certain aspects of our technology and product candidates is also at an early stage. As of June 30, 2021, we have 7 granted patents covering certain of our product candidat</w:t>
      </w:r>
      <w:r>
        <w:rPr>
          <w:rFonts w:ascii="Arial" w:eastAsia="Arial" w:hAnsi="Arial" w:cs="Arial"/>
          <w:sz w:val="18"/>
          <w:szCs w:val="18"/>
        </w:rPr>
        <w:t>es, and we have filed or intend to file patent applications on our product candidates, certain aspects of our development platform and other technology; however, there can be no assurance that any such patent applications will issue as granted patents. Fur</w:t>
      </w:r>
      <w:r>
        <w:rPr>
          <w:rFonts w:ascii="Arial" w:eastAsia="Arial" w:hAnsi="Arial" w:cs="Arial"/>
          <w:sz w:val="18"/>
          <w:szCs w:val="18"/>
        </w:rPr>
        <w:t xml:space="preserve">thermore, in some cases, we have only filed provisional patent applications on certain aspects of our technology and product candidates and each of these provisional patent applications is not eligible to become an issued patent until, among other things, </w:t>
      </w:r>
      <w:r>
        <w:rPr>
          <w:rFonts w:ascii="Arial" w:eastAsia="Arial" w:hAnsi="Arial" w:cs="Arial"/>
          <w:sz w:val="18"/>
          <w:szCs w:val="18"/>
        </w:rPr>
        <w:t>we file a non-provisional patent application within 12 months of the filing date of the applicable provisional patent application. Any failure to file a non-provisional patent application within this timeline could cause us to lose the ability to obtain pa</w:t>
      </w:r>
      <w:r>
        <w:rPr>
          <w:rFonts w:ascii="Arial" w:eastAsia="Arial" w:hAnsi="Arial" w:cs="Arial"/>
          <w:sz w:val="18"/>
          <w:szCs w:val="18"/>
        </w:rPr>
        <w:t>tent protection for the inventions disclosed in the associated provisional patent applications.</w:t>
      </w:r>
    </w:p>
    <w:p w:rsidR="000728AD" w:rsidRDefault="000728AD">
      <w:pPr>
        <w:spacing w:line="176" w:lineRule="exact"/>
        <w:rPr>
          <w:sz w:val="20"/>
          <w:szCs w:val="20"/>
        </w:rPr>
      </w:pPr>
    </w:p>
    <w:p w:rsidR="000728AD" w:rsidRDefault="000561BE">
      <w:pPr>
        <w:spacing w:line="269" w:lineRule="auto"/>
        <w:rPr>
          <w:sz w:val="20"/>
          <w:szCs w:val="20"/>
        </w:rPr>
      </w:pPr>
      <w:r>
        <w:rPr>
          <w:rFonts w:ascii="Arial" w:eastAsia="Arial" w:hAnsi="Arial" w:cs="Arial"/>
          <w:sz w:val="18"/>
          <w:szCs w:val="18"/>
        </w:rPr>
        <w:t xml:space="preserve">Composition of matter patents for biological and pharmaceutical products are generally considered to be the strongest form of intellectual property protection </w:t>
      </w:r>
      <w:r>
        <w:rPr>
          <w:rFonts w:ascii="Arial" w:eastAsia="Arial" w:hAnsi="Arial" w:cs="Arial"/>
          <w:sz w:val="18"/>
          <w:szCs w:val="18"/>
        </w:rPr>
        <w:t>for those types of products, as such patents provide protection without regard to any method of use. We cannot be certain, however, that the claims in our pending patent applications covering the composition of matter of our product candidates will be cons</w:t>
      </w:r>
      <w:r>
        <w:rPr>
          <w:rFonts w:ascii="Arial" w:eastAsia="Arial" w:hAnsi="Arial" w:cs="Arial"/>
          <w:sz w:val="18"/>
          <w:szCs w:val="18"/>
        </w:rPr>
        <w:t>idered patentable by the USPTO or by patent offices in foreign countries, or that the claims in any of our issued patents will be considered valid and enforceable by courts in the United States or foreign countries. Furthermore, in some cases, we may not b</w:t>
      </w:r>
      <w:r>
        <w:rPr>
          <w:rFonts w:ascii="Arial" w:eastAsia="Arial" w:hAnsi="Arial" w:cs="Arial"/>
          <w:sz w:val="18"/>
          <w:szCs w:val="18"/>
        </w:rPr>
        <w:t>e able to obtain issued claims covering compositions of matter relating to our product candidates and proprietary product platform, as well as other technologies that are important to our business, and instead may need to rely on filing patent applications</w:t>
      </w:r>
      <w:r>
        <w:rPr>
          <w:rFonts w:ascii="Arial" w:eastAsia="Arial" w:hAnsi="Arial" w:cs="Arial"/>
          <w:sz w:val="18"/>
          <w:szCs w:val="18"/>
        </w:rPr>
        <w:t xml:space="preserve"> with claims covering a method of use or method of manufacture. Method of use patents protect the use of a product for the specified method. This type of patent does not prevent a competitor from making and marketing a product that is identical to our prod</w:t>
      </w:r>
      <w:r>
        <w:rPr>
          <w:rFonts w:ascii="Arial" w:eastAsia="Arial" w:hAnsi="Arial" w:cs="Arial"/>
          <w:sz w:val="18"/>
          <w:szCs w:val="18"/>
        </w:rPr>
        <w:t>uct for a use that is outside the scope of the patented method. Moreover, even if competitors do not actively promote their products for our targeted indications of any product candidates we decide to develop as drug products, physicians may prescribe thes</w:t>
      </w:r>
      <w:r>
        <w:rPr>
          <w:rFonts w:ascii="Arial" w:eastAsia="Arial" w:hAnsi="Arial" w:cs="Arial"/>
          <w:sz w:val="18"/>
          <w:szCs w:val="18"/>
        </w:rPr>
        <w:t>e products "off-label" for those uses that are covered by our method of use patents. Although off-label prescriptions may infringe or contribute to the infringement of method of use patents, the practice is common and such infringement is difficult to prev</w:t>
      </w:r>
      <w:r>
        <w:rPr>
          <w:rFonts w:ascii="Arial" w:eastAsia="Arial" w:hAnsi="Arial" w:cs="Arial"/>
          <w:sz w:val="18"/>
          <w:szCs w:val="18"/>
        </w:rPr>
        <w:t>ent or prosecute. There can be no assurance that any such patent applications will issue as granted patents, and even if they do issue, such patent claims may be insufficient to prevent third parties, such as our competitors, from utilizing our technology.</w:t>
      </w:r>
      <w:r>
        <w:rPr>
          <w:rFonts w:ascii="Arial" w:eastAsia="Arial" w:hAnsi="Arial" w:cs="Arial"/>
          <w:sz w:val="18"/>
          <w:szCs w:val="18"/>
        </w:rPr>
        <w:t xml:space="preserve"> Any failure to obtain or maintain patent protection with respect to our product candidates and development platform could have a material adverse effect on our business, financial condition, results of operations and prospects.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73" w:lineRule="exact"/>
        <w:rPr>
          <w:sz w:val="20"/>
          <w:szCs w:val="20"/>
        </w:rPr>
      </w:pPr>
    </w:p>
    <w:p w:rsidR="000728AD" w:rsidRDefault="000561BE">
      <w:pPr>
        <w:ind w:right="-19"/>
        <w:jc w:val="center"/>
        <w:rPr>
          <w:sz w:val="20"/>
          <w:szCs w:val="20"/>
        </w:rPr>
      </w:pPr>
      <w:r>
        <w:rPr>
          <w:rFonts w:ascii="Arial" w:eastAsia="Arial" w:hAnsi="Arial" w:cs="Arial"/>
          <w:sz w:val="18"/>
          <w:szCs w:val="18"/>
        </w:rPr>
        <w:t>71</w:t>
      </w:r>
    </w:p>
    <w:p w:rsidR="000728AD" w:rsidRDefault="000561BE">
      <w:pPr>
        <w:spacing w:line="20" w:lineRule="exact"/>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72" w:name="page72"/>
    <w:bookmarkEnd w:id="72"/>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rPr>
          <w:sz w:val="20"/>
          <w:szCs w:val="20"/>
        </w:rPr>
      </w:pPr>
      <w:r>
        <w:rPr>
          <w:rFonts w:ascii="Arial" w:eastAsia="Arial" w:hAnsi="Arial" w:cs="Arial"/>
          <w:b/>
          <w:bCs/>
          <w:i/>
          <w:iCs/>
          <w:sz w:val="18"/>
          <w:szCs w:val="18"/>
        </w:rPr>
        <w:t>If any of our owned patent applications do not issue as patents in any jurisdiction, we may not be able to compete effectively.</w:t>
      </w:r>
    </w:p>
    <w:p w:rsidR="000728AD" w:rsidRDefault="000728AD">
      <w:pPr>
        <w:spacing w:line="239" w:lineRule="exact"/>
        <w:rPr>
          <w:sz w:val="20"/>
          <w:szCs w:val="20"/>
        </w:rPr>
      </w:pPr>
    </w:p>
    <w:p w:rsidR="000728AD" w:rsidRDefault="000561BE">
      <w:pPr>
        <w:spacing w:line="272" w:lineRule="auto"/>
        <w:ind w:right="180"/>
        <w:rPr>
          <w:sz w:val="20"/>
          <w:szCs w:val="20"/>
        </w:rPr>
      </w:pPr>
      <w:r>
        <w:rPr>
          <w:rFonts w:ascii="Arial" w:eastAsia="Arial" w:hAnsi="Arial" w:cs="Arial"/>
          <w:sz w:val="18"/>
          <w:szCs w:val="18"/>
        </w:rPr>
        <w:t>Changes in either the patent laws or their interpretation in the United State</w:t>
      </w:r>
      <w:r>
        <w:rPr>
          <w:rFonts w:ascii="Arial" w:eastAsia="Arial" w:hAnsi="Arial" w:cs="Arial"/>
          <w:sz w:val="18"/>
          <w:szCs w:val="18"/>
        </w:rPr>
        <w:t xml:space="preserve">s and other countries may diminish our ability to protect our inventions, obtain, maintain and enforce our intellectual property rights and, more generally, could affect the value of our intellectual property or narrow the scope of our owned patents. With </w:t>
      </w:r>
      <w:r>
        <w:rPr>
          <w:rFonts w:ascii="Arial" w:eastAsia="Arial" w:hAnsi="Arial" w:cs="Arial"/>
          <w:sz w:val="18"/>
          <w:szCs w:val="18"/>
        </w:rPr>
        <w:t>respect to our patent portfolio, as of June 30, 2021 our product candidate-related patent portfolio consists of 22 patent families, including 7 granted U.S. patents, 19 U.S. pending patent applications (including provisional applications) and 271 owned pen</w:t>
      </w:r>
      <w:r>
        <w:rPr>
          <w:rFonts w:ascii="Arial" w:eastAsia="Arial" w:hAnsi="Arial" w:cs="Arial"/>
          <w:sz w:val="18"/>
          <w:szCs w:val="18"/>
        </w:rPr>
        <w:t>ding patent applications in jurisdictions outside of the United States (including Patent Cooperation Treaty applications) that, in many cases, are counterparts to the foregoing U.S. patents and patent applications, which include claims directed to composit</w:t>
      </w:r>
      <w:r>
        <w:rPr>
          <w:rFonts w:ascii="Arial" w:eastAsia="Arial" w:hAnsi="Arial" w:cs="Arial"/>
          <w:sz w:val="18"/>
          <w:szCs w:val="18"/>
        </w:rPr>
        <w:t>ions, methods of use, treatment of indications, dosing, formulations and methods of manufacturing. With respect to owned intellectual property, we cannot predict whether the patent applications we are currently pursuing will issue as patents in any particu</w:t>
      </w:r>
      <w:r>
        <w:rPr>
          <w:rFonts w:ascii="Arial" w:eastAsia="Arial" w:hAnsi="Arial" w:cs="Arial"/>
          <w:sz w:val="18"/>
          <w:szCs w:val="18"/>
        </w:rPr>
        <w:t>lar jurisdiction or whether the claims of any issued patents will provide sufficient protection from competitors or other third parties.</w:t>
      </w:r>
    </w:p>
    <w:p w:rsidR="000728AD" w:rsidRDefault="000728AD">
      <w:pPr>
        <w:spacing w:line="170" w:lineRule="exact"/>
        <w:rPr>
          <w:sz w:val="20"/>
          <w:szCs w:val="20"/>
        </w:rPr>
      </w:pPr>
    </w:p>
    <w:p w:rsidR="000728AD" w:rsidRDefault="000561BE">
      <w:pPr>
        <w:spacing w:line="270" w:lineRule="auto"/>
        <w:rPr>
          <w:sz w:val="20"/>
          <w:szCs w:val="20"/>
        </w:rPr>
      </w:pPr>
      <w:r>
        <w:rPr>
          <w:rFonts w:ascii="Arial" w:eastAsia="Arial" w:hAnsi="Arial" w:cs="Arial"/>
          <w:sz w:val="18"/>
          <w:szCs w:val="18"/>
        </w:rPr>
        <w:t xml:space="preserve">The patent prosecution process is expensive, time-consuming and complex, and we may not be able to file, </w:t>
      </w:r>
      <w:r>
        <w:rPr>
          <w:rFonts w:ascii="Arial" w:eastAsia="Arial" w:hAnsi="Arial" w:cs="Arial"/>
          <w:sz w:val="18"/>
          <w:szCs w:val="18"/>
        </w:rPr>
        <w:t>prosecute, maintain, enforce or license all necessary or desirable patents and patent applications at a reasonable cost or in a timely manner. Disruptions at the USPTO or other government agencies may also slow the time necessary for patent applications to</w:t>
      </w:r>
      <w:r>
        <w:rPr>
          <w:rFonts w:ascii="Arial" w:eastAsia="Arial" w:hAnsi="Arial" w:cs="Arial"/>
          <w:sz w:val="18"/>
          <w:szCs w:val="18"/>
        </w:rPr>
        <w:t xml:space="preserve"> be reviewed by the USPTO, which could adversely affect our patent portfolio. It is also possible that we will fail to identify patentable aspects of our research and development output in time to obtain patent protection. Although we enter into non-disclo</w:t>
      </w:r>
      <w:r>
        <w:rPr>
          <w:rFonts w:ascii="Arial" w:eastAsia="Arial" w:hAnsi="Arial" w:cs="Arial"/>
          <w:sz w:val="18"/>
          <w:szCs w:val="18"/>
        </w:rPr>
        <w:t>sure and confidentiality agreements with parties who have access to confidential or patentable aspects of our research and development output, such as our employees, corporate collaborators, outside scientific collaborators, CROs, contract manufacturers, c</w:t>
      </w:r>
      <w:r>
        <w:rPr>
          <w:rFonts w:ascii="Arial" w:eastAsia="Arial" w:hAnsi="Arial" w:cs="Arial"/>
          <w:sz w:val="18"/>
          <w:szCs w:val="18"/>
        </w:rPr>
        <w:t xml:space="preserve">onsultants, advisors and other third parties, any of these parties may breach such agreements and disclose such output before a patent application is filed, thereby jeopardizing our ability to seek patent protection. In addition, our ability to obtain and </w:t>
      </w:r>
      <w:r>
        <w:rPr>
          <w:rFonts w:ascii="Arial" w:eastAsia="Arial" w:hAnsi="Arial" w:cs="Arial"/>
          <w:sz w:val="18"/>
          <w:szCs w:val="18"/>
        </w:rPr>
        <w:t>maintain valid and enforceable patents depends on whether the differences between our inventions and the prior art allow our inventions to be patentable over the prior art. Furthermore, publications of discoveries in the scientific literature often lag beh</w:t>
      </w:r>
      <w:r>
        <w:rPr>
          <w:rFonts w:ascii="Arial" w:eastAsia="Arial" w:hAnsi="Arial" w:cs="Arial"/>
          <w:sz w:val="18"/>
          <w:szCs w:val="18"/>
        </w:rPr>
        <w:t>ind the actual discoveries, and patent applications in the United States and other jurisdictions are typically not published until 18 months after filing, or in some cases not at all. Therefore, we cannot be certain that we were the first to make the inven</w:t>
      </w:r>
      <w:r>
        <w:rPr>
          <w:rFonts w:ascii="Arial" w:eastAsia="Arial" w:hAnsi="Arial" w:cs="Arial"/>
          <w:sz w:val="18"/>
          <w:szCs w:val="18"/>
        </w:rPr>
        <w:t>tions claimed in any of our owned or pending patent applications, or that we were the first to file for patent protection of such inventions.</w:t>
      </w:r>
    </w:p>
    <w:p w:rsidR="000728AD" w:rsidRDefault="000728AD">
      <w:pPr>
        <w:spacing w:line="172" w:lineRule="exact"/>
        <w:rPr>
          <w:sz w:val="20"/>
          <w:szCs w:val="20"/>
        </w:rPr>
      </w:pPr>
    </w:p>
    <w:p w:rsidR="000728AD" w:rsidRDefault="000561BE">
      <w:pPr>
        <w:spacing w:line="385" w:lineRule="auto"/>
        <w:ind w:right="200"/>
        <w:rPr>
          <w:sz w:val="20"/>
          <w:szCs w:val="20"/>
        </w:rPr>
      </w:pPr>
      <w:r>
        <w:rPr>
          <w:rFonts w:ascii="Arial" w:eastAsia="Arial" w:hAnsi="Arial" w:cs="Arial"/>
          <w:b/>
          <w:bCs/>
          <w:i/>
          <w:iCs/>
          <w:sz w:val="16"/>
          <w:szCs w:val="16"/>
        </w:rPr>
        <w:t>If the scope of any patent protection we obtain is not sufficiently broad, or if we lose any of our patent protec</w:t>
      </w:r>
      <w:r>
        <w:rPr>
          <w:rFonts w:ascii="Arial" w:eastAsia="Arial" w:hAnsi="Arial" w:cs="Arial"/>
          <w:b/>
          <w:bCs/>
          <w:i/>
          <w:iCs/>
          <w:sz w:val="16"/>
          <w:szCs w:val="16"/>
        </w:rPr>
        <w:t>tion, our ability to prevent our competitors from commercializing similar or identical technology and product candidates would be adversely affected.</w:t>
      </w:r>
    </w:p>
    <w:p w:rsidR="000728AD" w:rsidRDefault="000728AD">
      <w:pPr>
        <w:spacing w:line="85" w:lineRule="exact"/>
        <w:rPr>
          <w:sz w:val="20"/>
          <w:szCs w:val="20"/>
        </w:rPr>
      </w:pPr>
    </w:p>
    <w:p w:rsidR="000728AD" w:rsidRDefault="000561BE">
      <w:pPr>
        <w:spacing w:line="244" w:lineRule="auto"/>
        <w:ind w:right="20"/>
        <w:rPr>
          <w:sz w:val="20"/>
          <w:szCs w:val="20"/>
        </w:rPr>
      </w:pPr>
      <w:r>
        <w:rPr>
          <w:rFonts w:ascii="Arial" w:eastAsia="Arial" w:hAnsi="Arial" w:cs="Arial"/>
          <w:sz w:val="20"/>
          <w:szCs w:val="20"/>
        </w:rPr>
        <w:t>The patent position of healthcare companies generally is highly uncertain, involves complex legal and fac</w:t>
      </w:r>
      <w:r>
        <w:rPr>
          <w:rFonts w:ascii="Arial" w:eastAsia="Arial" w:hAnsi="Arial" w:cs="Arial"/>
          <w:sz w:val="20"/>
          <w:szCs w:val="20"/>
        </w:rPr>
        <w:t>tual questions and has been the subject of much litigation in recent years. As a result, the issuance, scope, validity, enforceability and commercial value of our patent rights are highly uncertain. Our pending and future patent applications may not result</w:t>
      </w:r>
      <w:r>
        <w:rPr>
          <w:rFonts w:ascii="Arial" w:eastAsia="Arial" w:hAnsi="Arial" w:cs="Arial"/>
          <w:sz w:val="20"/>
          <w:szCs w:val="20"/>
        </w:rPr>
        <w:t xml:space="preserve"> in patents being issued which protect our product candidates, development platform or other technologies or which effectively prevent others from commercializing competitive technologies and product candidates.</w:t>
      </w:r>
    </w:p>
    <w:p w:rsidR="000728AD" w:rsidRDefault="000728AD">
      <w:pPr>
        <w:spacing w:line="194" w:lineRule="exact"/>
        <w:rPr>
          <w:sz w:val="20"/>
          <w:szCs w:val="20"/>
        </w:rPr>
      </w:pPr>
    </w:p>
    <w:p w:rsidR="000728AD" w:rsidRDefault="000561BE">
      <w:pPr>
        <w:spacing w:line="259" w:lineRule="auto"/>
        <w:ind w:right="20"/>
        <w:rPr>
          <w:sz w:val="20"/>
          <w:szCs w:val="20"/>
        </w:rPr>
      </w:pPr>
      <w:r>
        <w:rPr>
          <w:rFonts w:ascii="Arial" w:eastAsia="Arial" w:hAnsi="Arial" w:cs="Arial"/>
          <w:sz w:val="19"/>
          <w:szCs w:val="19"/>
        </w:rPr>
        <w:t>No consistent policy regarding the scope of</w:t>
      </w:r>
      <w:r>
        <w:rPr>
          <w:rFonts w:ascii="Arial" w:eastAsia="Arial" w:hAnsi="Arial" w:cs="Arial"/>
          <w:sz w:val="19"/>
          <w:szCs w:val="19"/>
        </w:rPr>
        <w:t xml:space="preserve"> claims allowable in patents in the biotechnology field has emerged in the United States. The patent situation outside of the United States is similarly uncertain. Changes in either the patent laws or their interpretation in the United States and other cou</w:t>
      </w:r>
      <w:r>
        <w:rPr>
          <w:rFonts w:ascii="Arial" w:eastAsia="Arial" w:hAnsi="Arial" w:cs="Arial"/>
          <w:sz w:val="19"/>
          <w:szCs w:val="19"/>
        </w:rPr>
        <w:t>ntries may diminish our ability to protect our inventions and enforce our intellectual property rights, and more generally could affect the value of our intellectual property. In particular, our ability to stop third parties from making, using, selling, of</w:t>
      </w:r>
      <w:r>
        <w:rPr>
          <w:rFonts w:ascii="Arial" w:eastAsia="Arial" w:hAnsi="Arial" w:cs="Arial"/>
          <w:sz w:val="19"/>
          <w:szCs w:val="19"/>
        </w:rPr>
        <w:t>fering to sell or importing products that infringe our intellectual property will depend in part on our success in obtaining and enforcing patent claims that cover our technology, inventions and improvements.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75" w:lineRule="exact"/>
        <w:rPr>
          <w:sz w:val="20"/>
          <w:szCs w:val="20"/>
        </w:rPr>
      </w:pPr>
    </w:p>
    <w:p w:rsidR="000728AD" w:rsidRDefault="000561BE">
      <w:pPr>
        <w:ind w:right="-79"/>
        <w:jc w:val="center"/>
        <w:rPr>
          <w:sz w:val="20"/>
          <w:szCs w:val="20"/>
        </w:rPr>
      </w:pPr>
      <w:r>
        <w:rPr>
          <w:rFonts w:ascii="Arial" w:eastAsia="Arial" w:hAnsi="Arial" w:cs="Arial"/>
          <w:sz w:val="18"/>
          <w:szCs w:val="18"/>
        </w:rPr>
        <w:t>72</w:t>
      </w:r>
    </w:p>
    <w:p w:rsidR="000728AD" w:rsidRDefault="000561BE">
      <w:pPr>
        <w:spacing w:line="20" w:lineRule="exact"/>
        <w:rPr>
          <w:sz w:val="20"/>
          <w:szCs w:val="20"/>
        </w:rPr>
      </w:pPr>
      <w:r>
        <w:rPr>
          <w:noProof/>
          <w:sz w:val="20"/>
          <w:szCs w:val="20"/>
        </w:rPr>
        <w:drawing>
          <wp:anchor distT="0" distB="0" distL="114300" distR="114300" simplePos="0" relativeHeight="251681792"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419" w:bottom="1440" w:left="320" w:header="0" w:footer="0" w:gutter="0"/>
          <w:cols w:space="720" w:equalWidth="0">
            <w:col w:w="11160"/>
          </w:cols>
        </w:sectPr>
      </w:pPr>
    </w:p>
    <w:bookmarkStart w:id="73" w:name="page73"/>
    <w:bookmarkEnd w:id="73"/>
    <w:p w:rsidR="000728AD" w:rsidRDefault="000561BE">
      <w:pPr>
        <w:rPr>
          <w:rFonts w:ascii="Arial" w:eastAsia="Arial" w:hAnsi="Arial" w:cs="Arial"/>
          <w:color w:val="0000FF"/>
          <w:sz w:val="18"/>
          <w:szCs w:val="18"/>
          <w:u w:val="single"/>
        </w:rPr>
      </w:pPr>
      <w:r>
        <w:lastRenderedPageBreak/>
        <w:fldChar w:fldCharType="begin"/>
      </w:r>
      <w:r>
        <w:instrText xml:space="preserve"> HYPERLINK \l "pa</w:instrText>
      </w:r>
      <w:r>
        <w:instrText xml:space="preserve">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54" w:lineRule="auto"/>
        <w:rPr>
          <w:sz w:val="20"/>
          <w:szCs w:val="20"/>
        </w:rPr>
      </w:pPr>
      <w:r>
        <w:rPr>
          <w:rFonts w:ascii="Arial" w:eastAsia="Arial" w:hAnsi="Arial" w:cs="Arial"/>
          <w:sz w:val="19"/>
          <w:szCs w:val="19"/>
        </w:rPr>
        <w:t>With respect to intellectual property that we own, we cannot be sure that patents will be granted with respect to any of our pending patent applications or with respect to any patent applications filed by us in the future, nor</w:t>
      </w:r>
      <w:r>
        <w:rPr>
          <w:rFonts w:ascii="Arial" w:eastAsia="Arial" w:hAnsi="Arial" w:cs="Arial"/>
          <w:sz w:val="19"/>
          <w:szCs w:val="19"/>
        </w:rPr>
        <w:t xml:space="preserve"> can we be sure that any of our existing patents or any patents that may be granted to us in the future will be commercially useful in protecting our products and the methods used to manufacture those products. Moreover, even our issued patents do not guar</w:t>
      </w:r>
      <w:r>
        <w:rPr>
          <w:rFonts w:ascii="Arial" w:eastAsia="Arial" w:hAnsi="Arial" w:cs="Arial"/>
          <w:sz w:val="19"/>
          <w:szCs w:val="19"/>
        </w:rPr>
        <w:t xml:space="preserve">antee us the right to practice our technology in relation to the commercialization of our products. The area of patent and other intellectual property rights in biotechnology is an evolving one with many risks and uncertainties, and third parties may have </w:t>
      </w:r>
      <w:r>
        <w:rPr>
          <w:rFonts w:ascii="Arial" w:eastAsia="Arial" w:hAnsi="Arial" w:cs="Arial"/>
          <w:sz w:val="19"/>
          <w:szCs w:val="19"/>
        </w:rPr>
        <w:t>blocking patents that could be used to prevent us from commercializing our patented product candidates and practicing our proprietary technology. Our issued patents and those that may issue in the future may be challenged, invalidated or circumvented, whic</w:t>
      </w:r>
      <w:r>
        <w:rPr>
          <w:rFonts w:ascii="Arial" w:eastAsia="Arial" w:hAnsi="Arial" w:cs="Arial"/>
          <w:sz w:val="19"/>
          <w:szCs w:val="19"/>
        </w:rPr>
        <w:t>h could limit our ability to stop competitors from marketing related products or limit the length of the term of patent protection that we may have for our product candidates. In addition, the rights granted under any issued patents may not provide us with</w:t>
      </w:r>
      <w:r>
        <w:rPr>
          <w:rFonts w:ascii="Arial" w:eastAsia="Arial" w:hAnsi="Arial" w:cs="Arial"/>
          <w:sz w:val="19"/>
          <w:szCs w:val="19"/>
        </w:rPr>
        <w:t xml:space="preserve"> protection or competitive advantages against competitors with similar technology. Furthermore, our competitors may independently develop similar technologies. For these reasons, we may have competition for our product candidates. Moreover, because of the </w:t>
      </w:r>
      <w:r>
        <w:rPr>
          <w:rFonts w:ascii="Arial" w:eastAsia="Arial" w:hAnsi="Arial" w:cs="Arial"/>
          <w:sz w:val="19"/>
          <w:szCs w:val="19"/>
        </w:rPr>
        <w:t>extensive time required for development, testing and regulatory review of a potential product, it is possible that, before any particular product candidate can be commercialized, any related patent may expire or remain in force for only a short period foll</w:t>
      </w:r>
      <w:r>
        <w:rPr>
          <w:rFonts w:ascii="Arial" w:eastAsia="Arial" w:hAnsi="Arial" w:cs="Arial"/>
          <w:sz w:val="19"/>
          <w:szCs w:val="19"/>
        </w:rPr>
        <w:t>owing commercialization, thereby reducing any advantage of the patent.</w:t>
      </w:r>
    </w:p>
    <w:p w:rsidR="000728AD" w:rsidRDefault="000728AD">
      <w:pPr>
        <w:spacing w:line="192" w:lineRule="exact"/>
        <w:rPr>
          <w:sz w:val="20"/>
          <w:szCs w:val="20"/>
        </w:rPr>
      </w:pPr>
    </w:p>
    <w:p w:rsidR="000728AD" w:rsidRDefault="000561BE">
      <w:pPr>
        <w:spacing w:line="274" w:lineRule="auto"/>
        <w:ind w:right="240"/>
        <w:rPr>
          <w:sz w:val="20"/>
          <w:szCs w:val="20"/>
        </w:rPr>
      </w:pPr>
      <w:r>
        <w:rPr>
          <w:rFonts w:ascii="Arial" w:eastAsia="Arial" w:hAnsi="Arial" w:cs="Arial"/>
          <w:sz w:val="18"/>
          <w:szCs w:val="18"/>
        </w:rPr>
        <w:t xml:space="preserve">Moreover, the coverage claimed in a patent application can be significantly reduced before the patent is issued, and its scope can be reinterpreted after issuance. Even if patent </w:t>
      </w:r>
      <w:r>
        <w:rPr>
          <w:rFonts w:ascii="Arial" w:eastAsia="Arial" w:hAnsi="Arial" w:cs="Arial"/>
          <w:sz w:val="18"/>
          <w:szCs w:val="18"/>
        </w:rPr>
        <w:t>applications we own issue as patents, they may not issue in a form that will provide us with any meaningful protection, prevent competitors or other third parties from competing with us, or otherwise provide us with any competitive advantage. Any patents t</w:t>
      </w:r>
      <w:r>
        <w:rPr>
          <w:rFonts w:ascii="Arial" w:eastAsia="Arial" w:hAnsi="Arial" w:cs="Arial"/>
          <w:sz w:val="18"/>
          <w:szCs w:val="18"/>
        </w:rPr>
        <w:t>hat we own may be challenged, narrowed, circumvented or invalidated by third parties. Consequently, we do not know whether our product candidates or other technologies will be protectable or remain protected by valid and enforceable patents. Our competitor</w:t>
      </w:r>
      <w:r>
        <w:rPr>
          <w:rFonts w:ascii="Arial" w:eastAsia="Arial" w:hAnsi="Arial" w:cs="Arial"/>
          <w:sz w:val="18"/>
          <w:szCs w:val="18"/>
        </w:rPr>
        <w:t>s or other third parties may be able to circumvent our patents by developing similar or alternative technologies or products in a non-infringing manner which could materially adversely affect our business, financial condition, results of operations and pro</w:t>
      </w:r>
      <w:r>
        <w:rPr>
          <w:rFonts w:ascii="Arial" w:eastAsia="Arial" w:hAnsi="Arial" w:cs="Arial"/>
          <w:sz w:val="18"/>
          <w:szCs w:val="18"/>
        </w:rPr>
        <w:t>spects.</w:t>
      </w:r>
    </w:p>
    <w:p w:rsidR="000728AD" w:rsidRDefault="000728AD">
      <w:pPr>
        <w:spacing w:line="168" w:lineRule="exact"/>
        <w:rPr>
          <w:sz w:val="20"/>
          <w:szCs w:val="20"/>
        </w:rPr>
      </w:pPr>
    </w:p>
    <w:p w:rsidR="000728AD" w:rsidRDefault="000561BE">
      <w:pPr>
        <w:spacing w:line="312" w:lineRule="auto"/>
        <w:ind w:right="80"/>
        <w:rPr>
          <w:sz w:val="20"/>
          <w:szCs w:val="20"/>
        </w:rPr>
      </w:pPr>
      <w:r>
        <w:rPr>
          <w:rFonts w:ascii="Arial" w:eastAsia="Arial" w:hAnsi="Arial" w:cs="Arial"/>
          <w:sz w:val="16"/>
          <w:szCs w:val="16"/>
        </w:rPr>
        <w:t xml:space="preserve">The issuance of a patent is not conclusive as to its inventorship, scope, validity or enforceability, and patents that we own may be challenged in the courts or patent offices in the United States and abroad. We may be subject to a third </w:t>
      </w:r>
      <w:r>
        <w:rPr>
          <w:rFonts w:ascii="Arial" w:eastAsia="Arial" w:hAnsi="Arial" w:cs="Arial"/>
          <w:sz w:val="16"/>
          <w:szCs w:val="16"/>
        </w:rPr>
        <w:t>party preissuance submission of prior art to the</w:t>
      </w:r>
    </w:p>
    <w:p w:rsidR="000728AD" w:rsidRDefault="000728AD">
      <w:pPr>
        <w:spacing w:line="1" w:lineRule="exact"/>
        <w:rPr>
          <w:sz w:val="20"/>
          <w:szCs w:val="20"/>
        </w:rPr>
      </w:pPr>
    </w:p>
    <w:p w:rsidR="000728AD" w:rsidRDefault="000561BE">
      <w:pPr>
        <w:spacing w:line="271" w:lineRule="auto"/>
        <w:ind w:right="20"/>
        <w:rPr>
          <w:sz w:val="20"/>
          <w:szCs w:val="20"/>
        </w:rPr>
      </w:pPr>
      <w:r>
        <w:rPr>
          <w:rFonts w:ascii="Arial" w:eastAsia="Arial" w:hAnsi="Arial" w:cs="Arial"/>
          <w:sz w:val="18"/>
          <w:szCs w:val="18"/>
        </w:rPr>
        <w:t xml:space="preserve">USPTO or to foreign patent authorities or become involved in opposition, derivation, revocation, reexamination, post-grant and </w:t>
      </w:r>
      <w:r>
        <w:rPr>
          <w:rFonts w:ascii="Arial" w:eastAsia="Arial" w:hAnsi="Arial" w:cs="Arial"/>
          <w:i/>
          <w:iCs/>
          <w:sz w:val="19"/>
          <w:szCs w:val="19"/>
        </w:rPr>
        <w:t>inter partes</w:t>
      </w:r>
      <w:r>
        <w:rPr>
          <w:rFonts w:ascii="Arial" w:eastAsia="Arial" w:hAnsi="Arial" w:cs="Arial"/>
          <w:sz w:val="18"/>
          <w:szCs w:val="18"/>
        </w:rPr>
        <w:t xml:space="preserve"> review or interference proceedings or other similar proceedings ch</w:t>
      </w:r>
      <w:r>
        <w:rPr>
          <w:rFonts w:ascii="Arial" w:eastAsia="Arial" w:hAnsi="Arial" w:cs="Arial"/>
          <w:sz w:val="18"/>
          <w:szCs w:val="18"/>
        </w:rPr>
        <w:t>allenging our owned patent rights. An adverse determination in any such submission, proceeding or litigation could reduce the scope of, or invalidate or render unenforceable, our owned patent rights, allow third parties to commercialize our product candida</w:t>
      </w:r>
      <w:r>
        <w:rPr>
          <w:rFonts w:ascii="Arial" w:eastAsia="Arial" w:hAnsi="Arial" w:cs="Arial"/>
          <w:sz w:val="18"/>
          <w:szCs w:val="18"/>
        </w:rPr>
        <w:t>tes, development platform or other technologies and compete directly with us, without payment to us, or result in our inability to manufacture or commercialize products without infringing third-party patent rights. Moreover, we may have to participate in i</w:t>
      </w:r>
      <w:r>
        <w:rPr>
          <w:rFonts w:ascii="Arial" w:eastAsia="Arial" w:hAnsi="Arial" w:cs="Arial"/>
          <w:sz w:val="18"/>
          <w:szCs w:val="18"/>
        </w:rPr>
        <w:t xml:space="preserve">nterference proceedings declared by the USPTO to determine priority of invention or in post-grant challenge proceedings, such as </w:t>
      </w:r>
      <w:r>
        <w:rPr>
          <w:rFonts w:ascii="Arial" w:eastAsia="Arial" w:hAnsi="Arial" w:cs="Arial"/>
          <w:i/>
          <w:iCs/>
          <w:sz w:val="19"/>
          <w:szCs w:val="19"/>
        </w:rPr>
        <w:t>inter partes</w:t>
      </w:r>
      <w:r>
        <w:rPr>
          <w:rFonts w:ascii="Arial" w:eastAsia="Arial" w:hAnsi="Arial" w:cs="Arial"/>
          <w:sz w:val="18"/>
          <w:szCs w:val="18"/>
        </w:rPr>
        <w:t xml:space="preserve"> reviews, post-grant reviews or derivation proceedings at the USPTO or oppositions in a foreign patent office, that</w:t>
      </w:r>
      <w:r>
        <w:rPr>
          <w:rFonts w:ascii="Arial" w:eastAsia="Arial" w:hAnsi="Arial" w:cs="Arial"/>
          <w:sz w:val="18"/>
          <w:szCs w:val="18"/>
        </w:rPr>
        <w:t xml:space="preserve"> challenge our priority of invention or other features of patentability with respect to our owned patents and patent applications. Such challenges may result in loss of patent rights, loss of exclusivity or in patent claims being narrowed, invalidated or h</w:t>
      </w:r>
      <w:r>
        <w:rPr>
          <w:rFonts w:ascii="Arial" w:eastAsia="Arial" w:hAnsi="Arial" w:cs="Arial"/>
          <w:sz w:val="18"/>
          <w:szCs w:val="18"/>
        </w:rPr>
        <w:t>eld unenforceable, which could limit our ability to stop others from using or commercializing similar or identical technology and products, or limit the duration of the patent protection of our product candidates, development platform and other technologie</w:t>
      </w:r>
      <w:r>
        <w:rPr>
          <w:rFonts w:ascii="Arial" w:eastAsia="Arial" w:hAnsi="Arial" w:cs="Arial"/>
          <w:sz w:val="18"/>
          <w:szCs w:val="18"/>
        </w:rPr>
        <w:t>s. Such proceedings also may result in substantial cost and require significant time from our scientists and management, even if the eventual outcome is favorable to us.</w:t>
      </w:r>
    </w:p>
    <w:p w:rsidR="000728AD" w:rsidRDefault="000728AD">
      <w:pPr>
        <w:spacing w:line="173" w:lineRule="exact"/>
        <w:rPr>
          <w:sz w:val="20"/>
          <w:szCs w:val="20"/>
        </w:rPr>
      </w:pPr>
    </w:p>
    <w:p w:rsidR="000728AD" w:rsidRDefault="000561BE">
      <w:pPr>
        <w:spacing w:line="291" w:lineRule="auto"/>
        <w:ind w:right="220"/>
        <w:rPr>
          <w:sz w:val="20"/>
          <w:szCs w:val="20"/>
        </w:rPr>
      </w:pPr>
      <w:r>
        <w:rPr>
          <w:rFonts w:ascii="Arial" w:eastAsia="Arial" w:hAnsi="Arial" w:cs="Arial"/>
          <w:sz w:val="18"/>
          <w:szCs w:val="18"/>
        </w:rPr>
        <w:t>In addition, given the amount of time required for the development, testing and regul</w:t>
      </w:r>
      <w:r>
        <w:rPr>
          <w:rFonts w:ascii="Arial" w:eastAsia="Arial" w:hAnsi="Arial" w:cs="Arial"/>
          <w:sz w:val="18"/>
          <w:szCs w:val="18"/>
        </w:rPr>
        <w:t xml:space="preserve">atory review of new product candidates, patents protecting such product candidates might expire before or shortly after such product candidates are commercialized. As a result, our intellectual property may not provide us with sufficient rights to exclude </w:t>
      </w:r>
      <w:r>
        <w:rPr>
          <w:rFonts w:ascii="Arial" w:eastAsia="Arial" w:hAnsi="Arial" w:cs="Arial"/>
          <w:sz w:val="18"/>
          <w:szCs w:val="18"/>
        </w:rPr>
        <w:t>others from commercializing products similar or identical to ours.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48" w:lineRule="exact"/>
        <w:rPr>
          <w:sz w:val="20"/>
          <w:szCs w:val="20"/>
        </w:rPr>
      </w:pPr>
    </w:p>
    <w:p w:rsidR="000728AD" w:rsidRDefault="000561BE">
      <w:pPr>
        <w:ind w:right="-19"/>
        <w:jc w:val="center"/>
        <w:rPr>
          <w:sz w:val="20"/>
          <w:szCs w:val="20"/>
        </w:rPr>
      </w:pPr>
      <w:r>
        <w:rPr>
          <w:rFonts w:ascii="Arial" w:eastAsia="Arial" w:hAnsi="Arial" w:cs="Arial"/>
          <w:sz w:val="18"/>
          <w:szCs w:val="18"/>
        </w:rPr>
        <w:t>73</w:t>
      </w:r>
    </w:p>
    <w:p w:rsidR="000728AD" w:rsidRDefault="000561BE">
      <w:pPr>
        <w:spacing w:line="20" w:lineRule="exact"/>
        <w:rPr>
          <w:sz w:val="20"/>
          <w:szCs w:val="20"/>
        </w:rPr>
      </w:pPr>
      <w:r>
        <w:rPr>
          <w:noProof/>
          <w:sz w:val="20"/>
          <w:szCs w:val="20"/>
        </w:rPr>
        <w:drawing>
          <wp:anchor distT="0" distB="0" distL="114300" distR="114300" simplePos="0" relativeHeight="251682816"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59" w:bottom="1440" w:left="320" w:header="0" w:footer="0" w:gutter="0"/>
          <w:cols w:space="720" w:equalWidth="0">
            <w:col w:w="11220"/>
          </w:cols>
        </w:sectPr>
      </w:pPr>
    </w:p>
    <w:bookmarkStart w:id="74" w:name="page74"/>
    <w:bookmarkEnd w:id="74"/>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46" w:lineRule="auto"/>
        <w:ind w:right="360"/>
        <w:rPr>
          <w:sz w:val="20"/>
          <w:szCs w:val="20"/>
        </w:rPr>
      </w:pPr>
      <w:r>
        <w:rPr>
          <w:rFonts w:ascii="Arial" w:eastAsia="Arial" w:hAnsi="Arial" w:cs="Arial"/>
          <w:sz w:val="20"/>
          <w:szCs w:val="20"/>
        </w:rPr>
        <w:t xml:space="preserve">We may in the future co-own patent rights relating to future product candidates and our development </w:t>
      </w:r>
      <w:r>
        <w:rPr>
          <w:rFonts w:ascii="Arial" w:eastAsia="Arial" w:hAnsi="Arial" w:cs="Arial"/>
          <w:sz w:val="20"/>
          <w:szCs w:val="20"/>
        </w:rPr>
        <w:t>platform with third parties. We may need the cooperation of any such co-owners of our patent rights in order to enforce such patent rights against third parties, and such cooperation may not be provided to us. Any of the foregoing could have a material adv</w:t>
      </w:r>
      <w:r>
        <w:rPr>
          <w:rFonts w:ascii="Arial" w:eastAsia="Arial" w:hAnsi="Arial" w:cs="Arial"/>
          <w:sz w:val="20"/>
          <w:szCs w:val="20"/>
        </w:rPr>
        <w:t>erse effect on our competitive position, business, financial conditions, results of operations and prospects.</w:t>
      </w:r>
    </w:p>
    <w:p w:rsidR="000728AD" w:rsidRDefault="000728AD">
      <w:pPr>
        <w:spacing w:line="191" w:lineRule="exact"/>
        <w:rPr>
          <w:sz w:val="20"/>
          <w:szCs w:val="20"/>
        </w:rPr>
      </w:pPr>
    </w:p>
    <w:p w:rsidR="000728AD" w:rsidRDefault="000561BE">
      <w:pPr>
        <w:spacing w:line="260" w:lineRule="auto"/>
        <w:ind w:right="500"/>
        <w:rPr>
          <w:sz w:val="20"/>
          <w:szCs w:val="20"/>
        </w:rPr>
      </w:pPr>
      <w:r>
        <w:rPr>
          <w:rFonts w:ascii="Arial" w:eastAsia="Arial" w:hAnsi="Arial" w:cs="Arial"/>
          <w:b/>
          <w:bCs/>
          <w:i/>
          <w:iCs/>
          <w:sz w:val="20"/>
          <w:szCs w:val="20"/>
        </w:rPr>
        <w:t>Our rights to develop and commercialize our product candidates and development platform may be subject, in part, to the terms and conditions of f</w:t>
      </w:r>
      <w:r>
        <w:rPr>
          <w:rFonts w:ascii="Arial" w:eastAsia="Arial" w:hAnsi="Arial" w:cs="Arial"/>
          <w:b/>
          <w:bCs/>
          <w:i/>
          <w:iCs/>
          <w:sz w:val="20"/>
          <w:szCs w:val="20"/>
        </w:rPr>
        <w:t>uture licenses granted to us by others.</w:t>
      </w:r>
    </w:p>
    <w:p w:rsidR="000728AD" w:rsidRDefault="000728AD">
      <w:pPr>
        <w:spacing w:line="177" w:lineRule="exact"/>
        <w:rPr>
          <w:sz w:val="20"/>
          <w:szCs w:val="20"/>
        </w:rPr>
      </w:pPr>
    </w:p>
    <w:p w:rsidR="000728AD" w:rsidRDefault="000561BE">
      <w:pPr>
        <w:spacing w:line="291" w:lineRule="auto"/>
        <w:ind w:right="420"/>
        <w:rPr>
          <w:sz w:val="20"/>
          <w:szCs w:val="20"/>
        </w:rPr>
      </w:pPr>
      <w:r>
        <w:rPr>
          <w:rFonts w:ascii="Arial" w:eastAsia="Arial" w:hAnsi="Arial" w:cs="Arial"/>
          <w:sz w:val="18"/>
          <w:szCs w:val="18"/>
        </w:rPr>
        <w:t>We may rely upon licenses to certain patent rights and proprietary technology from third parties that are important or necessary to the development of our product candidates and development platform. Patent rights t</w:t>
      </w:r>
      <w:r>
        <w:rPr>
          <w:rFonts w:ascii="Arial" w:eastAsia="Arial" w:hAnsi="Arial" w:cs="Arial"/>
          <w:sz w:val="18"/>
          <w:szCs w:val="18"/>
        </w:rPr>
        <w:t>hat we in-license in the future may be subject to a reservation of rights by one or more third parties. As a result, any such third parties may have certain rights to such intellectual property.</w:t>
      </w:r>
    </w:p>
    <w:p w:rsidR="000728AD" w:rsidRDefault="000728AD">
      <w:pPr>
        <w:spacing w:line="152" w:lineRule="exact"/>
        <w:rPr>
          <w:sz w:val="20"/>
          <w:szCs w:val="20"/>
        </w:rPr>
      </w:pPr>
    </w:p>
    <w:p w:rsidR="000728AD" w:rsidRDefault="000561BE">
      <w:pPr>
        <w:spacing w:line="270" w:lineRule="auto"/>
        <w:rPr>
          <w:sz w:val="20"/>
          <w:szCs w:val="20"/>
        </w:rPr>
      </w:pPr>
      <w:r>
        <w:rPr>
          <w:rFonts w:ascii="Arial" w:eastAsia="Arial" w:hAnsi="Arial" w:cs="Arial"/>
          <w:sz w:val="18"/>
          <w:szCs w:val="18"/>
        </w:rPr>
        <w:t>In addition, subject to the terms of any such license agreem</w:t>
      </w:r>
      <w:r>
        <w:rPr>
          <w:rFonts w:ascii="Arial" w:eastAsia="Arial" w:hAnsi="Arial" w:cs="Arial"/>
          <w:sz w:val="18"/>
          <w:szCs w:val="18"/>
        </w:rPr>
        <w:t>ents, we may not have the right to control the preparation, filing, prosecution and maintenance, and we may not have the right to control the enforcement, and defense of patents and patent applications covering the technology that we license from third par</w:t>
      </w:r>
      <w:r>
        <w:rPr>
          <w:rFonts w:ascii="Arial" w:eastAsia="Arial" w:hAnsi="Arial" w:cs="Arial"/>
          <w:sz w:val="18"/>
          <w:szCs w:val="18"/>
        </w:rPr>
        <w:t>ties. We cannot be certain that any in-licensed patent applications (and any patents issuing therefrom) that are controlled by any potential licensors will be prepared, filed, prosecuted, maintained, enforced and defended in a manner consistent with the be</w:t>
      </w:r>
      <w:r>
        <w:rPr>
          <w:rFonts w:ascii="Arial" w:eastAsia="Arial" w:hAnsi="Arial" w:cs="Arial"/>
          <w:sz w:val="18"/>
          <w:szCs w:val="18"/>
        </w:rPr>
        <w:t>st interests of our business. If our licensors fail to prosecute, maintain, enforce and defend such patent rights, or lose rights to those patent applications (or any patents issuing therefrom), the rights we have licensed may be reduced or eliminated, our</w:t>
      </w:r>
      <w:r>
        <w:rPr>
          <w:rFonts w:ascii="Arial" w:eastAsia="Arial" w:hAnsi="Arial" w:cs="Arial"/>
          <w:sz w:val="18"/>
          <w:szCs w:val="18"/>
        </w:rPr>
        <w:t xml:space="preserve"> right to develop and commercialize any of our product candidates, development platform technologies and other technologies that are subject of such licensed rights could be adversely affected and we may not be able to prevent competitors from making, usin</w:t>
      </w:r>
      <w:r>
        <w:rPr>
          <w:rFonts w:ascii="Arial" w:eastAsia="Arial" w:hAnsi="Arial" w:cs="Arial"/>
          <w:sz w:val="18"/>
          <w:szCs w:val="18"/>
        </w:rPr>
        <w:t>g and selling competing products. Moreover, we cannot be certain that such activities by our potential future licensors will be conducted in compliance with applicable laws and regulations or will result in valid and enforceable patents or other intellectu</w:t>
      </w:r>
      <w:r>
        <w:rPr>
          <w:rFonts w:ascii="Arial" w:eastAsia="Arial" w:hAnsi="Arial" w:cs="Arial"/>
          <w:sz w:val="18"/>
          <w:szCs w:val="18"/>
        </w:rPr>
        <w:t>al property rights. In addition, even where we may have the right to control patent prosecution of patents and patent applications that we may license to and from third parties, we may still be adversely affected or prejudiced by actions or inactions of ou</w:t>
      </w:r>
      <w:r>
        <w:rPr>
          <w:rFonts w:ascii="Arial" w:eastAsia="Arial" w:hAnsi="Arial" w:cs="Arial"/>
          <w:sz w:val="18"/>
          <w:szCs w:val="18"/>
        </w:rPr>
        <w:t>r potential future licensees, licensors and their counsel that took place prior to the date of assumption of control over patent prosecution.</w:t>
      </w:r>
    </w:p>
    <w:p w:rsidR="000728AD" w:rsidRDefault="000728AD">
      <w:pPr>
        <w:spacing w:line="172" w:lineRule="exact"/>
        <w:rPr>
          <w:sz w:val="20"/>
          <w:szCs w:val="20"/>
        </w:rPr>
      </w:pPr>
    </w:p>
    <w:p w:rsidR="000728AD" w:rsidRDefault="000561BE">
      <w:pPr>
        <w:rPr>
          <w:sz w:val="20"/>
          <w:szCs w:val="20"/>
        </w:rPr>
      </w:pPr>
      <w:r>
        <w:rPr>
          <w:rFonts w:ascii="Arial" w:eastAsia="Arial" w:hAnsi="Arial" w:cs="Arial"/>
          <w:b/>
          <w:bCs/>
          <w:i/>
          <w:iCs/>
          <w:sz w:val="20"/>
          <w:szCs w:val="20"/>
        </w:rPr>
        <w:t>We may not be able to protect our intellectual property and proprietary rights throughout the world.</w:t>
      </w:r>
    </w:p>
    <w:p w:rsidR="000728AD" w:rsidRDefault="000728AD">
      <w:pPr>
        <w:spacing w:line="216" w:lineRule="exact"/>
        <w:rPr>
          <w:sz w:val="20"/>
          <w:szCs w:val="20"/>
        </w:rPr>
      </w:pPr>
    </w:p>
    <w:p w:rsidR="000728AD" w:rsidRDefault="000561BE">
      <w:pPr>
        <w:spacing w:line="255" w:lineRule="auto"/>
        <w:rPr>
          <w:sz w:val="20"/>
          <w:szCs w:val="20"/>
        </w:rPr>
      </w:pPr>
      <w:r>
        <w:rPr>
          <w:rFonts w:ascii="Arial" w:eastAsia="Arial" w:hAnsi="Arial" w:cs="Arial"/>
          <w:sz w:val="19"/>
          <w:szCs w:val="19"/>
        </w:rPr>
        <w:t>Filing, pro</w:t>
      </w:r>
      <w:r>
        <w:rPr>
          <w:rFonts w:ascii="Arial" w:eastAsia="Arial" w:hAnsi="Arial" w:cs="Arial"/>
          <w:sz w:val="19"/>
          <w:szCs w:val="19"/>
        </w:rPr>
        <w:t>secuting and defending patents on our product candidates, development platform technologies and other technologies in all countries throughout the world would be prohibitively expensive, and the laws of foreign countries may not protect our rights to the s</w:t>
      </w:r>
      <w:r>
        <w:rPr>
          <w:rFonts w:ascii="Arial" w:eastAsia="Arial" w:hAnsi="Arial" w:cs="Arial"/>
          <w:sz w:val="19"/>
          <w:szCs w:val="19"/>
        </w:rPr>
        <w:t>ame extent as the laws of the United States. Consequently, we may not be able to prevent third parties from practicing our inventions in all countries outside the United States, or from selling or importing products made using our inventions in and into th</w:t>
      </w:r>
      <w:r>
        <w:rPr>
          <w:rFonts w:ascii="Arial" w:eastAsia="Arial" w:hAnsi="Arial" w:cs="Arial"/>
          <w:sz w:val="19"/>
          <w:szCs w:val="19"/>
        </w:rPr>
        <w:t>e United States or other jurisdictions. Competitors may use our technologies in jurisdictions where we have not obtained patent protection to develop their own products and may export otherwise infringing products to territories where we have patent protec</w:t>
      </w:r>
      <w:r>
        <w:rPr>
          <w:rFonts w:ascii="Arial" w:eastAsia="Arial" w:hAnsi="Arial" w:cs="Arial"/>
          <w:sz w:val="19"/>
          <w:szCs w:val="19"/>
        </w:rPr>
        <w:t>tion but enforcement is not as strong as that in the United States. These products may compete with our products, and our patents or other intellectual property rights may not be effective or sufficient to prevent them from competing. Furthermore, the amin</w:t>
      </w:r>
      <w:r>
        <w:rPr>
          <w:rFonts w:ascii="Arial" w:eastAsia="Arial" w:hAnsi="Arial" w:cs="Arial"/>
          <w:sz w:val="19"/>
          <w:szCs w:val="19"/>
        </w:rPr>
        <w:t>o acids that we expect to incorporate into our products are available for purchase separately from a variety of retail outlets, and our intellectual property rights will not prevent these sales from continuing in the future.</w:t>
      </w:r>
    </w:p>
    <w:p w:rsidR="000728AD" w:rsidRDefault="000728AD">
      <w:pPr>
        <w:spacing w:line="190" w:lineRule="exact"/>
        <w:rPr>
          <w:sz w:val="20"/>
          <w:szCs w:val="20"/>
        </w:rPr>
      </w:pPr>
    </w:p>
    <w:p w:rsidR="000728AD" w:rsidRDefault="000561BE">
      <w:pPr>
        <w:spacing w:line="282" w:lineRule="auto"/>
        <w:ind w:right="100"/>
        <w:rPr>
          <w:sz w:val="20"/>
          <w:szCs w:val="20"/>
        </w:rPr>
      </w:pPr>
      <w:r>
        <w:rPr>
          <w:rFonts w:ascii="Arial" w:eastAsia="Arial" w:hAnsi="Arial" w:cs="Arial"/>
          <w:sz w:val="18"/>
          <w:szCs w:val="18"/>
        </w:rPr>
        <w:t xml:space="preserve">Many companies have </w:t>
      </w:r>
      <w:r>
        <w:rPr>
          <w:rFonts w:ascii="Arial" w:eastAsia="Arial" w:hAnsi="Arial" w:cs="Arial"/>
          <w:sz w:val="18"/>
          <w:szCs w:val="18"/>
        </w:rPr>
        <w:t>encountered significant problems in protecting and defending intellectual property rights in foreign jurisdictions. The legal systems of certain countries, particularly certain developing countries, do not favor the enforcement of patents, trade secrets an</w:t>
      </w:r>
      <w:r>
        <w:rPr>
          <w:rFonts w:ascii="Arial" w:eastAsia="Arial" w:hAnsi="Arial" w:cs="Arial"/>
          <w:sz w:val="18"/>
          <w:szCs w:val="18"/>
        </w:rPr>
        <w:t>d other intellectual property protection, particularly those relating to biotechnology products, which could make it difficult for us to stop the infringement of our patents or marketing of competing products in violation of our intellectual property and p</w:t>
      </w:r>
      <w:r>
        <w:rPr>
          <w:rFonts w:ascii="Arial" w:eastAsia="Arial" w:hAnsi="Arial" w:cs="Arial"/>
          <w:sz w:val="18"/>
          <w:szCs w:val="18"/>
        </w:rPr>
        <w:t>roprietary rights generally.</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58" w:lineRule="exact"/>
        <w:rPr>
          <w:sz w:val="20"/>
          <w:szCs w:val="20"/>
        </w:rPr>
      </w:pPr>
    </w:p>
    <w:p w:rsidR="000728AD" w:rsidRDefault="000561BE">
      <w:pPr>
        <w:ind w:right="-19"/>
        <w:jc w:val="center"/>
        <w:rPr>
          <w:sz w:val="20"/>
          <w:szCs w:val="20"/>
        </w:rPr>
      </w:pPr>
      <w:r>
        <w:rPr>
          <w:rFonts w:ascii="Arial" w:eastAsia="Arial" w:hAnsi="Arial" w:cs="Arial"/>
          <w:sz w:val="18"/>
          <w:szCs w:val="18"/>
        </w:rPr>
        <w:t>74</w:t>
      </w:r>
    </w:p>
    <w:p w:rsidR="000728AD" w:rsidRDefault="000561BE">
      <w:pPr>
        <w:spacing w:line="20" w:lineRule="exact"/>
        <w:rPr>
          <w:sz w:val="20"/>
          <w:szCs w:val="20"/>
        </w:rPr>
      </w:pPr>
      <w:r>
        <w:rPr>
          <w:noProof/>
          <w:sz w:val="20"/>
          <w:szCs w:val="20"/>
        </w:rPr>
        <w:drawing>
          <wp:anchor distT="0" distB="0" distL="114300" distR="114300" simplePos="0" relativeHeight="251683840"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59" w:bottom="1440" w:left="320" w:header="0" w:footer="0" w:gutter="0"/>
          <w:cols w:space="720" w:equalWidth="0">
            <w:col w:w="11220"/>
          </w:cols>
        </w:sectPr>
      </w:pPr>
    </w:p>
    <w:bookmarkStart w:id="75" w:name="page75"/>
    <w:bookmarkEnd w:id="75"/>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59" w:lineRule="auto"/>
        <w:ind w:right="40"/>
        <w:rPr>
          <w:sz w:val="20"/>
          <w:szCs w:val="20"/>
        </w:rPr>
      </w:pPr>
      <w:r>
        <w:rPr>
          <w:rFonts w:ascii="Arial" w:eastAsia="Arial" w:hAnsi="Arial" w:cs="Arial"/>
          <w:sz w:val="19"/>
          <w:szCs w:val="19"/>
        </w:rPr>
        <w:t xml:space="preserve">Proceedings to enforce our intellectual property and proprietary rights in foreign jurisdictions could result in substantial costs and divert our </w:t>
      </w:r>
      <w:r>
        <w:rPr>
          <w:rFonts w:ascii="Arial" w:eastAsia="Arial" w:hAnsi="Arial" w:cs="Arial"/>
          <w:sz w:val="19"/>
          <w:szCs w:val="19"/>
        </w:rPr>
        <w:t xml:space="preserve">efforts and attention from other aspects of our business, could put our patents at risk of being invalidated or interpreted narrowly, could put our patent applications at risk of not issuing, and could provoke third parties to assert claims against us. We </w:t>
      </w:r>
      <w:r>
        <w:rPr>
          <w:rFonts w:ascii="Arial" w:eastAsia="Arial" w:hAnsi="Arial" w:cs="Arial"/>
          <w:sz w:val="19"/>
          <w:szCs w:val="19"/>
        </w:rPr>
        <w:t>may not prevail in any lawsuits that we initiate, and the damages or other remedies awarded, if any, may not be commercially meaningful. Accordingly, our efforts to enforce our intellectual property and proprietary rights around the world may be inadequate</w:t>
      </w:r>
      <w:r>
        <w:rPr>
          <w:rFonts w:ascii="Arial" w:eastAsia="Arial" w:hAnsi="Arial" w:cs="Arial"/>
          <w:sz w:val="19"/>
          <w:szCs w:val="19"/>
        </w:rPr>
        <w:t xml:space="preserve"> to obtain a significant commercial advantage from the intellectual property that we develop or license.</w:t>
      </w:r>
    </w:p>
    <w:p w:rsidR="000728AD" w:rsidRDefault="000728AD">
      <w:pPr>
        <w:spacing w:line="178" w:lineRule="exact"/>
        <w:rPr>
          <w:sz w:val="20"/>
          <w:szCs w:val="20"/>
        </w:rPr>
      </w:pPr>
    </w:p>
    <w:p w:rsidR="000728AD" w:rsidRDefault="000561BE">
      <w:pPr>
        <w:spacing w:line="244" w:lineRule="auto"/>
        <w:rPr>
          <w:sz w:val="20"/>
          <w:szCs w:val="20"/>
        </w:rPr>
      </w:pPr>
      <w:r>
        <w:rPr>
          <w:rFonts w:ascii="Arial" w:eastAsia="Arial" w:hAnsi="Arial" w:cs="Arial"/>
          <w:sz w:val="20"/>
          <w:szCs w:val="20"/>
        </w:rPr>
        <w:t>Many countries have compulsory licensing laws under which a patent owner may be compelled to grant licenses to third parties. In addition, many countr</w:t>
      </w:r>
      <w:r>
        <w:rPr>
          <w:rFonts w:ascii="Arial" w:eastAsia="Arial" w:hAnsi="Arial" w:cs="Arial"/>
          <w:sz w:val="20"/>
          <w:szCs w:val="20"/>
        </w:rPr>
        <w:t xml:space="preserve">ies limit the enforceability of patents against government agencies or government contractors. In these countries, the patent owner may have limited remedies, which could materially diminish the value of such patent. If we are forced to grant a license to </w:t>
      </w:r>
      <w:r>
        <w:rPr>
          <w:rFonts w:ascii="Arial" w:eastAsia="Arial" w:hAnsi="Arial" w:cs="Arial"/>
          <w:sz w:val="20"/>
          <w:szCs w:val="20"/>
        </w:rPr>
        <w:t>third parties with respect to any patents relevant to our business, our competitive position may be impaired, and our business, financial condition, results of operations and prospects may be adversely affected.</w:t>
      </w:r>
    </w:p>
    <w:p w:rsidR="000728AD" w:rsidRDefault="000728AD">
      <w:pPr>
        <w:spacing w:line="194" w:lineRule="exact"/>
        <w:rPr>
          <w:sz w:val="20"/>
          <w:szCs w:val="20"/>
        </w:rPr>
      </w:pPr>
    </w:p>
    <w:p w:rsidR="000728AD" w:rsidRDefault="000561BE">
      <w:pPr>
        <w:spacing w:line="250" w:lineRule="auto"/>
        <w:ind w:right="20"/>
        <w:rPr>
          <w:sz w:val="20"/>
          <w:szCs w:val="20"/>
        </w:rPr>
      </w:pPr>
      <w:r>
        <w:rPr>
          <w:rFonts w:ascii="Arial" w:eastAsia="Arial" w:hAnsi="Arial" w:cs="Arial"/>
          <w:b/>
          <w:bCs/>
          <w:i/>
          <w:iCs/>
          <w:sz w:val="20"/>
          <w:szCs w:val="20"/>
        </w:rPr>
        <w:t>Obtaining and maintaining our patent protec</w:t>
      </w:r>
      <w:r>
        <w:rPr>
          <w:rFonts w:ascii="Arial" w:eastAsia="Arial" w:hAnsi="Arial" w:cs="Arial"/>
          <w:b/>
          <w:bCs/>
          <w:i/>
          <w:iCs/>
          <w:sz w:val="20"/>
          <w:szCs w:val="20"/>
        </w:rPr>
        <w:t>tion depends on compliance with various procedural requirements, document submission, fee payment and other requirements imposed by government patent agencies and our patent protection could be reduced or eliminated for non-compliance with these requiremen</w:t>
      </w:r>
      <w:r>
        <w:rPr>
          <w:rFonts w:ascii="Arial" w:eastAsia="Arial" w:hAnsi="Arial" w:cs="Arial"/>
          <w:b/>
          <w:bCs/>
          <w:i/>
          <w:iCs/>
          <w:sz w:val="20"/>
          <w:szCs w:val="20"/>
        </w:rPr>
        <w:t>ts.</w:t>
      </w:r>
    </w:p>
    <w:p w:rsidR="000728AD" w:rsidRDefault="000728AD">
      <w:pPr>
        <w:spacing w:line="186" w:lineRule="exact"/>
        <w:rPr>
          <w:sz w:val="20"/>
          <w:szCs w:val="20"/>
        </w:rPr>
      </w:pPr>
    </w:p>
    <w:p w:rsidR="000728AD" w:rsidRDefault="000561BE">
      <w:pPr>
        <w:spacing w:line="273" w:lineRule="auto"/>
        <w:ind w:right="40"/>
        <w:rPr>
          <w:sz w:val="20"/>
          <w:szCs w:val="20"/>
        </w:rPr>
      </w:pPr>
      <w:r>
        <w:rPr>
          <w:rFonts w:ascii="Arial" w:eastAsia="Arial" w:hAnsi="Arial" w:cs="Arial"/>
          <w:sz w:val="18"/>
          <w:szCs w:val="18"/>
        </w:rPr>
        <w:t xml:space="preserve">Periodic maintenance fees, renewal fees, annuity fees and various other government fees on patents and applications will be due to be paid to the USPTO and various government patent agencies outside of the United States over the lifetime of our owned </w:t>
      </w:r>
      <w:r>
        <w:rPr>
          <w:rFonts w:ascii="Arial" w:eastAsia="Arial" w:hAnsi="Arial" w:cs="Arial"/>
          <w:sz w:val="18"/>
          <w:szCs w:val="18"/>
        </w:rPr>
        <w:t xml:space="preserve">patents and applications. The USPTO and various ex-U.S. government agencies require compliance with several procedural, documentary, fee payment and other similar provisions during the patent application process. In some cases, an inadvertent lapse can be </w:t>
      </w:r>
      <w:r>
        <w:rPr>
          <w:rFonts w:ascii="Arial" w:eastAsia="Arial" w:hAnsi="Arial" w:cs="Arial"/>
          <w:sz w:val="18"/>
          <w:szCs w:val="18"/>
        </w:rPr>
        <w:t>cured by payment of a late fee or by other means in accordance with the applicable rules. There are situations, however, in which non-compliance can result in abandonment or lapse of the patent or patent application, resulting in a partial or complete loss</w:t>
      </w:r>
      <w:r>
        <w:rPr>
          <w:rFonts w:ascii="Arial" w:eastAsia="Arial" w:hAnsi="Arial" w:cs="Arial"/>
          <w:sz w:val="18"/>
          <w:szCs w:val="18"/>
        </w:rPr>
        <w:t xml:space="preserve"> of patent rights in the relevant jurisdiction. In such an event, potential competitors might be able to enter the market with similar or identical products or technology, which could have a material adverse effect on our business, financial condition, res</w:t>
      </w:r>
      <w:r>
        <w:rPr>
          <w:rFonts w:ascii="Arial" w:eastAsia="Arial" w:hAnsi="Arial" w:cs="Arial"/>
          <w:sz w:val="18"/>
          <w:szCs w:val="18"/>
        </w:rPr>
        <w:t>ults of operations and prospects.</w:t>
      </w:r>
    </w:p>
    <w:p w:rsidR="000728AD" w:rsidRDefault="000728AD">
      <w:pPr>
        <w:spacing w:line="168" w:lineRule="exact"/>
        <w:rPr>
          <w:sz w:val="20"/>
          <w:szCs w:val="20"/>
        </w:rPr>
      </w:pPr>
    </w:p>
    <w:p w:rsidR="000728AD" w:rsidRDefault="000561BE">
      <w:pPr>
        <w:rPr>
          <w:sz w:val="20"/>
          <w:szCs w:val="20"/>
        </w:rPr>
      </w:pPr>
      <w:r>
        <w:rPr>
          <w:rFonts w:ascii="Arial" w:eastAsia="Arial" w:hAnsi="Arial" w:cs="Arial"/>
          <w:b/>
          <w:bCs/>
          <w:i/>
          <w:iCs/>
          <w:sz w:val="18"/>
          <w:szCs w:val="18"/>
        </w:rPr>
        <w:t>Changes in U.S. patent law could diminish the value of patents in general, thereby impairing our ability to protect our products.</w:t>
      </w:r>
    </w:p>
    <w:p w:rsidR="000728AD" w:rsidRDefault="000728AD">
      <w:pPr>
        <w:spacing w:line="239" w:lineRule="exact"/>
        <w:rPr>
          <w:sz w:val="20"/>
          <w:szCs w:val="20"/>
        </w:rPr>
      </w:pPr>
    </w:p>
    <w:p w:rsidR="000728AD" w:rsidRDefault="000561BE">
      <w:pPr>
        <w:spacing w:line="255" w:lineRule="auto"/>
        <w:ind w:right="20"/>
        <w:rPr>
          <w:sz w:val="20"/>
          <w:szCs w:val="20"/>
        </w:rPr>
      </w:pPr>
      <w:r>
        <w:rPr>
          <w:rFonts w:ascii="Arial" w:eastAsia="Arial" w:hAnsi="Arial" w:cs="Arial"/>
          <w:sz w:val="19"/>
          <w:szCs w:val="19"/>
        </w:rPr>
        <w:t>Changes in either the patent laws or interpretation of the patent laws in the United State</w:t>
      </w:r>
      <w:r>
        <w:rPr>
          <w:rFonts w:ascii="Arial" w:eastAsia="Arial" w:hAnsi="Arial" w:cs="Arial"/>
          <w:sz w:val="19"/>
          <w:szCs w:val="19"/>
        </w:rPr>
        <w:t>s could increase the uncertainties and costs surrounding the prosecution of patent applications and the enforcement or defense of issued patents. Assuming that other requirements for patentability are met, prior to March 2013, in the United States, the fir</w:t>
      </w:r>
      <w:r>
        <w:rPr>
          <w:rFonts w:ascii="Arial" w:eastAsia="Arial" w:hAnsi="Arial" w:cs="Arial"/>
          <w:sz w:val="19"/>
          <w:szCs w:val="19"/>
        </w:rPr>
        <w:t>st to invent the claimed invention was entitled to the patent, while outside the United States, the first to file a patent application was entitled to the patent. After March 2013, under the Leahy-Smith America Invents Act, or the America Invents Act, enac</w:t>
      </w:r>
      <w:r>
        <w:rPr>
          <w:rFonts w:ascii="Arial" w:eastAsia="Arial" w:hAnsi="Arial" w:cs="Arial"/>
          <w:sz w:val="19"/>
          <w:szCs w:val="19"/>
        </w:rPr>
        <w:t>ted in September 2011, the United States transitioned to a first-inventor-to-file system in which, assuming that other requirements for patentability are met, the first inventor to file a patent application will be entitled to the patent on an invention re</w:t>
      </w:r>
      <w:r>
        <w:rPr>
          <w:rFonts w:ascii="Arial" w:eastAsia="Arial" w:hAnsi="Arial" w:cs="Arial"/>
          <w:sz w:val="19"/>
          <w:szCs w:val="19"/>
        </w:rPr>
        <w:t xml:space="preserve">gardless of whether a third party was the first to invent the claimed invention. Thus, a third party that files a patent application before we do in the USPTO after March 2013 could be awarded a patent covering an invention of ours even if we had made the </w:t>
      </w:r>
      <w:r>
        <w:rPr>
          <w:rFonts w:ascii="Arial" w:eastAsia="Arial" w:hAnsi="Arial" w:cs="Arial"/>
          <w:sz w:val="19"/>
          <w:szCs w:val="19"/>
        </w:rPr>
        <w:t xml:space="preserve">invention before it was made by such third party. This will require us to be cognizant going forward of the time from invention to filing of a patent application. Since patent applications in the United States and most other countries are confidential for </w:t>
      </w:r>
      <w:r>
        <w:rPr>
          <w:rFonts w:ascii="Arial" w:eastAsia="Arial" w:hAnsi="Arial" w:cs="Arial"/>
          <w:sz w:val="19"/>
          <w:szCs w:val="19"/>
        </w:rPr>
        <w:t>a period of time after filing or until issuance, we cannot be certain that we were the first to file any patent application related to our product candidates, development platform or other technologies.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1" w:lineRule="exact"/>
        <w:rPr>
          <w:sz w:val="20"/>
          <w:szCs w:val="20"/>
        </w:rPr>
      </w:pPr>
    </w:p>
    <w:p w:rsidR="000728AD" w:rsidRDefault="000561BE">
      <w:pPr>
        <w:jc w:val="center"/>
        <w:rPr>
          <w:sz w:val="20"/>
          <w:szCs w:val="20"/>
        </w:rPr>
      </w:pPr>
      <w:r>
        <w:rPr>
          <w:rFonts w:ascii="Arial" w:eastAsia="Arial" w:hAnsi="Arial" w:cs="Arial"/>
          <w:sz w:val="18"/>
          <w:szCs w:val="18"/>
        </w:rPr>
        <w:t>75</w:t>
      </w:r>
    </w:p>
    <w:p w:rsidR="000728AD" w:rsidRDefault="000561BE">
      <w:pPr>
        <w:spacing w:line="2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76" w:name="page76"/>
    <w:bookmarkEnd w:id="76"/>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57" w:lineRule="auto"/>
        <w:rPr>
          <w:sz w:val="20"/>
          <w:szCs w:val="20"/>
        </w:rPr>
      </w:pPr>
      <w:r>
        <w:rPr>
          <w:rFonts w:ascii="Arial" w:eastAsia="Arial" w:hAnsi="Arial" w:cs="Arial"/>
          <w:sz w:val="19"/>
          <w:szCs w:val="19"/>
        </w:rPr>
        <w:t>The America Invents Act also includes a number of significant changes that affect the way patent applications will be prosecuted and also may affect patent litigation. These include allowing third party submission of prior art to the USPTO during patent pr</w:t>
      </w:r>
      <w:r>
        <w:rPr>
          <w:rFonts w:ascii="Arial" w:eastAsia="Arial" w:hAnsi="Arial" w:cs="Arial"/>
          <w:sz w:val="19"/>
          <w:szCs w:val="19"/>
        </w:rPr>
        <w:t xml:space="preserve">osecution and additional procedures to attack the validity of a patent by USPTO administered post-grant proceedings, including post-grant review, </w:t>
      </w:r>
      <w:r>
        <w:rPr>
          <w:rFonts w:ascii="Arial" w:eastAsia="Arial" w:hAnsi="Arial" w:cs="Arial"/>
          <w:i/>
          <w:iCs/>
          <w:sz w:val="20"/>
          <w:szCs w:val="20"/>
        </w:rPr>
        <w:t>inter partes</w:t>
      </w:r>
      <w:r>
        <w:rPr>
          <w:rFonts w:ascii="Arial" w:eastAsia="Arial" w:hAnsi="Arial" w:cs="Arial"/>
          <w:sz w:val="19"/>
          <w:szCs w:val="19"/>
        </w:rPr>
        <w:t xml:space="preserve"> review and derivation proceedings. Because of a lower evidentiary standard in USPTO proceedings c</w:t>
      </w:r>
      <w:r>
        <w:rPr>
          <w:rFonts w:ascii="Arial" w:eastAsia="Arial" w:hAnsi="Arial" w:cs="Arial"/>
          <w:sz w:val="19"/>
          <w:szCs w:val="19"/>
        </w:rPr>
        <w:t>ompared to the evidentiary standard in United States federal courts necessary to invalidate a patent claim, a third party could potentially provide evidence in a USPTO proceeding sufficient for the USPTO to hold a claim invalid even though the same evidenc</w:t>
      </w:r>
      <w:r>
        <w:rPr>
          <w:rFonts w:ascii="Arial" w:eastAsia="Arial" w:hAnsi="Arial" w:cs="Arial"/>
          <w:sz w:val="19"/>
          <w:szCs w:val="19"/>
        </w:rPr>
        <w:t>e would be insufficient to invalidate the claim if first presented in a district court action. Accordingly, a third party may attempt to use the USPTO procedures to invalidate our patent claims that would not have been invalidated if first challenged by th</w:t>
      </w:r>
      <w:r>
        <w:rPr>
          <w:rFonts w:ascii="Arial" w:eastAsia="Arial" w:hAnsi="Arial" w:cs="Arial"/>
          <w:sz w:val="19"/>
          <w:szCs w:val="19"/>
        </w:rPr>
        <w:t>e third party as a defendant in a district court action. Therefore, the America Invents Act and its implementation could increase the uncertainties and costs surrounding the prosecution of our owned patent applications and the enforcement or defense of our</w:t>
      </w:r>
      <w:r>
        <w:rPr>
          <w:rFonts w:ascii="Arial" w:eastAsia="Arial" w:hAnsi="Arial" w:cs="Arial"/>
          <w:sz w:val="19"/>
          <w:szCs w:val="19"/>
        </w:rPr>
        <w:t xml:space="preserve"> owned issued patents, all of which could have a material adverse effect on our business, financial condition, results of operations and prospects.</w:t>
      </w:r>
    </w:p>
    <w:p w:rsidR="000728AD" w:rsidRDefault="000728AD">
      <w:pPr>
        <w:spacing w:line="182" w:lineRule="exact"/>
        <w:rPr>
          <w:sz w:val="20"/>
          <w:szCs w:val="20"/>
        </w:rPr>
      </w:pPr>
    </w:p>
    <w:p w:rsidR="000728AD" w:rsidRDefault="000561BE">
      <w:pPr>
        <w:spacing w:line="259" w:lineRule="auto"/>
        <w:ind w:right="80"/>
        <w:rPr>
          <w:sz w:val="20"/>
          <w:szCs w:val="20"/>
        </w:rPr>
      </w:pPr>
      <w:r>
        <w:rPr>
          <w:rFonts w:ascii="Arial" w:eastAsia="Arial" w:hAnsi="Arial" w:cs="Arial"/>
          <w:sz w:val="19"/>
          <w:szCs w:val="19"/>
        </w:rPr>
        <w:t>In addition, the patent positions of companies in the development and commercialization of biologics and ph</w:t>
      </w:r>
      <w:r>
        <w:rPr>
          <w:rFonts w:ascii="Arial" w:eastAsia="Arial" w:hAnsi="Arial" w:cs="Arial"/>
          <w:sz w:val="19"/>
          <w:szCs w:val="19"/>
        </w:rPr>
        <w:t>armaceuticals are particularly uncertain. Recent U.S. Supreme Court rulings have narrowed the scope of patent protection available in certain circumstances and weakened the rights of patent owners in certain situations. This combination of events has creat</w:t>
      </w:r>
      <w:r>
        <w:rPr>
          <w:rFonts w:ascii="Arial" w:eastAsia="Arial" w:hAnsi="Arial" w:cs="Arial"/>
          <w:sz w:val="19"/>
          <w:szCs w:val="19"/>
        </w:rPr>
        <w:t>ed uncertainty with respect to the validity and enforceability of patents, once obtained. Depending on future actions by the U.S. Congress, the federal courts and the USPTO, the laws and regulations governing patents could change in unpredictable ways that</w:t>
      </w:r>
      <w:r>
        <w:rPr>
          <w:rFonts w:ascii="Arial" w:eastAsia="Arial" w:hAnsi="Arial" w:cs="Arial"/>
          <w:sz w:val="19"/>
          <w:szCs w:val="19"/>
        </w:rPr>
        <w:t xml:space="preserve"> could have a material adverse effect on our existing patent portfolio and our ability to protect and enforce our intellectual property in the future.</w:t>
      </w:r>
    </w:p>
    <w:p w:rsidR="000728AD" w:rsidRDefault="000728AD">
      <w:pPr>
        <w:spacing w:line="178" w:lineRule="exact"/>
        <w:rPr>
          <w:sz w:val="20"/>
          <w:szCs w:val="20"/>
        </w:rPr>
      </w:pPr>
    </w:p>
    <w:p w:rsidR="000728AD" w:rsidRDefault="000561BE">
      <w:pPr>
        <w:spacing w:line="270" w:lineRule="auto"/>
        <w:rPr>
          <w:sz w:val="20"/>
          <w:szCs w:val="20"/>
        </w:rPr>
      </w:pPr>
      <w:r>
        <w:rPr>
          <w:rFonts w:ascii="Arial" w:eastAsia="Arial" w:hAnsi="Arial" w:cs="Arial"/>
          <w:sz w:val="18"/>
          <w:szCs w:val="18"/>
        </w:rPr>
        <w:t>From time-to-time the U.S. Supreme Court, other federal courts, the U.S. Congress or the USPTO, may chan</w:t>
      </w:r>
      <w:r>
        <w:rPr>
          <w:rFonts w:ascii="Arial" w:eastAsia="Arial" w:hAnsi="Arial" w:cs="Arial"/>
          <w:sz w:val="18"/>
          <w:szCs w:val="18"/>
        </w:rPr>
        <w:t xml:space="preserve">ge the standards of patentability and any such changes could have a negative impact on our business. For instance, on June 13, 2013, in </w:t>
      </w:r>
      <w:r>
        <w:rPr>
          <w:rFonts w:ascii="Arial" w:eastAsia="Arial" w:hAnsi="Arial" w:cs="Arial"/>
          <w:i/>
          <w:iCs/>
          <w:sz w:val="18"/>
          <w:szCs w:val="18"/>
        </w:rPr>
        <w:t>Association for Molecular Pathology</w:t>
      </w:r>
      <w:r>
        <w:rPr>
          <w:rFonts w:ascii="Arial" w:eastAsia="Arial" w:hAnsi="Arial" w:cs="Arial"/>
          <w:sz w:val="18"/>
          <w:szCs w:val="18"/>
        </w:rPr>
        <w:t xml:space="preserve"> </w:t>
      </w:r>
      <w:r>
        <w:rPr>
          <w:rFonts w:ascii="Arial" w:eastAsia="Arial" w:hAnsi="Arial" w:cs="Arial"/>
          <w:i/>
          <w:iCs/>
          <w:sz w:val="18"/>
          <w:szCs w:val="18"/>
        </w:rPr>
        <w:t>v. Myriad Genetics</w:t>
      </w:r>
      <w:r>
        <w:rPr>
          <w:rFonts w:ascii="Arial" w:eastAsia="Arial" w:hAnsi="Arial" w:cs="Arial"/>
          <w:sz w:val="18"/>
          <w:szCs w:val="18"/>
        </w:rPr>
        <w:t>, the Supreme Court held that a naturally occurring DNA segment is</w:t>
      </w:r>
      <w:r>
        <w:rPr>
          <w:rFonts w:ascii="Arial" w:eastAsia="Arial" w:hAnsi="Arial" w:cs="Arial"/>
          <w:sz w:val="18"/>
          <w:szCs w:val="18"/>
        </w:rPr>
        <w:t xml:space="preserve"> a product of nature and not patent eligible merely</w:t>
      </w:r>
      <w:r>
        <w:rPr>
          <w:rFonts w:ascii="Arial" w:eastAsia="Arial" w:hAnsi="Arial" w:cs="Arial"/>
          <w:i/>
          <w:iCs/>
          <w:sz w:val="18"/>
          <w:szCs w:val="18"/>
        </w:rPr>
        <w:t xml:space="preserve"> </w:t>
      </w:r>
      <w:r>
        <w:rPr>
          <w:rFonts w:ascii="Arial" w:eastAsia="Arial" w:hAnsi="Arial" w:cs="Arial"/>
          <w:sz w:val="18"/>
          <w:szCs w:val="18"/>
        </w:rPr>
        <w:t>because it has been isolated. The Supreme Court did not address the patentability of any innovative method claims involving the manipulation of isolated genes. On January 7, 2019, the USPTO released guida</w:t>
      </w:r>
      <w:r>
        <w:rPr>
          <w:rFonts w:ascii="Arial" w:eastAsia="Arial" w:hAnsi="Arial" w:cs="Arial"/>
          <w:sz w:val="18"/>
          <w:szCs w:val="18"/>
        </w:rPr>
        <w:t xml:space="preserve">nce entitled "2019 Revised Subject Matter Eligibility Guidance." This memorandum provides guidelines for the USPTO's new examination procedure for subject matter eligibility under 35 U.S.C. §101 for claims embracing natural products or natural principles. </w:t>
      </w:r>
      <w:r>
        <w:rPr>
          <w:rFonts w:ascii="Arial" w:eastAsia="Arial" w:hAnsi="Arial" w:cs="Arial"/>
          <w:sz w:val="18"/>
          <w:szCs w:val="18"/>
        </w:rPr>
        <w:t xml:space="preserve">Although the guidelines do not have the force of law, patent examiners have been instructed to follow them. Some aspects of our technology involve processes or molecules that may be subject to this evolving standard and we cannot guarantee that any of our </w:t>
      </w:r>
      <w:r>
        <w:rPr>
          <w:rFonts w:ascii="Arial" w:eastAsia="Arial" w:hAnsi="Arial" w:cs="Arial"/>
          <w:sz w:val="18"/>
          <w:szCs w:val="18"/>
        </w:rPr>
        <w:t>pending process claims will be patent eligible, or issued claims will remain patent eligible, as a result of such evolving standards. Changes in either the patent laws or in interpretations of patent laws in the United States or other countries could weake</w:t>
      </w:r>
      <w:r>
        <w:rPr>
          <w:rFonts w:ascii="Arial" w:eastAsia="Arial" w:hAnsi="Arial" w:cs="Arial"/>
          <w:sz w:val="18"/>
          <w:szCs w:val="18"/>
        </w:rPr>
        <w:t>n our ability to obtain new patents or to enforce our existing patents and patents that we might obtain in the future. We cannot predict the breadth of claims that may be allowed or enforced in our patents or in third-party patents. We may not develop addi</w:t>
      </w:r>
      <w:r>
        <w:rPr>
          <w:rFonts w:ascii="Arial" w:eastAsia="Arial" w:hAnsi="Arial" w:cs="Arial"/>
          <w:sz w:val="18"/>
          <w:szCs w:val="18"/>
        </w:rPr>
        <w:t>tional proprietary products, methods and technologies that are patentable.</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69" w:lineRule="exact"/>
        <w:rPr>
          <w:sz w:val="20"/>
          <w:szCs w:val="20"/>
        </w:rPr>
      </w:pPr>
    </w:p>
    <w:p w:rsidR="000728AD" w:rsidRDefault="000561BE">
      <w:pPr>
        <w:jc w:val="center"/>
        <w:rPr>
          <w:sz w:val="20"/>
          <w:szCs w:val="20"/>
        </w:rPr>
      </w:pPr>
      <w:r>
        <w:rPr>
          <w:rFonts w:ascii="Arial" w:eastAsia="Arial" w:hAnsi="Arial" w:cs="Arial"/>
          <w:sz w:val="18"/>
          <w:szCs w:val="18"/>
        </w:rPr>
        <w:t>76</w:t>
      </w:r>
    </w:p>
    <w:p w:rsidR="000728AD" w:rsidRDefault="000561BE">
      <w:pPr>
        <w:spacing w:line="20" w:lineRule="exact"/>
        <w:rPr>
          <w:sz w:val="20"/>
          <w:szCs w:val="20"/>
        </w:rPr>
      </w:pPr>
      <w:r>
        <w:rPr>
          <w:noProof/>
          <w:sz w:val="20"/>
          <w:szCs w:val="20"/>
        </w:rPr>
        <w:drawing>
          <wp:anchor distT="0" distB="0" distL="114300" distR="114300" simplePos="0" relativeHeight="251685888"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77" w:name="page77"/>
    <w:bookmarkEnd w:id="77"/>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50" w:lineRule="auto"/>
        <w:ind w:right="580"/>
        <w:rPr>
          <w:sz w:val="20"/>
          <w:szCs w:val="20"/>
        </w:rPr>
      </w:pPr>
      <w:r>
        <w:rPr>
          <w:rFonts w:ascii="Arial" w:eastAsia="Arial" w:hAnsi="Arial" w:cs="Arial"/>
          <w:b/>
          <w:bCs/>
          <w:i/>
          <w:iCs/>
          <w:sz w:val="20"/>
          <w:szCs w:val="20"/>
        </w:rPr>
        <w:t xml:space="preserve">Issued patents covering our product candidates and any patents that may issue covering our </w:t>
      </w:r>
      <w:r>
        <w:rPr>
          <w:rFonts w:ascii="Arial" w:eastAsia="Arial" w:hAnsi="Arial" w:cs="Arial"/>
          <w:b/>
          <w:bCs/>
          <w:i/>
          <w:iCs/>
          <w:sz w:val="20"/>
          <w:szCs w:val="20"/>
        </w:rPr>
        <w:t>development platform and other technologies, could be found invalid or unenforceable if challenged in court or before administrative bodies in the United States or abroad.</w:t>
      </w:r>
    </w:p>
    <w:p w:rsidR="000728AD" w:rsidRDefault="000728AD">
      <w:pPr>
        <w:spacing w:line="186" w:lineRule="exact"/>
        <w:rPr>
          <w:sz w:val="20"/>
          <w:szCs w:val="20"/>
        </w:rPr>
      </w:pPr>
    </w:p>
    <w:p w:rsidR="000728AD" w:rsidRDefault="000561BE">
      <w:pPr>
        <w:spacing w:line="269" w:lineRule="auto"/>
        <w:ind w:right="40"/>
        <w:rPr>
          <w:sz w:val="20"/>
          <w:szCs w:val="20"/>
        </w:rPr>
      </w:pPr>
      <w:r>
        <w:rPr>
          <w:rFonts w:ascii="Arial" w:eastAsia="Arial" w:hAnsi="Arial" w:cs="Arial"/>
          <w:sz w:val="18"/>
          <w:szCs w:val="18"/>
        </w:rPr>
        <w:t>If we initiated legal proceedings against a third party to enforce a patent coverin</w:t>
      </w:r>
      <w:r>
        <w:rPr>
          <w:rFonts w:ascii="Arial" w:eastAsia="Arial" w:hAnsi="Arial" w:cs="Arial"/>
          <w:sz w:val="18"/>
          <w:szCs w:val="18"/>
        </w:rPr>
        <w:t xml:space="preserve">g our product candidates, development platform or other technologies, the defendant could counterclaim that such patent is invalid or unenforceable. In patent litigation in the United States, defendant counterclaims alleging invalidity or unenforceability </w:t>
      </w:r>
      <w:r>
        <w:rPr>
          <w:rFonts w:ascii="Arial" w:eastAsia="Arial" w:hAnsi="Arial" w:cs="Arial"/>
          <w:sz w:val="18"/>
          <w:szCs w:val="18"/>
        </w:rPr>
        <w:t>are commonplace. Grounds for a validity challenge could be an alleged failure to meet any of several statutory requirements, including lack of novelty, obviousness or non-enablement. Grounds for an unenforceability assertion could be an allegation that som</w:t>
      </w:r>
      <w:r>
        <w:rPr>
          <w:rFonts w:ascii="Arial" w:eastAsia="Arial" w:hAnsi="Arial" w:cs="Arial"/>
          <w:sz w:val="18"/>
          <w:szCs w:val="18"/>
        </w:rPr>
        <w:t>eone connected with prosecution of the patent withheld relevant information from the USPTO, or made a misleading statement, during prosecution. Third parties may raise claims challenging the validity or enforceability of our owned patents before administra</w:t>
      </w:r>
      <w:r>
        <w:rPr>
          <w:rFonts w:ascii="Arial" w:eastAsia="Arial" w:hAnsi="Arial" w:cs="Arial"/>
          <w:sz w:val="18"/>
          <w:szCs w:val="18"/>
        </w:rPr>
        <w:t xml:space="preserve">tive bodies in the United States or abroad, even outside the context of litigation. Such mechanisms include re-examination, post-grant review, </w:t>
      </w:r>
      <w:r>
        <w:rPr>
          <w:rFonts w:ascii="Arial" w:eastAsia="Arial" w:hAnsi="Arial" w:cs="Arial"/>
          <w:i/>
          <w:iCs/>
          <w:sz w:val="18"/>
          <w:szCs w:val="18"/>
        </w:rPr>
        <w:t>inter partes</w:t>
      </w:r>
      <w:r>
        <w:rPr>
          <w:rFonts w:ascii="Arial" w:eastAsia="Arial" w:hAnsi="Arial" w:cs="Arial"/>
          <w:sz w:val="18"/>
          <w:szCs w:val="18"/>
        </w:rPr>
        <w:t xml:space="preserve"> review, interference proceedings, derivation proceedings and equivalent proceedings in foreign juris</w:t>
      </w:r>
      <w:r>
        <w:rPr>
          <w:rFonts w:ascii="Arial" w:eastAsia="Arial" w:hAnsi="Arial" w:cs="Arial"/>
          <w:sz w:val="18"/>
          <w:szCs w:val="18"/>
        </w:rPr>
        <w:t>dictions (e.g., opposition proceedings). Such proceedings could result in the revocation of, cancellation of, or amendment to our patents in such a way that they no longer cover our product candidates, development platform or other technologies. The outcom</w:t>
      </w:r>
      <w:r>
        <w:rPr>
          <w:rFonts w:ascii="Arial" w:eastAsia="Arial" w:hAnsi="Arial" w:cs="Arial"/>
          <w:sz w:val="18"/>
          <w:szCs w:val="18"/>
        </w:rPr>
        <w:t>e following legal assertions of invalidity and unenforceability is unpredictable. With respect to the validity question, for example, we cannot be certain that there is no invalidating prior art, of which we and the patent examiner were unaware during pros</w:t>
      </w:r>
      <w:r>
        <w:rPr>
          <w:rFonts w:ascii="Arial" w:eastAsia="Arial" w:hAnsi="Arial" w:cs="Arial"/>
          <w:sz w:val="18"/>
          <w:szCs w:val="18"/>
        </w:rPr>
        <w:t>ecution. If a third party were to prevail on a legal assertion of invalidity or unenforceability, we would lose at least part, and perhaps all, of the patent protection on our product candidates, development platform or other technologies. Such a loss of p</w:t>
      </w:r>
      <w:r>
        <w:rPr>
          <w:rFonts w:ascii="Arial" w:eastAsia="Arial" w:hAnsi="Arial" w:cs="Arial"/>
          <w:sz w:val="18"/>
          <w:szCs w:val="18"/>
        </w:rPr>
        <w:t>atent protection would have a material adverse impact on our business, financial condition, results of operations and prospects.</w:t>
      </w:r>
    </w:p>
    <w:p w:rsidR="000728AD" w:rsidRDefault="000728AD">
      <w:pPr>
        <w:spacing w:line="179" w:lineRule="exact"/>
        <w:rPr>
          <w:sz w:val="20"/>
          <w:szCs w:val="20"/>
        </w:rPr>
      </w:pPr>
    </w:p>
    <w:p w:rsidR="000728AD" w:rsidRDefault="000561BE">
      <w:pPr>
        <w:spacing w:line="260" w:lineRule="auto"/>
        <w:ind w:right="720"/>
        <w:rPr>
          <w:sz w:val="20"/>
          <w:szCs w:val="20"/>
        </w:rPr>
      </w:pPr>
      <w:r>
        <w:rPr>
          <w:rFonts w:ascii="Arial" w:eastAsia="Arial" w:hAnsi="Arial" w:cs="Arial"/>
          <w:b/>
          <w:bCs/>
          <w:i/>
          <w:iCs/>
          <w:sz w:val="20"/>
          <w:szCs w:val="20"/>
        </w:rPr>
        <w:t xml:space="preserve">If we do not obtain patent term extension and/or data exclusivity for any product candidates we decide to develop as drug </w:t>
      </w:r>
      <w:r>
        <w:rPr>
          <w:rFonts w:ascii="Arial" w:eastAsia="Arial" w:hAnsi="Arial" w:cs="Arial"/>
          <w:b/>
          <w:bCs/>
          <w:i/>
          <w:iCs/>
          <w:sz w:val="20"/>
          <w:szCs w:val="20"/>
        </w:rPr>
        <w:t>product candidates, our business may be materially harmed.</w:t>
      </w:r>
    </w:p>
    <w:p w:rsidR="000728AD" w:rsidRDefault="000728AD">
      <w:pPr>
        <w:spacing w:line="177" w:lineRule="exact"/>
        <w:rPr>
          <w:sz w:val="20"/>
          <w:szCs w:val="20"/>
        </w:rPr>
      </w:pPr>
    </w:p>
    <w:p w:rsidR="000728AD" w:rsidRDefault="000561BE">
      <w:pPr>
        <w:spacing w:line="269" w:lineRule="auto"/>
        <w:rPr>
          <w:sz w:val="20"/>
          <w:szCs w:val="20"/>
        </w:rPr>
      </w:pPr>
      <w:r>
        <w:rPr>
          <w:rFonts w:ascii="Arial" w:eastAsia="Arial" w:hAnsi="Arial" w:cs="Arial"/>
          <w:sz w:val="18"/>
          <w:szCs w:val="18"/>
        </w:rPr>
        <w:t>Depending upon the timing, duration and specifics of any FDA marketing approval of any product candidates we decide to develop as drug product candidates, one or more of our owned U.S. patents may</w:t>
      </w:r>
      <w:r>
        <w:rPr>
          <w:rFonts w:ascii="Arial" w:eastAsia="Arial" w:hAnsi="Arial" w:cs="Arial"/>
          <w:sz w:val="18"/>
          <w:szCs w:val="18"/>
        </w:rPr>
        <w:t xml:space="preserve"> be eligible for limited patent term extension under the Drug Price Competition and Patent Term Restoration Act, also known as the Hatch-Waxman Act. The Hatch-Waxman Act permits a patent term extension of up to five years as compensation for patent term lo</w:t>
      </w:r>
      <w:r>
        <w:rPr>
          <w:rFonts w:ascii="Arial" w:eastAsia="Arial" w:hAnsi="Arial" w:cs="Arial"/>
          <w:sz w:val="18"/>
          <w:szCs w:val="18"/>
        </w:rPr>
        <w:t>st during the FDA regulatory review process. A patent term extension cannot extend the remaining term of a patent beyond a total of 14 years from the date of product approval, only one patent may be extended and only those claims covering the approved drug</w:t>
      </w:r>
      <w:r>
        <w:rPr>
          <w:rFonts w:ascii="Arial" w:eastAsia="Arial" w:hAnsi="Arial" w:cs="Arial"/>
          <w:sz w:val="18"/>
          <w:szCs w:val="18"/>
        </w:rPr>
        <w:t>, a method for using it, or a method for manufacturing it may be extended. Similar extensions as compensation for patent term lost during regulatory review processes are also available in certain foreign countries and territories, such as in Europe under a</w:t>
      </w:r>
      <w:r>
        <w:rPr>
          <w:rFonts w:ascii="Arial" w:eastAsia="Arial" w:hAnsi="Arial" w:cs="Arial"/>
          <w:sz w:val="18"/>
          <w:szCs w:val="18"/>
        </w:rPr>
        <w:t xml:space="preserve"> Supplementary Protection Certificate. However, we may not be granted an extension in the United States and/or foreign countries and territories because of, for example, failing to exercise due diligence during the testing phase or regulatory review proces</w:t>
      </w:r>
      <w:r>
        <w:rPr>
          <w:rFonts w:ascii="Arial" w:eastAsia="Arial" w:hAnsi="Arial" w:cs="Arial"/>
          <w:sz w:val="18"/>
          <w:szCs w:val="18"/>
        </w:rPr>
        <w:t>s, failing to apply within applicable deadlines, failing to apply prior to expiration of relevant patents or otherwise failing to satisfy applicable requirements. Moreover, the applicable time period or the scope of patent protection afforded could be less</w:t>
      </w:r>
      <w:r>
        <w:rPr>
          <w:rFonts w:ascii="Arial" w:eastAsia="Arial" w:hAnsi="Arial" w:cs="Arial"/>
          <w:sz w:val="18"/>
          <w:szCs w:val="18"/>
        </w:rPr>
        <w:t xml:space="preserve"> than we request. We may not be eligible for patent term extension, or PTE, as it is only available in the US if any component of a product candidate has never been approved as a drug substance. If we are unable to obtain patent term extension or the term </w:t>
      </w:r>
      <w:r>
        <w:rPr>
          <w:rFonts w:ascii="Arial" w:eastAsia="Arial" w:hAnsi="Arial" w:cs="Arial"/>
          <w:sz w:val="18"/>
          <w:szCs w:val="18"/>
        </w:rPr>
        <w:t>of any such extension is shorter than what we request, our competitors may obtain approval of competing products following our patent expiration, and our business, financial condition, results of operations and prospects could be materially harmed.</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75" w:lineRule="exact"/>
        <w:rPr>
          <w:sz w:val="20"/>
          <w:szCs w:val="20"/>
        </w:rPr>
      </w:pPr>
    </w:p>
    <w:p w:rsidR="000728AD" w:rsidRDefault="000561BE">
      <w:pPr>
        <w:ind w:right="-19"/>
        <w:jc w:val="center"/>
        <w:rPr>
          <w:sz w:val="20"/>
          <w:szCs w:val="20"/>
        </w:rPr>
      </w:pPr>
      <w:r>
        <w:rPr>
          <w:rFonts w:ascii="Arial" w:eastAsia="Arial" w:hAnsi="Arial" w:cs="Arial"/>
          <w:sz w:val="18"/>
          <w:szCs w:val="18"/>
        </w:rPr>
        <w:t>77</w:t>
      </w:r>
    </w:p>
    <w:p w:rsidR="000728AD" w:rsidRDefault="000561BE">
      <w:pPr>
        <w:spacing w:line="20" w:lineRule="exact"/>
        <w:rPr>
          <w:sz w:val="20"/>
          <w:szCs w:val="20"/>
        </w:rPr>
      </w:pPr>
      <w:r>
        <w:rPr>
          <w:noProof/>
          <w:sz w:val="20"/>
          <w:szCs w:val="20"/>
        </w:rPr>
        <w:drawing>
          <wp:anchor distT="0" distB="0" distL="114300" distR="114300" simplePos="0" relativeHeight="251686912"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78" w:name="page78"/>
    <w:bookmarkEnd w:id="78"/>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rPr>
          <w:sz w:val="20"/>
          <w:szCs w:val="20"/>
        </w:rPr>
      </w:pPr>
      <w:r>
        <w:rPr>
          <w:rFonts w:ascii="Arial" w:eastAsia="Arial" w:hAnsi="Arial" w:cs="Arial"/>
          <w:b/>
          <w:bCs/>
          <w:i/>
          <w:iCs/>
          <w:sz w:val="19"/>
          <w:szCs w:val="19"/>
        </w:rPr>
        <w:t>We may be subject to claims challenging the inventorship or ownership of our patents and other intellectual property.</w:t>
      </w:r>
    </w:p>
    <w:p w:rsidR="000728AD" w:rsidRDefault="000728AD">
      <w:pPr>
        <w:spacing w:line="227" w:lineRule="exact"/>
        <w:rPr>
          <w:sz w:val="20"/>
          <w:szCs w:val="20"/>
        </w:rPr>
      </w:pPr>
    </w:p>
    <w:p w:rsidR="000728AD" w:rsidRDefault="000561BE">
      <w:pPr>
        <w:spacing w:line="256" w:lineRule="auto"/>
        <w:ind w:right="100"/>
        <w:rPr>
          <w:sz w:val="20"/>
          <w:szCs w:val="20"/>
        </w:rPr>
      </w:pPr>
      <w:r>
        <w:rPr>
          <w:rFonts w:ascii="Arial" w:eastAsia="Arial" w:hAnsi="Arial" w:cs="Arial"/>
          <w:sz w:val="19"/>
          <w:szCs w:val="19"/>
        </w:rPr>
        <w:t xml:space="preserve">We may be subject to claims that former employees, </w:t>
      </w:r>
      <w:r>
        <w:rPr>
          <w:rFonts w:ascii="Arial" w:eastAsia="Arial" w:hAnsi="Arial" w:cs="Arial"/>
          <w:sz w:val="19"/>
          <w:szCs w:val="19"/>
        </w:rPr>
        <w:t xml:space="preserve">collaborators or other third parties have an interest in our owned patent rights, trade secrets or other intellectual property as an inventor or co-inventor. For example, we may have disputes arise from conflicting obligations of employees, consultants or </w:t>
      </w:r>
      <w:r>
        <w:rPr>
          <w:rFonts w:ascii="Arial" w:eastAsia="Arial" w:hAnsi="Arial" w:cs="Arial"/>
          <w:sz w:val="19"/>
          <w:szCs w:val="19"/>
        </w:rPr>
        <w:t>others who are involved in developing our product candidates, development platform or other technologies. Litigation may be necessary to defend against these and other claims challenging inventorship or our ownership of our owned patent rights, trade secre</w:t>
      </w:r>
      <w:r>
        <w:rPr>
          <w:rFonts w:ascii="Arial" w:eastAsia="Arial" w:hAnsi="Arial" w:cs="Arial"/>
          <w:sz w:val="19"/>
          <w:szCs w:val="19"/>
        </w:rPr>
        <w:t xml:space="preserve">ts or other intellectual property. If we fail in defending any such claims, in addition to paying monetary damages, we may lose valuable intellectual property rights, such as exclusive ownership of, or right to use, intellectual property that is important </w:t>
      </w:r>
      <w:r>
        <w:rPr>
          <w:rFonts w:ascii="Arial" w:eastAsia="Arial" w:hAnsi="Arial" w:cs="Arial"/>
          <w:sz w:val="19"/>
          <w:szCs w:val="19"/>
        </w:rPr>
        <w:t>to our product candidates, development platform and other technologies. Even if we are successful in defending against such claims, litigation could result in substantial costs and be a distraction to management and other employees. Any of the foregoing co</w:t>
      </w:r>
      <w:r>
        <w:rPr>
          <w:rFonts w:ascii="Arial" w:eastAsia="Arial" w:hAnsi="Arial" w:cs="Arial"/>
          <w:sz w:val="19"/>
          <w:szCs w:val="19"/>
        </w:rPr>
        <w:t>uld have a material adverse effect on our business, financial condition, results of operations and prospects.</w:t>
      </w:r>
    </w:p>
    <w:p w:rsidR="000728AD" w:rsidRDefault="000728AD">
      <w:pPr>
        <w:spacing w:line="184" w:lineRule="exact"/>
        <w:rPr>
          <w:sz w:val="20"/>
          <w:szCs w:val="20"/>
        </w:rPr>
      </w:pPr>
    </w:p>
    <w:p w:rsidR="000728AD" w:rsidRDefault="000561BE">
      <w:pPr>
        <w:rPr>
          <w:sz w:val="20"/>
          <w:szCs w:val="20"/>
        </w:rPr>
      </w:pPr>
      <w:r>
        <w:rPr>
          <w:rFonts w:ascii="Arial" w:eastAsia="Arial" w:hAnsi="Arial" w:cs="Arial"/>
          <w:b/>
          <w:bCs/>
          <w:i/>
          <w:iCs/>
          <w:sz w:val="19"/>
          <w:szCs w:val="19"/>
        </w:rPr>
        <w:t>If we are unable to protect the confidentiality of our trade secrets, our business and competitive position would be harmed.</w:t>
      </w:r>
    </w:p>
    <w:p w:rsidR="000728AD" w:rsidRDefault="000728AD">
      <w:pPr>
        <w:spacing w:line="227" w:lineRule="exact"/>
        <w:rPr>
          <w:sz w:val="20"/>
          <w:szCs w:val="20"/>
        </w:rPr>
      </w:pPr>
    </w:p>
    <w:p w:rsidR="000728AD" w:rsidRDefault="000561BE">
      <w:pPr>
        <w:spacing w:line="260" w:lineRule="auto"/>
        <w:ind w:right="220"/>
        <w:rPr>
          <w:sz w:val="20"/>
          <w:szCs w:val="20"/>
        </w:rPr>
      </w:pPr>
      <w:r>
        <w:rPr>
          <w:rFonts w:ascii="Arial" w:eastAsia="Arial" w:hAnsi="Arial" w:cs="Arial"/>
          <w:sz w:val="19"/>
          <w:szCs w:val="19"/>
        </w:rPr>
        <w:t>In addition to seek</w:t>
      </w:r>
      <w:r>
        <w:rPr>
          <w:rFonts w:ascii="Arial" w:eastAsia="Arial" w:hAnsi="Arial" w:cs="Arial"/>
          <w:sz w:val="19"/>
          <w:szCs w:val="19"/>
        </w:rPr>
        <w:t>ing patents for our product candidates, development platform and other technologies, we also rely on trade secrets and confidentiality agreements to protect our unpatented know-how, technology and other proprietary information and to maintain our competiti</w:t>
      </w:r>
      <w:r>
        <w:rPr>
          <w:rFonts w:ascii="Arial" w:eastAsia="Arial" w:hAnsi="Arial" w:cs="Arial"/>
          <w:sz w:val="19"/>
          <w:szCs w:val="19"/>
        </w:rPr>
        <w:t>ve position. Trade secrets and know-how can be difficult to protect. We expect our trade secrets and know-how to over time be disseminated within the industry through independent development, the publication of journal articles describing the methodology a</w:t>
      </w:r>
      <w:r>
        <w:rPr>
          <w:rFonts w:ascii="Arial" w:eastAsia="Arial" w:hAnsi="Arial" w:cs="Arial"/>
          <w:sz w:val="19"/>
          <w:szCs w:val="19"/>
        </w:rPr>
        <w:t>nd the movement of personnel from academic to industry scientific positions.</w:t>
      </w:r>
    </w:p>
    <w:p w:rsidR="000728AD" w:rsidRDefault="000728AD">
      <w:pPr>
        <w:spacing w:line="180" w:lineRule="exact"/>
        <w:rPr>
          <w:sz w:val="20"/>
          <w:szCs w:val="20"/>
        </w:rPr>
      </w:pPr>
    </w:p>
    <w:p w:rsidR="000728AD" w:rsidRDefault="000561BE">
      <w:pPr>
        <w:spacing w:line="270" w:lineRule="auto"/>
        <w:rPr>
          <w:sz w:val="20"/>
          <w:szCs w:val="20"/>
        </w:rPr>
      </w:pPr>
      <w:r>
        <w:rPr>
          <w:rFonts w:ascii="Arial" w:eastAsia="Arial" w:hAnsi="Arial" w:cs="Arial"/>
          <w:sz w:val="18"/>
          <w:szCs w:val="18"/>
        </w:rPr>
        <w:t xml:space="preserve">We currently, and may in the future continue to, rely on third parties to assist us in developing and manufacturing our product candidates. Accordingly, we must, at times, share </w:t>
      </w:r>
      <w:r>
        <w:rPr>
          <w:rFonts w:ascii="Arial" w:eastAsia="Arial" w:hAnsi="Arial" w:cs="Arial"/>
          <w:sz w:val="18"/>
          <w:szCs w:val="18"/>
        </w:rPr>
        <w:t>know-how and trade secrets, including those related to our development platform, with them. We may in the future also enter into research and development collaborations with third parties that may require us to share know-how and trade secrets under the te</w:t>
      </w:r>
      <w:r>
        <w:rPr>
          <w:rFonts w:ascii="Arial" w:eastAsia="Arial" w:hAnsi="Arial" w:cs="Arial"/>
          <w:sz w:val="18"/>
          <w:szCs w:val="18"/>
        </w:rPr>
        <w:t>rms of our research and development partnerships or similar agreements. We seek to protect our know-how, trade secrets and other proprietary technology, in part, by entering into non-disclosure and confidentiality agreements, and including in our vendor an</w:t>
      </w:r>
      <w:r>
        <w:rPr>
          <w:rFonts w:ascii="Arial" w:eastAsia="Arial" w:hAnsi="Arial" w:cs="Arial"/>
          <w:sz w:val="18"/>
          <w:szCs w:val="18"/>
        </w:rPr>
        <w:t>d service agreements terms protecting our confidential information, know-how and trade secrets, with parties who have access to such information, such as our employees, scientific collaborators, CROs, contract manufacturers, consultants, advisors and other</w:t>
      </w:r>
      <w:r>
        <w:rPr>
          <w:rFonts w:ascii="Arial" w:eastAsia="Arial" w:hAnsi="Arial" w:cs="Arial"/>
          <w:sz w:val="18"/>
          <w:szCs w:val="18"/>
        </w:rPr>
        <w:t xml:space="preserve"> third parties. We also enter into confidentiality and invention or patent assignment agreements with our employees and consultants as well as train our employees not to bring or use proprietary information or technology from former employers to us or in t</w:t>
      </w:r>
      <w:r>
        <w:rPr>
          <w:rFonts w:ascii="Arial" w:eastAsia="Arial" w:hAnsi="Arial" w:cs="Arial"/>
          <w:sz w:val="18"/>
          <w:szCs w:val="18"/>
        </w:rPr>
        <w:t>heir work, and we remind former employees when they leave their employment of their confidentiality obligations. However, we cannot guarantee that we have entered into such agreements with each party that may have or have had access to our trade secrets or</w:t>
      </w:r>
      <w:r>
        <w:rPr>
          <w:rFonts w:ascii="Arial" w:eastAsia="Arial" w:hAnsi="Arial" w:cs="Arial"/>
          <w:sz w:val="18"/>
          <w:szCs w:val="18"/>
        </w:rPr>
        <w:t xml:space="preserve"> proprietary technology and processes. We also seek to preserve the integrity and confidentiality of our data and other confidential information by maintaining physical security of our premises and physical and electronic security of our information techno</w:t>
      </w:r>
      <w:r>
        <w:rPr>
          <w:rFonts w:ascii="Arial" w:eastAsia="Arial" w:hAnsi="Arial" w:cs="Arial"/>
          <w:sz w:val="18"/>
          <w:szCs w:val="18"/>
        </w:rPr>
        <w:t>logy systems.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69" w:lineRule="exact"/>
        <w:rPr>
          <w:sz w:val="20"/>
          <w:szCs w:val="20"/>
        </w:rPr>
      </w:pPr>
    </w:p>
    <w:p w:rsidR="000728AD" w:rsidRDefault="000561BE">
      <w:pPr>
        <w:ind w:right="-79"/>
        <w:jc w:val="center"/>
        <w:rPr>
          <w:sz w:val="20"/>
          <w:szCs w:val="20"/>
        </w:rPr>
      </w:pPr>
      <w:r>
        <w:rPr>
          <w:rFonts w:ascii="Arial" w:eastAsia="Arial" w:hAnsi="Arial" w:cs="Arial"/>
          <w:sz w:val="18"/>
          <w:szCs w:val="18"/>
        </w:rPr>
        <w:t>78</w:t>
      </w:r>
    </w:p>
    <w:p w:rsidR="000728AD" w:rsidRDefault="000561BE">
      <w:pPr>
        <w:spacing w:line="20" w:lineRule="exact"/>
        <w:rPr>
          <w:sz w:val="20"/>
          <w:szCs w:val="20"/>
        </w:rPr>
      </w:pPr>
      <w:r>
        <w:rPr>
          <w:noProof/>
          <w:sz w:val="20"/>
          <w:szCs w:val="20"/>
        </w:rPr>
        <w:drawing>
          <wp:anchor distT="0" distB="0" distL="114300" distR="114300" simplePos="0" relativeHeight="251687936"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419" w:bottom="1440" w:left="320" w:header="0" w:footer="0" w:gutter="0"/>
          <w:cols w:space="720" w:equalWidth="0">
            <w:col w:w="11160"/>
          </w:cols>
        </w:sectPr>
      </w:pPr>
    </w:p>
    <w:bookmarkStart w:id="79" w:name="page79"/>
    <w:bookmarkEnd w:id="79"/>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70" w:lineRule="auto"/>
        <w:rPr>
          <w:sz w:val="20"/>
          <w:szCs w:val="20"/>
        </w:rPr>
      </w:pPr>
      <w:r>
        <w:rPr>
          <w:rFonts w:ascii="Arial" w:eastAsia="Arial" w:hAnsi="Arial" w:cs="Arial"/>
          <w:sz w:val="18"/>
          <w:szCs w:val="18"/>
        </w:rPr>
        <w:t xml:space="preserve">Despite our efforts, any of the aforementioned parties may breach the agreements and disclose our proprietary information, including our trade secrets, or there may </w:t>
      </w:r>
      <w:r>
        <w:rPr>
          <w:rFonts w:ascii="Arial" w:eastAsia="Arial" w:hAnsi="Arial" w:cs="Arial"/>
          <w:sz w:val="18"/>
          <w:szCs w:val="18"/>
        </w:rPr>
        <w:t>be lapses or failures in our physical and electronic security systems that lead to our proprietary information being disclosed, and we may not be able to obtain adequate remedies in the event of any such breaches. Monitoring unauthorized uses and disclosur</w:t>
      </w:r>
      <w:r>
        <w:rPr>
          <w:rFonts w:ascii="Arial" w:eastAsia="Arial" w:hAnsi="Arial" w:cs="Arial"/>
          <w:sz w:val="18"/>
          <w:szCs w:val="18"/>
        </w:rPr>
        <w:t>es is difficult, and we do not know whether the steps we have taken to protect our proprietary technologies will be effective. If any of our scientific advisors, employees, contractors and consultants who are parties to these agreement breaches or are in v</w:t>
      </w:r>
      <w:r>
        <w:rPr>
          <w:rFonts w:ascii="Arial" w:eastAsia="Arial" w:hAnsi="Arial" w:cs="Arial"/>
          <w:sz w:val="18"/>
          <w:szCs w:val="18"/>
        </w:rPr>
        <w:t>iolation of the terms of any of these agreements, we may not have adequate remedies for any such breach or violation, and we could lose our trade secrets as a result. Moreover, if confidential information that is licensed or disclosed to us by our partners</w:t>
      </w:r>
      <w:r>
        <w:rPr>
          <w:rFonts w:ascii="Arial" w:eastAsia="Arial" w:hAnsi="Arial" w:cs="Arial"/>
          <w:sz w:val="18"/>
          <w:szCs w:val="18"/>
        </w:rPr>
        <w:t xml:space="preserve">, collaborators or others is inadvertently disclosed or subject to a breach or violation, we may be exposed to liability to the owner of that confidential information. Enforcing a claim that a party illegally disclosed or misappropriated a trade secret is </w:t>
      </w:r>
      <w:r>
        <w:rPr>
          <w:rFonts w:ascii="Arial" w:eastAsia="Arial" w:hAnsi="Arial" w:cs="Arial"/>
          <w:sz w:val="18"/>
          <w:szCs w:val="18"/>
        </w:rPr>
        <w:t>difficult, expensive and time-consuming and the outcome is unpredictable. In addition, some courts inside and outside the United States are less willing or unwilling to protect trade secrets. If any of our trade secrets were to be lawfully obtained or inde</w:t>
      </w:r>
      <w:r>
        <w:rPr>
          <w:rFonts w:ascii="Arial" w:eastAsia="Arial" w:hAnsi="Arial" w:cs="Arial"/>
          <w:sz w:val="18"/>
          <w:szCs w:val="18"/>
        </w:rPr>
        <w:t>pendently developed by a competitor or other third party, we would have no right to prevent them from using that technology or information to compete with us. If any of our trade secrets were to be disclosed to or independently developed by a competitor or</w:t>
      </w:r>
      <w:r>
        <w:rPr>
          <w:rFonts w:ascii="Arial" w:eastAsia="Arial" w:hAnsi="Arial" w:cs="Arial"/>
          <w:sz w:val="18"/>
          <w:szCs w:val="18"/>
        </w:rPr>
        <w:t xml:space="preserve"> other third party, our competitive position would be materially and adversely harmed.</w:t>
      </w:r>
    </w:p>
    <w:p w:rsidR="000728AD" w:rsidRDefault="000728AD">
      <w:pPr>
        <w:spacing w:line="172" w:lineRule="exact"/>
        <w:rPr>
          <w:sz w:val="20"/>
          <w:szCs w:val="20"/>
        </w:rPr>
      </w:pPr>
    </w:p>
    <w:p w:rsidR="000728AD" w:rsidRDefault="000561BE">
      <w:pPr>
        <w:spacing w:line="260" w:lineRule="auto"/>
        <w:ind w:right="780"/>
        <w:rPr>
          <w:sz w:val="20"/>
          <w:szCs w:val="20"/>
        </w:rPr>
      </w:pPr>
      <w:r>
        <w:rPr>
          <w:rFonts w:ascii="Arial" w:eastAsia="Arial" w:hAnsi="Arial" w:cs="Arial"/>
          <w:b/>
          <w:bCs/>
          <w:i/>
          <w:iCs/>
          <w:sz w:val="20"/>
          <w:szCs w:val="20"/>
        </w:rPr>
        <w:t>We rely on our development platform to identify product candidates. Our competitive position could be materially harmed if our competitors develop a similar platform an</w:t>
      </w:r>
      <w:r>
        <w:rPr>
          <w:rFonts w:ascii="Arial" w:eastAsia="Arial" w:hAnsi="Arial" w:cs="Arial"/>
          <w:b/>
          <w:bCs/>
          <w:i/>
          <w:iCs/>
          <w:sz w:val="20"/>
          <w:szCs w:val="20"/>
        </w:rPr>
        <w:t>d develop rival product candidates.</w:t>
      </w:r>
    </w:p>
    <w:p w:rsidR="000728AD" w:rsidRDefault="000728AD">
      <w:pPr>
        <w:spacing w:line="177" w:lineRule="exact"/>
        <w:rPr>
          <w:sz w:val="20"/>
          <w:szCs w:val="20"/>
        </w:rPr>
      </w:pPr>
    </w:p>
    <w:p w:rsidR="000728AD" w:rsidRDefault="000561BE">
      <w:pPr>
        <w:spacing w:line="244" w:lineRule="auto"/>
        <w:rPr>
          <w:sz w:val="20"/>
          <w:szCs w:val="20"/>
        </w:rPr>
      </w:pPr>
      <w:r>
        <w:rPr>
          <w:rFonts w:ascii="Arial" w:eastAsia="Arial" w:hAnsi="Arial" w:cs="Arial"/>
          <w:sz w:val="20"/>
          <w:szCs w:val="20"/>
        </w:rPr>
        <w:t xml:space="preserve">We rely on know-how, inventions and other proprietary information to strengthen our competitive position. We consider know-how to be our primary intellectual property with respect to our development platform. Our </w:t>
      </w:r>
      <w:r>
        <w:rPr>
          <w:rFonts w:ascii="Arial" w:eastAsia="Arial" w:hAnsi="Arial" w:cs="Arial"/>
          <w:sz w:val="20"/>
          <w:szCs w:val="20"/>
        </w:rPr>
        <w:t>Clinical Studies and Clinical Trials allow us to collect clinical data, which we use in a feedback loop to make improvements to our development platform. In particular, we anticipate that, with respect to this platform, this data may over time be dissemina</w:t>
      </w:r>
      <w:r>
        <w:rPr>
          <w:rFonts w:ascii="Arial" w:eastAsia="Arial" w:hAnsi="Arial" w:cs="Arial"/>
          <w:sz w:val="20"/>
          <w:szCs w:val="20"/>
        </w:rPr>
        <w:t>ted within the industry through independent development, the publication of journal articles describing the method and the movement of skilled personnel.</w:t>
      </w:r>
    </w:p>
    <w:p w:rsidR="000728AD" w:rsidRDefault="000728AD">
      <w:pPr>
        <w:spacing w:line="194" w:lineRule="exact"/>
        <w:rPr>
          <w:sz w:val="20"/>
          <w:szCs w:val="20"/>
        </w:rPr>
      </w:pPr>
    </w:p>
    <w:p w:rsidR="000728AD" w:rsidRDefault="000561BE">
      <w:pPr>
        <w:spacing w:line="282" w:lineRule="auto"/>
        <w:ind w:right="120"/>
        <w:rPr>
          <w:sz w:val="20"/>
          <w:szCs w:val="20"/>
        </w:rPr>
      </w:pPr>
      <w:r>
        <w:rPr>
          <w:rFonts w:ascii="Arial" w:eastAsia="Arial" w:hAnsi="Arial" w:cs="Arial"/>
          <w:sz w:val="18"/>
          <w:szCs w:val="18"/>
        </w:rPr>
        <w:t>We cannot rule out that our competitors may have or will obtain the knowledge necessary to analyze an</w:t>
      </w:r>
      <w:r>
        <w:rPr>
          <w:rFonts w:ascii="Arial" w:eastAsia="Arial" w:hAnsi="Arial" w:cs="Arial"/>
          <w:sz w:val="18"/>
          <w:szCs w:val="18"/>
        </w:rPr>
        <w:t>d characterize similar data to our known data for the purpose of identifying and developing products that could compete with any of our product candidates. Our competitors may also have significantly greater financial, product development, technical and hu</w:t>
      </w:r>
      <w:r>
        <w:rPr>
          <w:rFonts w:ascii="Arial" w:eastAsia="Arial" w:hAnsi="Arial" w:cs="Arial"/>
          <w:sz w:val="18"/>
          <w:szCs w:val="18"/>
        </w:rPr>
        <w:t>man resources and access to data. Further, our competitors may have significantly greater experience in using translational science methods to identify and develop product candidates.</w:t>
      </w:r>
    </w:p>
    <w:p w:rsidR="000728AD" w:rsidRDefault="000728AD">
      <w:pPr>
        <w:spacing w:line="161" w:lineRule="exact"/>
        <w:rPr>
          <w:sz w:val="20"/>
          <w:szCs w:val="20"/>
        </w:rPr>
      </w:pPr>
    </w:p>
    <w:p w:rsidR="000728AD" w:rsidRDefault="000561BE">
      <w:pPr>
        <w:spacing w:line="246" w:lineRule="auto"/>
        <w:ind w:right="300"/>
        <w:rPr>
          <w:sz w:val="20"/>
          <w:szCs w:val="20"/>
        </w:rPr>
      </w:pPr>
      <w:r>
        <w:rPr>
          <w:rFonts w:ascii="Arial" w:eastAsia="Arial" w:hAnsi="Arial" w:cs="Arial"/>
          <w:sz w:val="20"/>
          <w:szCs w:val="20"/>
        </w:rPr>
        <w:t>We may not be able to prohibit our competitors from using technology or</w:t>
      </w:r>
      <w:r>
        <w:rPr>
          <w:rFonts w:ascii="Arial" w:eastAsia="Arial" w:hAnsi="Arial" w:cs="Arial"/>
          <w:sz w:val="20"/>
          <w:szCs w:val="20"/>
        </w:rPr>
        <w:t xml:space="preserve"> methods that are the same as or similar to our development platform to develop their own product candidates. If our competitors develop associated therapies, our ability to develop and market a promising product or product candidate may diminish substanti</w:t>
      </w:r>
      <w:r>
        <w:rPr>
          <w:rFonts w:ascii="Arial" w:eastAsia="Arial" w:hAnsi="Arial" w:cs="Arial"/>
          <w:sz w:val="20"/>
          <w:szCs w:val="20"/>
        </w:rPr>
        <w:t>ally, which could have a material adverse effect on our business, financial condition, prospects and results of operations.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8" w:lineRule="exact"/>
        <w:rPr>
          <w:sz w:val="20"/>
          <w:szCs w:val="20"/>
        </w:rPr>
      </w:pPr>
    </w:p>
    <w:p w:rsidR="000728AD" w:rsidRDefault="000561BE">
      <w:pPr>
        <w:ind w:right="-79"/>
        <w:jc w:val="center"/>
        <w:rPr>
          <w:sz w:val="20"/>
          <w:szCs w:val="20"/>
        </w:rPr>
      </w:pPr>
      <w:r>
        <w:rPr>
          <w:rFonts w:ascii="Arial" w:eastAsia="Arial" w:hAnsi="Arial" w:cs="Arial"/>
          <w:sz w:val="18"/>
          <w:szCs w:val="18"/>
        </w:rPr>
        <w:t>79</w:t>
      </w:r>
    </w:p>
    <w:p w:rsidR="000728AD" w:rsidRDefault="000561BE">
      <w:pPr>
        <w:spacing w:line="20" w:lineRule="exact"/>
        <w:rPr>
          <w:sz w:val="20"/>
          <w:szCs w:val="20"/>
        </w:rPr>
      </w:pPr>
      <w:r>
        <w:rPr>
          <w:noProof/>
          <w:sz w:val="20"/>
          <w:szCs w:val="20"/>
        </w:rPr>
        <w:drawing>
          <wp:anchor distT="0" distB="0" distL="114300" distR="114300" simplePos="0" relativeHeight="251688960"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419" w:bottom="1440" w:left="320" w:header="0" w:footer="0" w:gutter="0"/>
          <w:cols w:space="720" w:equalWidth="0">
            <w:col w:w="11160"/>
          </w:cols>
        </w:sectPr>
      </w:pPr>
    </w:p>
    <w:bookmarkStart w:id="80" w:name="page80"/>
    <w:bookmarkEnd w:id="80"/>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60" w:lineRule="auto"/>
        <w:ind w:right="700"/>
        <w:rPr>
          <w:sz w:val="20"/>
          <w:szCs w:val="20"/>
        </w:rPr>
      </w:pPr>
      <w:r>
        <w:rPr>
          <w:rFonts w:ascii="Arial" w:eastAsia="Arial" w:hAnsi="Arial" w:cs="Arial"/>
          <w:b/>
          <w:bCs/>
          <w:i/>
          <w:iCs/>
          <w:sz w:val="20"/>
          <w:szCs w:val="20"/>
        </w:rPr>
        <w:t>We may not be successful in obtaining, through acquisit</w:t>
      </w:r>
      <w:r>
        <w:rPr>
          <w:rFonts w:ascii="Arial" w:eastAsia="Arial" w:hAnsi="Arial" w:cs="Arial"/>
          <w:b/>
          <w:bCs/>
          <w:i/>
          <w:iCs/>
          <w:sz w:val="20"/>
          <w:szCs w:val="20"/>
        </w:rPr>
        <w:t>ions, in-licenses or otherwise, necessary rights to our product candidates, development platform technologies or other technologies.</w:t>
      </w:r>
    </w:p>
    <w:p w:rsidR="000728AD" w:rsidRDefault="000728AD">
      <w:pPr>
        <w:spacing w:line="177" w:lineRule="exact"/>
        <w:rPr>
          <w:sz w:val="20"/>
          <w:szCs w:val="20"/>
        </w:rPr>
      </w:pPr>
    </w:p>
    <w:p w:rsidR="000728AD" w:rsidRDefault="000561BE">
      <w:pPr>
        <w:spacing w:line="269" w:lineRule="auto"/>
        <w:rPr>
          <w:sz w:val="20"/>
          <w:szCs w:val="20"/>
        </w:rPr>
      </w:pPr>
      <w:r>
        <w:rPr>
          <w:rFonts w:ascii="Arial" w:eastAsia="Arial" w:hAnsi="Arial" w:cs="Arial"/>
          <w:sz w:val="18"/>
          <w:szCs w:val="18"/>
        </w:rPr>
        <w:t xml:space="preserve">We may need to, or want to for strategic purposes, acquire rights to certain intellectual property, through licenses from </w:t>
      </w:r>
      <w:r>
        <w:rPr>
          <w:rFonts w:ascii="Arial" w:eastAsia="Arial" w:hAnsi="Arial" w:cs="Arial"/>
          <w:sz w:val="18"/>
          <w:szCs w:val="18"/>
        </w:rPr>
        <w:t>third parties, to create new products or advancements to our development platform or further develop our product candidates and development platform technologies. Some healthcare companies and academic institutions are competing with us in the field of EMM</w:t>
      </w:r>
      <w:r>
        <w:rPr>
          <w:rFonts w:ascii="Arial" w:eastAsia="Arial" w:hAnsi="Arial" w:cs="Arial"/>
          <w:sz w:val="18"/>
          <w:szCs w:val="18"/>
        </w:rPr>
        <w:t>s and metabolic pathways and may have patents and have filed and are likely filing patent applications potentially relevant to our business. In order to avoid infringing these third-party patents, we may find it necessary or prudent to obtain licenses to s</w:t>
      </w:r>
      <w:r>
        <w:rPr>
          <w:rFonts w:ascii="Arial" w:eastAsia="Arial" w:hAnsi="Arial" w:cs="Arial"/>
          <w:sz w:val="18"/>
          <w:szCs w:val="18"/>
        </w:rPr>
        <w:t>uch patents from such third-party intellectual property holders. We may also require licenses from third parties for certain technologies that we may evaluate for use with our current or future product candidates. However, we may be unable to secure such l</w:t>
      </w:r>
      <w:r>
        <w:rPr>
          <w:rFonts w:ascii="Arial" w:eastAsia="Arial" w:hAnsi="Arial" w:cs="Arial"/>
          <w:sz w:val="18"/>
          <w:szCs w:val="18"/>
        </w:rPr>
        <w:t>icenses or otherwise acquire or in-license any compositions, methods of use, processes or other intellectual property rights from third parties that we identify as necessary for our current or future product candidates and our development platform at a rea</w:t>
      </w:r>
      <w:r>
        <w:rPr>
          <w:rFonts w:ascii="Arial" w:eastAsia="Arial" w:hAnsi="Arial" w:cs="Arial"/>
          <w:sz w:val="18"/>
          <w:szCs w:val="18"/>
        </w:rPr>
        <w:t>sonable cost or on reasonable terms, if at all. The licensing or acquisition of third-party intellectual property rights is a competitive area, and several more established companies may pursue strategies to license or acquire third party intellectual prop</w:t>
      </w:r>
      <w:r>
        <w:rPr>
          <w:rFonts w:ascii="Arial" w:eastAsia="Arial" w:hAnsi="Arial" w:cs="Arial"/>
          <w:sz w:val="18"/>
          <w:szCs w:val="18"/>
        </w:rPr>
        <w:t xml:space="preserve">erty rights that we may consider attractive or necessary. These established companies may have a competitive advantage over us due to their size, capital resources and greater clinical development and commercialization capabilities. In addition, companies </w:t>
      </w:r>
      <w:r>
        <w:rPr>
          <w:rFonts w:ascii="Arial" w:eastAsia="Arial" w:hAnsi="Arial" w:cs="Arial"/>
          <w:sz w:val="18"/>
          <w:szCs w:val="18"/>
        </w:rPr>
        <w:t xml:space="preserve">that perceive us to be a competitor may be unwilling to assign or license rights to us. We also may be unable to license or acquire third party intellectual property rights on terms that would allow us to make an appropriate return on our investment or at </w:t>
      </w:r>
      <w:r>
        <w:rPr>
          <w:rFonts w:ascii="Arial" w:eastAsia="Arial" w:hAnsi="Arial" w:cs="Arial"/>
          <w:sz w:val="18"/>
          <w:szCs w:val="18"/>
        </w:rPr>
        <w:t>all.</w:t>
      </w:r>
    </w:p>
    <w:p w:rsidR="000728AD" w:rsidRDefault="000728AD">
      <w:pPr>
        <w:spacing w:line="181" w:lineRule="exact"/>
        <w:rPr>
          <w:sz w:val="20"/>
          <w:szCs w:val="20"/>
        </w:rPr>
      </w:pPr>
    </w:p>
    <w:p w:rsidR="000728AD" w:rsidRDefault="000561BE">
      <w:pPr>
        <w:spacing w:line="278" w:lineRule="auto"/>
        <w:ind w:right="20"/>
        <w:rPr>
          <w:sz w:val="20"/>
          <w:szCs w:val="20"/>
        </w:rPr>
      </w:pPr>
      <w:r>
        <w:rPr>
          <w:rFonts w:ascii="Arial" w:eastAsia="Arial" w:hAnsi="Arial" w:cs="Arial"/>
          <w:sz w:val="18"/>
          <w:szCs w:val="18"/>
        </w:rPr>
        <w:t xml:space="preserve">In the event that we try to obtain rights to required third party intellectual property rights, and are ultimately unsuccessful, we may be required to expend significant time and resources to redesign our technology, product candidates or the </w:t>
      </w:r>
      <w:r>
        <w:rPr>
          <w:rFonts w:ascii="Arial" w:eastAsia="Arial" w:hAnsi="Arial" w:cs="Arial"/>
          <w:sz w:val="18"/>
          <w:szCs w:val="18"/>
        </w:rPr>
        <w:t xml:space="preserve">methods for manufacturing them or to develop or license replacement technology, all of which may not be feasible on a technical or commercial basis. If we are unable to do so, we may be unable to develop or commercialize the affected product candidates or </w:t>
      </w:r>
      <w:r>
        <w:rPr>
          <w:rFonts w:ascii="Arial" w:eastAsia="Arial" w:hAnsi="Arial" w:cs="Arial"/>
          <w:sz w:val="18"/>
          <w:szCs w:val="18"/>
        </w:rPr>
        <w:t>continue to utilize our existing development platform technology, which could harm our business, financial condition, results of operations and prospects significantly.</w:t>
      </w:r>
    </w:p>
    <w:p w:rsidR="000728AD" w:rsidRDefault="000728AD">
      <w:pPr>
        <w:spacing w:line="165" w:lineRule="exact"/>
        <w:rPr>
          <w:sz w:val="20"/>
          <w:szCs w:val="20"/>
        </w:rPr>
      </w:pPr>
    </w:p>
    <w:p w:rsidR="000728AD" w:rsidRDefault="000561BE">
      <w:pPr>
        <w:spacing w:line="316" w:lineRule="auto"/>
        <w:ind w:right="240"/>
        <w:rPr>
          <w:sz w:val="20"/>
          <w:szCs w:val="20"/>
        </w:rPr>
      </w:pPr>
      <w:r>
        <w:rPr>
          <w:rFonts w:ascii="Arial" w:eastAsia="Arial" w:hAnsi="Arial" w:cs="Arial"/>
          <w:b/>
          <w:bCs/>
          <w:i/>
          <w:iCs/>
          <w:sz w:val="18"/>
          <w:szCs w:val="18"/>
        </w:rPr>
        <w:t>We may be subject to claims that our employees, consultants or advisors have wrongfull</w:t>
      </w:r>
      <w:r>
        <w:rPr>
          <w:rFonts w:ascii="Arial" w:eastAsia="Arial" w:hAnsi="Arial" w:cs="Arial"/>
          <w:b/>
          <w:bCs/>
          <w:i/>
          <w:iCs/>
          <w:sz w:val="18"/>
          <w:szCs w:val="18"/>
        </w:rPr>
        <w:t>y used or disclosed alleged trade secrets of their current or former employers or claims asserting ownership of what we regard as our own intellectual property.</w:t>
      </w:r>
    </w:p>
    <w:p w:rsidR="000728AD" w:rsidRDefault="000728AD">
      <w:pPr>
        <w:spacing w:line="130" w:lineRule="exact"/>
        <w:rPr>
          <w:sz w:val="20"/>
          <w:szCs w:val="20"/>
        </w:rPr>
      </w:pPr>
    </w:p>
    <w:p w:rsidR="000728AD" w:rsidRDefault="000561BE">
      <w:pPr>
        <w:spacing w:line="257" w:lineRule="auto"/>
        <w:ind w:right="80"/>
        <w:rPr>
          <w:sz w:val="20"/>
          <w:szCs w:val="20"/>
        </w:rPr>
      </w:pPr>
      <w:r>
        <w:rPr>
          <w:rFonts w:ascii="Arial" w:eastAsia="Arial" w:hAnsi="Arial" w:cs="Arial"/>
          <w:sz w:val="19"/>
          <w:szCs w:val="19"/>
        </w:rPr>
        <w:t>Many of our employees, consultants and advisors are currently or were previously employed at u</w:t>
      </w:r>
      <w:r>
        <w:rPr>
          <w:rFonts w:ascii="Arial" w:eastAsia="Arial" w:hAnsi="Arial" w:cs="Arial"/>
          <w:sz w:val="19"/>
          <w:szCs w:val="19"/>
        </w:rPr>
        <w:t>niversities or other healthcare companies, including our competitors and potential competitors. Although we try to ensure that our employees, consultants and advisors do not use the proprietary information or know-how of others in their work for us, we may</w:t>
      </w:r>
      <w:r>
        <w:rPr>
          <w:rFonts w:ascii="Arial" w:eastAsia="Arial" w:hAnsi="Arial" w:cs="Arial"/>
          <w:sz w:val="19"/>
          <w:szCs w:val="19"/>
        </w:rPr>
        <w:t xml:space="preserve"> be subject to claims that we or these individuals have used or disclosed intellectual property, including trade secrets or other proprietary information, of any such individual's current or former employer. Litigation may be necessary to defend against th</w:t>
      </w:r>
      <w:r>
        <w:rPr>
          <w:rFonts w:ascii="Arial" w:eastAsia="Arial" w:hAnsi="Arial" w:cs="Arial"/>
          <w:sz w:val="19"/>
          <w:szCs w:val="19"/>
        </w:rPr>
        <w:t xml:space="preserve">ese claims. If we fail in defending any such claims, in addition to paying monetary damages, we may lose valuable intellectual property rights or personnel. Even if we are successful in defending against such claims, litigation could result in substantial </w:t>
      </w:r>
      <w:r>
        <w:rPr>
          <w:rFonts w:ascii="Arial" w:eastAsia="Arial" w:hAnsi="Arial" w:cs="Arial"/>
          <w:sz w:val="19"/>
          <w:szCs w:val="19"/>
        </w:rPr>
        <w:t>costs and be a distraction to management.</w:t>
      </w:r>
    </w:p>
    <w:p w:rsidR="000728AD" w:rsidRDefault="000728AD">
      <w:pPr>
        <w:spacing w:line="185" w:lineRule="exact"/>
        <w:rPr>
          <w:sz w:val="20"/>
          <w:szCs w:val="20"/>
        </w:rPr>
      </w:pPr>
    </w:p>
    <w:p w:rsidR="000728AD" w:rsidRDefault="000561BE">
      <w:pPr>
        <w:spacing w:line="276" w:lineRule="auto"/>
        <w:ind w:right="20"/>
        <w:rPr>
          <w:sz w:val="20"/>
          <w:szCs w:val="20"/>
        </w:rPr>
      </w:pPr>
      <w:r>
        <w:rPr>
          <w:rFonts w:ascii="Arial" w:eastAsia="Arial" w:hAnsi="Arial" w:cs="Arial"/>
          <w:sz w:val="18"/>
          <w:szCs w:val="18"/>
        </w:rPr>
        <w:t>In addition, while it is our policy to require our employees and contractors who may be involved in the conception or development of intellectual property to execute agreements assigning such intellectual property</w:t>
      </w:r>
      <w:r>
        <w:rPr>
          <w:rFonts w:ascii="Arial" w:eastAsia="Arial" w:hAnsi="Arial" w:cs="Arial"/>
          <w:sz w:val="18"/>
          <w:szCs w:val="18"/>
        </w:rPr>
        <w:t xml:space="preserve"> to us, we may be unsuccessful in executing such an agreement with each party who, in fact, conceives or develops intellectual property that we regard as our own. The assignment of intellectual property rights may not be self-executing, or the assignment a</w:t>
      </w:r>
      <w:r>
        <w:rPr>
          <w:rFonts w:ascii="Arial" w:eastAsia="Arial" w:hAnsi="Arial" w:cs="Arial"/>
          <w:sz w:val="18"/>
          <w:szCs w:val="18"/>
        </w:rPr>
        <w:t>greements may be breached, and we may be forced to bring claims against third parties, or defend claims that they may bring against us, to determine the ownership of what we regard as our intellectual property. Such claims could have a material adverse eff</w:t>
      </w:r>
      <w:r>
        <w:rPr>
          <w:rFonts w:ascii="Arial" w:eastAsia="Arial" w:hAnsi="Arial" w:cs="Arial"/>
          <w:sz w:val="18"/>
          <w:szCs w:val="18"/>
        </w:rPr>
        <w:t>ect on our business, financial condition, results of operations and prospects.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61" w:lineRule="exact"/>
        <w:rPr>
          <w:sz w:val="20"/>
          <w:szCs w:val="20"/>
        </w:rPr>
      </w:pPr>
    </w:p>
    <w:p w:rsidR="000728AD" w:rsidRDefault="000561BE">
      <w:pPr>
        <w:ind w:right="-19"/>
        <w:jc w:val="center"/>
        <w:rPr>
          <w:sz w:val="20"/>
          <w:szCs w:val="20"/>
        </w:rPr>
      </w:pPr>
      <w:r>
        <w:rPr>
          <w:rFonts w:ascii="Arial" w:eastAsia="Arial" w:hAnsi="Arial" w:cs="Arial"/>
          <w:sz w:val="18"/>
          <w:szCs w:val="18"/>
        </w:rPr>
        <w:t>80</w:t>
      </w:r>
    </w:p>
    <w:p w:rsidR="000728AD" w:rsidRDefault="000561BE">
      <w:pPr>
        <w:spacing w:line="20" w:lineRule="exact"/>
        <w:rPr>
          <w:sz w:val="20"/>
          <w:szCs w:val="20"/>
        </w:rPr>
      </w:pPr>
      <w:r>
        <w:rPr>
          <w:noProof/>
          <w:sz w:val="20"/>
          <w:szCs w:val="20"/>
        </w:rPr>
        <w:drawing>
          <wp:anchor distT="0" distB="0" distL="114300" distR="114300" simplePos="0" relativeHeight="251689984"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81" w:name="page81"/>
    <w:bookmarkEnd w:id="81"/>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385" w:lineRule="auto"/>
        <w:ind w:right="60"/>
        <w:rPr>
          <w:sz w:val="20"/>
          <w:szCs w:val="20"/>
        </w:rPr>
      </w:pPr>
      <w:r>
        <w:rPr>
          <w:rFonts w:ascii="Arial" w:eastAsia="Arial" w:hAnsi="Arial" w:cs="Arial"/>
          <w:b/>
          <w:bCs/>
          <w:i/>
          <w:iCs/>
          <w:sz w:val="16"/>
          <w:szCs w:val="16"/>
        </w:rPr>
        <w:t xml:space="preserve">Third-party claims of intellectual property infringement, misappropriation or other </w:t>
      </w:r>
      <w:r>
        <w:rPr>
          <w:rFonts w:ascii="Arial" w:eastAsia="Arial" w:hAnsi="Arial" w:cs="Arial"/>
          <w:b/>
          <w:bCs/>
          <w:i/>
          <w:iCs/>
          <w:sz w:val="16"/>
          <w:szCs w:val="16"/>
        </w:rPr>
        <w:t>violation against us or our collaborators may prevent or delay the development and commercialization of our product candidates, development platform technologies and other technologies.</w:t>
      </w:r>
    </w:p>
    <w:p w:rsidR="000728AD" w:rsidRDefault="000728AD">
      <w:pPr>
        <w:spacing w:line="85" w:lineRule="exact"/>
        <w:rPr>
          <w:sz w:val="20"/>
          <w:szCs w:val="20"/>
        </w:rPr>
      </w:pPr>
    </w:p>
    <w:p w:rsidR="000728AD" w:rsidRDefault="000561BE">
      <w:pPr>
        <w:spacing w:line="263" w:lineRule="auto"/>
        <w:ind w:right="20"/>
        <w:rPr>
          <w:sz w:val="20"/>
          <w:szCs w:val="20"/>
        </w:rPr>
      </w:pPr>
      <w:r>
        <w:rPr>
          <w:rFonts w:ascii="Arial" w:eastAsia="Arial" w:hAnsi="Arial" w:cs="Arial"/>
          <w:sz w:val="19"/>
          <w:szCs w:val="19"/>
        </w:rPr>
        <w:t>The field of developing drug or non-drug products that target metabol</w:t>
      </w:r>
      <w:r>
        <w:rPr>
          <w:rFonts w:ascii="Arial" w:eastAsia="Arial" w:hAnsi="Arial" w:cs="Arial"/>
          <w:sz w:val="19"/>
          <w:szCs w:val="19"/>
        </w:rPr>
        <w:t>ic pathways is competitive and dynamic. Due to the focused research and development that is taking place by several companies, including us and our competitors, in this field, the intellectual property landscape is in flux, and it may remain uncertain in t</w:t>
      </w:r>
      <w:r>
        <w:rPr>
          <w:rFonts w:ascii="Arial" w:eastAsia="Arial" w:hAnsi="Arial" w:cs="Arial"/>
          <w:sz w:val="19"/>
          <w:szCs w:val="19"/>
        </w:rPr>
        <w:t>he future. As such, there may be significant intellectual property related litigation and proceedings relating to our owned, and other third party, intellectual property and proprietary rights in the future.</w:t>
      </w:r>
    </w:p>
    <w:p w:rsidR="000728AD" w:rsidRDefault="000728AD">
      <w:pPr>
        <w:spacing w:line="176" w:lineRule="exact"/>
        <w:rPr>
          <w:sz w:val="20"/>
          <w:szCs w:val="20"/>
        </w:rPr>
      </w:pPr>
    </w:p>
    <w:p w:rsidR="000728AD" w:rsidRDefault="000561BE">
      <w:pPr>
        <w:spacing w:line="243" w:lineRule="auto"/>
        <w:ind w:right="140"/>
        <w:rPr>
          <w:sz w:val="20"/>
          <w:szCs w:val="20"/>
        </w:rPr>
      </w:pPr>
      <w:r>
        <w:rPr>
          <w:rFonts w:ascii="Arial" w:eastAsia="Arial" w:hAnsi="Arial" w:cs="Arial"/>
          <w:sz w:val="20"/>
          <w:szCs w:val="20"/>
        </w:rPr>
        <w:t>Our commercial success depends in part on our a</w:t>
      </w:r>
      <w:r>
        <w:rPr>
          <w:rFonts w:ascii="Arial" w:eastAsia="Arial" w:hAnsi="Arial" w:cs="Arial"/>
          <w:sz w:val="20"/>
          <w:szCs w:val="20"/>
        </w:rPr>
        <w:t>nd our collaborators' ability to avoid infringing, misappropriating and otherwise violating the patents and other intellectual property rights of third parties. There is a substantial amount of complex litigation involving patents and other intellectual pr</w:t>
      </w:r>
      <w:r>
        <w:rPr>
          <w:rFonts w:ascii="Arial" w:eastAsia="Arial" w:hAnsi="Arial" w:cs="Arial"/>
          <w:sz w:val="20"/>
          <w:szCs w:val="20"/>
        </w:rPr>
        <w:t>operty rights in the biotechnology and pharmaceutical industries, as well as administrative proceedings for challenging patents, including interference, derivation and reexamination proceedings before the USPTO or oppositions and other comparable proceedin</w:t>
      </w:r>
      <w:r>
        <w:rPr>
          <w:rFonts w:ascii="Arial" w:eastAsia="Arial" w:hAnsi="Arial" w:cs="Arial"/>
          <w:sz w:val="20"/>
          <w:szCs w:val="20"/>
        </w:rPr>
        <w:t xml:space="preserve">gs in foreign jurisdictions. As discussed above, recently, due to changes in U.S. law referred to as patent reform, new procedures including </w:t>
      </w:r>
      <w:r>
        <w:rPr>
          <w:rFonts w:ascii="Arial" w:eastAsia="Arial" w:hAnsi="Arial" w:cs="Arial"/>
          <w:i/>
          <w:iCs/>
          <w:sz w:val="20"/>
          <w:szCs w:val="20"/>
        </w:rPr>
        <w:t>inter partes</w:t>
      </w:r>
      <w:r>
        <w:rPr>
          <w:rFonts w:ascii="Arial" w:eastAsia="Arial" w:hAnsi="Arial" w:cs="Arial"/>
          <w:sz w:val="20"/>
          <w:szCs w:val="20"/>
        </w:rPr>
        <w:t xml:space="preserve"> review and post-grant review have been implemented. As stated above, this reform adds uncertainty to t</w:t>
      </w:r>
      <w:r>
        <w:rPr>
          <w:rFonts w:ascii="Arial" w:eastAsia="Arial" w:hAnsi="Arial" w:cs="Arial"/>
          <w:sz w:val="20"/>
          <w:szCs w:val="20"/>
        </w:rPr>
        <w:t>he possibility of challenge to our patents in the future.</w:t>
      </w:r>
    </w:p>
    <w:p w:rsidR="000728AD" w:rsidRDefault="000728AD">
      <w:pPr>
        <w:spacing w:line="193" w:lineRule="exact"/>
        <w:rPr>
          <w:sz w:val="20"/>
          <w:szCs w:val="20"/>
        </w:rPr>
      </w:pPr>
    </w:p>
    <w:p w:rsidR="000728AD" w:rsidRDefault="000561BE">
      <w:pPr>
        <w:spacing w:line="269" w:lineRule="auto"/>
        <w:rPr>
          <w:sz w:val="20"/>
          <w:szCs w:val="20"/>
        </w:rPr>
      </w:pPr>
      <w:r>
        <w:rPr>
          <w:rFonts w:ascii="Arial" w:eastAsia="Arial" w:hAnsi="Arial" w:cs="Arial"/>
          <w:sz w:val="18"/>
          <w:szCs w:val="18"/>
        </w:rPr>
        <w:t>Numerous U.S. and foreign issued patents and pending patent applications owned by third parties exist relating to technologies and fields in which we are developing our product candidates. As the b</w:t>
      </w:r>
      <w:r>
        <w:rPr>
          <w:rFonts w:ascii="Arial" w:eastAsia="Arial" w:hAnsi="Arial" w:cs="Arial"/>
          <w:sz w:val="18"/>
          <w:szCs w:val="18"/>
        </w:rPr>
        <w:t>iotechnology and pharmaceutical industries expand and more patents are issued, the risk increases that our product candidates, development platform and other technologies may give rise to claims of infringement of the patent rights of others. We cannot ass</w:t>
      </w:r>
      <w:r>
        <w:rPr>
          <w:rFonts w:ascii="Arial" w:eastAsia="Arial" w:hAnsi="Arial" w:cs="Arial"/>
          <w:sz w:val="18"/>
          <w:szCs w:val="18"/>
        </w:rPr>
        <w:t>ure you that our product candidates, proprietary product platform technologies and other technologies that we have developed, are developing or may develop in the future will not infringe existing or future patents owned by third parties. We may not be awa</w:t>
      </w:r>
      <w:r>
        <w:rPr>
          <w:rFonts w:ascii="Arial" w:eastAsia="Arial" w:hAnsi="Arial" w:cs="Arial"/>
          <w:sz w:val="18"/>
          <w:szCs w:val="18"/>
        </w:rPr>
        <w:t>re of patents that have already been issued and that a third party, for example, a competitor in the fields in which we are developing our product candidates, development platform and other technologies might assert they have been infringed upon by our cur</w:t>
      </w:r>
      <w:r>
        <w:rPr>
          <w:rFonts w:ascii="Arial" w:eastAsia="Arial" w:hAnsi="Arial" w:cs="Arial"/>
          <w:sz w:val="18"/>
          <w:szCs w:val="18"/>
        </w:rPr>
        <w:t>rent or future product candidates, development platform or other technologies, including claims to compositions, formulations, methods of manufacture or methods of use or treatment that cover our product candidates, development platform or other technologi</w:t>
      </w:r>
      <w:r>
        <w:rPr>
          <w:rFonts w:ascii="Arial" w:eastAsia="Arial" w:hAnsi="Arial" w:cs="Arial"/>
          <w:sz w:val="18"/>
          <w:szCs w:val="18"/>
        </w:rPr>
        <w:t>es. It is also possible that patents owned by third parties of which we are aware, but which we do not believe are relevant to our product candidates, development platform or other technologies, could be found to be infringed by our product candidates, dev</w:t>
      </w:r>
      <w:r>
        <w:rPr>
          <w:rFonts w:ascii="Arial" w:eastAsia="Arial" w:hAnsi="Arial" w:cs="Arial"/>
          <w:sz w:val="18"/>
          <w:szCs w:val="18"/>
        </w:rPr>
        <w:t xml:space="preserve">elopment platform or other technologies. In addition, because patent applications can take many years to issue, there may be currently pending patent applications that may later result in issued patents that our product candidates, development platform or </w:t>
      </w:r>
      <w:r>
        <w:rPr>
          <w:rFonts w:ascii="Arial" w:eastAsia="Arial" w:hAnsi="Arial" w:cs="Arial"/>
          <w:sz w:val="18"/>
          <w:szCs w:val="18"/>
        </w:rPr>
        <w:t>other technologies may infringe. We cannot provide any assurances that third-party patents do not exist which might be enforced against our current technology, including our development platform technologies, manufacturing methods, product candidates or fu</w:t>
      </w:r>
      <w:r>
        <w:rPr>
          <w:rFonts w:ascii="Arial" w:eastAsia="Arial" w:hAnsi="Arial" w:cs="Arial"/>
          <w:sz w:val="18"/>
          <w:szCs w:val="18"/>
        </w:rPr>
        <w:t>ture methods or products resulting in either an injunction prohibiting our manufacture or future sales, or, with respect to our future sales, an obligation on our part to pay royalties and/or other forms of compensation to third parties, which could be sig</w:t>
      </w:r>
      <w:r>
        <w:rPr>
          <w:rFonts w:ascii="Arial" w:eastAsia="Arial" w:hAnsi="Arial" w:cs="Arial"/>
          <w:sz w:val="18"/>
          <w:szCs w:val="18"/>
        </w:rPr>
        <w:t>nificant.</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70" w:lineRule="exact"/>
        <w:rPr>
          <w:sz w:val="20"/>
          <w:szCs w:val="20"/>
        </w:rPr>
      </w:pPr>
    </w:p>
    <w:p w:rsidR="000728AD" w:rsidRDefault="000561BE">
      <w:pPr>
        <w:ind w:right="-59"/>
        <w:jc w:val="center"/>
        <w:rPr>
          <w:sz w:val="20"/>
          <w:szCs w:val="20"/>
        </w:rPr>
      </w:pPr>
      <w:r>
        <w:rPr>
          <w:rFonts w:ascii="Arial" w:eastAsia="Arial" w:hAnsi="Arial" w:cs="Arial"/>
          <w:sz w:val="18"/>
          <w:szCs w:val="18"/>
        </w:rPr>
        <w:t>81</w:t>
      </w:r>
    </w:p>
    <w:p w:rsidR="000728AD" w:rsidRDefault="000561BE">
      <w:pPr>
        <w:spacing w:line="20" w:lineRule="exact"/>
        <w:rPr>
          <w:sz w:val="20"/>
          <w:szCs w:val="20"/>
        </w:rPr>
      </w:pPr>
      <w:r>
        <w:rPr>
          <w:noProof/>
          <w:sz w:val="20"/>
          <w:szCs w:val="20"/>
        </w:rPr>
        <w:drawing>
          <wp:anchor distT="0" distB="0" distL="114300" distR="114300" simplePos="0" relativeHeight="251691008"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79" w:bottom="1440" w:left="320" w:header="0" w:footer="0" w:gutter="0"/>
          <w:cols w:space="720" w:equalWidth="0">
            <w:col w:w="11200"/>
          </w:cols>
        </w:sectPr>
      </w:pPr>
    </w:p>
    <w:bookmarkStart w:id="82" w:name="page82"/>
    <w:bookmarkEnd w:id="82"/>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55" w:lineRule="auto"/>
        <w:rPr>
          <w:sz w:val="20"/>
          <w:szCs w:val="20"/>
        </w:rPr>
      </w:pPr>
      <w:r>
        <w:rPr>
          <w:rFonts w:ascii="Arial" w:eastAsia="Arial" w:hAnsi="Arial" w:cs="Arial"/>
          <w:sz w:val="19"/>
          <w:szCs w:val="19"/>
        </w:rPr>
        <w:t>Third parties may have patents or obtain patents in the future and claim that the manufacture, use or sale of our product candidates, development platform or other techn</w:t>
      </w:r>
      <w:r>
        <w:rPr>
          <w:rFonts w:ascii="Arial" w:eastAsia="Arial" w:hAnsi="Arial" w:cs="Arial"/>
          <w:sz w:val="19"/>
          <w:szCs w:val="19"/>
        </w:rPr>
        <w:t>ologies infringes upon these patents. In the event that any third party claims that we infringe their patents or that we are otherwise employing their proprietary technology without authorization and initiates litigation against us, even if we believe such</w:t>
      </w:r>
      <w:r>
        <w:rPr>
          <w:rFonts w:ascii="Arial" w:eastAsia="Arial" w:hAnsi="Arial" w:cs="Arial"/>
          <w:sz w:val="19"/>
          <w:szCs w:val="19"/>
        </w:rPr>
        <w:t xml:space="preserve"> claims are without merit, a court of competent jurisdiction could hold that such patents are valid, enforceable and infringed by our product candidates, development platform or other technologies. In this case, the holders of such patents may be able to b</w:t>
      </w:r>
      <w:r>
        <w:rPr>
          <w:rFonts w:ascii="Arial" w:eastAsia="Arial" w:hAnsi="Arial" w:cs="Arial"/>
          <w:sz w:val="19"/>
          <w:szCs w:val="19"/>
        </w:rPr>
        <w:t xml:space="preserve">lock our ability to commercialize the applicable product candidate or technology unless we obtain a license under the applicable patents, or until such patents expire or are finally determined to be held invalid or unenforceable. Such a license may not be </w:t>
      </w:r>
      <w:r>
        <w:rPr>
          <w:rFonts w:ascii="Arial" w:eastAsia="Arial" w:hAnsi="Arial" w:cs="Arial"/>
          <w:sz w:val="19"/>
          <w:szCs w:val="19"/>
        </w:rPr>
        <w:t>available on commercially reasonable terms or at all. Even if we are able to obtain a license, the license would likely obligate us to pay license fees or royalties or both, and the rights granted to us might be non-exclusive, which could result in our com</w:t>
      </w:r>
      <w:r>
        <w:rPr>
          <w:rFonts w:ascii="Arial" w:eastAsia="Arial" w:hAnsi="Arial" w:cs="Arial"/>
          <w:sz w:val="19"/>
          <w:szCs w:val="19"/>
        </w:rPr>
        <w:t>petitors gaining access to the same intellectual property. If we are unable to obtain a necessary license to a third-party patent on commercially reasonable terms, we may be unable to commercialize our product candidates, development platform or other tech</w:t>
      </w:r>
      <w:r>
        <w:rPr>
          <w:rFonts w:ascii="Arial" w:eastAsia="Arial" w:hAnsi="Arial" w:cs="Arial"/>
          <w:sz w:val="19"/>
          <w:szCs w:val="19"/>
        </w:rPr>
        <w:t>nologies, or such commercialization efforts may be significantly delayed, which could in turn significantly harm our business.</w:t>
      </w:r>
    </w:p>
    <w:p w:rsidR="000728AD" w:rsidRDefault="000728AD">
      <w:pPr>
        <w:spacing w:line="184" w:lineRule="exact"/>
        <w:rPr>
          <w:sz w:val="20"/>
          <w:szCs w:val="20"/>
        </w:rPr>
      </w:pPr>
    </w:p>
    <w:p w:rsidR="000728AD" w:rsidRDefault="000561BE">
      <w:pPr>
        <w:spacing w:line="274" w:lineRule="auto"/>
        <w:rPr>
          <w:sz w:val="20"/>
          <w:szCs w:val="20"/>
        </w:rPr>
      </w:pPr>
      <w:r>
        <w:rPr>
          <w:rFonts w:ascii="Arial" w:eastAsia="Arial" w:hAnsi="Arial" w:cs="Arial"/>
          <w:sz w:val="18"/>
          <w:szCs w:val="18"/>
        </w:rPr>
        <w:t xml:space="preserve">Defense of infringement claims, regardless of their merit, would involve substantial litigation expense and would be a </w:t>
      </w:r>
      <w:r>
        <w:rPr>
          <w:rFonts w:ascii="Arial" w:eastAsia="Arial" w:hAnsi="Arial" w:cs="Arial"/>
          <w:sz w:val="18"/>
          <w:szCs w:val="18"/>
        </w:rPr>
        <w:t>substantial diversion of management and other employee resources from our business, and may impact our reputation. In the event of a successful claim of infringement against us, we may be enjoined from further developing or commercializing our infringing p</w:t>
      </w:r>
      <w:r>
        <w:rPr>
          <w:rFonts w:ascii="Arial" w:eastAsia="Arial" w:hAnsi="Arial" w:cs="Arial"/>
          <w:sz w:val="18"/>
          <w:szCs w:val="18"/>
        </w:rPr>
        <w:t xml:space="preserve">roduct candidates, development platform or other technologies. In addition, we may have to pay substantial damages, including treble damages and attorneys' fees for willful infringement, obtain one or more licenses from third parties, pay royalties and/or </w:t>
      </w:r>
      <w:r>
        <w:rPr>
          <w:rFonts w:ascii="Arial" w:eastAsia="Arial" w:hAnsi="Arial" w:cs="Arial"/>
          <w:sz w:val="18"/>
          <w:szCs w:val="18"/>
        </w:rPr>
        <w:t>redesign our infringing product candidates or technologies, which may be impossible or require substantial time and monetary expenditure. In that event, we would be unable to further develop and commercialize our product candidates, development platform or</w:t>
      </w:r>
      <w:r>
        <w:rPr>
          <w:rFonts w:ascii="Arial" w:eastAsia="Arial" w:hAnsi="Arial" w:cs="Arial"/>
          <w:sz w:val="18"/>
          <w:szCs w:val="18"/>
        </w:rPr>
        <w:t xml:space="preserve"> other technologies, which could harm our business significantly.</w:t>
      </w:r>
    </w:p>
    <w:p w:rsidR="000728AD" w:rsidRDefault="000728AD">
      <w:pPr>
        <w:spacing w:line="168" w:lineRule="exact"/>
        <w:rPr>
          <w:sz w:val="20"/>
          <w:szCs w:val="20"/>
        </w:rPr>
      </w:pPr>
    </w:p>
    <w:p w:rsidR="000728AD" w:rsidRDefault="000561BE">
      <w:pPr>
        <w:spacing w:line="276" w:lineRule="auto"/>
        <w:ind w:right="200"/>
        <w:rPr>
          <w:sz w:val="20"/>
          <w:szCs w:val="20"/>
        </w:rPr>
      </w:pPr>
      <w:r>
        <w:rPr>
          <w:rFonts w:ascii="Arial" w:eastAsia="Arial" w:hAnsi="Arial" w:cs="Arial"/>
          <w:sz w:val="18"/>
          <w:szCs w:val="18"/>
        </w:rPr>
        <w:t>Engaging in litigation to defend against third parties alleging that we have infringed, misappropriated or otherwise violated their patents or other intellectual property rights is very exp</w:t>
      </w:r>
      <w:r>
        <w:rPr>
          <w:rFonts w:ascii="Arial" w:eastAsia="Arial" w:hAnsi="Arial" w:cs="Arial"/>
          <w:sz w:val="18"/>
          <w:szCs w:val="18"/>
        </w:rPr>
        <w:t xml:space="preserve">ensive, particularly for a company of our size, and time-consuming. Some of our competitors may be able to sustain the costs of litigation or administrative proceedings more effectively than we can because of greater financial resources. Patent litigation </w:t>
      </w:r>
      <w:r>
        <w:rPr>
          <w:rFonts w:ascii="Arial" w:eastAsia="Arial" w:hAnsi="Arial" w:cs="Arial"/>
          <w:sz w:val="18"/>
          <w:szCs w:val="18"/>
        </w:rPr>
        <w:t>and other proceedings may also absorb significant management time. Uncertainties resulting from the initiation and continuation of patent litigation or other proceedings against us could impair our ability to compete in the marketplace. The occurrence of a</w:t>
      </w:r>
      <w:r>
        <w:rPr>
          <w:rFonts w:ascii="Arial" w:eastAsia="Arial" w:hAnsi="Arial" w:cs="Arial"/>
          <w:sz w:val="18"/>
          <w:szCs w:val="18"/>
        </w:rPr>
        <w:t>ny of the foregoing could have a material adverse effect on our business, financial condition or results of operations.</w:t>
      </w:r>
    </w:p>
    <w:p w:rsidR="000728AD" w:rsidRDefault="000728AD">
      <w:pPr>
        <w:spacing w:line="165" w:lineRule="exact"/>
        <w:rPr>
          <w:sz w:val="20"/>
          <w:szCs w:val="20"/>
        </w:rPr>
      </w:pPr>
    </w:p>
    <w:p w:rsidR="000728AD" w:rsidRDefault="000561BE">
      <w:pPr>
        <w:spacing w:line="260" w:lineRule="auto"/>
        <w:ind w:right="340"/>
        <w:rPr>
          <w:sz w:val="20"/>
          <w:szCs w:val="20"/>
        </w:rPr>
      </w:pPr>
      <w:r>
        <w:rPr>
          <w:rFonts w:ascii="Arial" w:eastAsia="Arial" w:hAnsi="Arial" w:cs="Arial"/>
          <w:b/>
          <w:bCs/>
          <w:i/>
          <w:iCs/>
          <w:sz w:val="20"/>
          <w:szCs w:val="20"/>
        </w:rPr>
        <w:t xml:space="preserve">We may become involved in lawsuits to protect or enforce our patents and other intellectual property rights, which could be </w:t>
      </w:r>
      <w:r>
        <w:rPr>
          <w:rFonts w:ascii="Arial" w:eastAsia="Arial" w:hAnsi="Arial" w:cs="Arial"/>
          <w:b/>
          <w:bCs/>
          <w:i/>
          <w:iCs/>
          <w:sz w:val="20"/>
          <w:szCs w:val="20"/>
        </w:rPr>
        <w:t>expensive, time-consuming and unsuccessful.</w:t>
      </w:r>
    </w:p>
    <w:p w:rsidR="000728AD" w:rsidRDefault="000728AD">
      <w:pPr>
        <w:spacing w:line="177" w:lineRule="exact"/>
        <w:rPr>
          <w:sz w:val="20"/>
          <w:szCs w:val="20"/>
        </w:rPr>
      </w:pPr>
    </w:p>
    <w:p w:rsidR="000728AD" w:rsidRDefault="000561BE">
      <w:pPr>
        <w:spacing w:line="255" w:lineRule="auto"/>
        <w:ind w:right="40"/>
        <w:rPr>
          <w:sz w:val="20"/>
          <w:szCs w:val="20"/>
        </w:rPr>
      </w:pPr>
      <w:r>
        <w:rPr>
          <w:rFonts w:ascii="Arial" w:eastAsia="Arial" w:hAnsi="Arial" w:cs="Arial"/>
          <w:sz w:val="19"/>
          <w:szCs w:val="19"/>
        </w:rPr>
        <w:t xml:space="preserve">Competitors may infringe our patents, or we may be required to defend against claims of infringement. In addition, our patents also may become involved in inventorship, priority or validity disputes. To counter </w:t>
      </w:r>
      <w:r>
        <w:rPr>
          <w:rFonts w:ascii="Arial" w:eastAsia="Arial" w:hAnsi="Arial" w:cs="Arial"/>
          <w:sz w:val="19"/>
          <w:szCs w:val="19"/>
        </w:rPr>
        <w:t>or defend against such claims can be expensive and time-consuming. In an infringement proceeding, a court may decide that a patent owned by us is invalid or unenforceable, the other party's use of our patented technology falls under the safe harbor to pate</w:t>
      </w:r>
      <w:r>
        <w:rPr>
          <w:rFonts w:ascii="Arial" w:eastAsia="Arial" w:hAnsi="Arial" w:cs="Arial"/>
          <w:sz w:val="19"/>
          <w:szCs w:val="19"/>
        </w:rPr>
        <w:t xml:space="preserve">nt infringement under 35 U.S.C. §271(e) or may refuse to stop the other party from using the technology at issue on the grounds that our owned patents do not cover the technology in question. An adverse result in any litigation proceeding could put one or </w:t>
      </w:r>
      <w:r>
        <w:rPr>
          <w:rFonts w:ascii="Arial" w:eastAsia="Arial" w:hAnsi="Arial" w:cs="Arial"/>
          <w:sz w:val="19"/>
          <w:szCs w:val="19"/>
        </w:rPr>
        <w:t>more of our owned patents at risk of being invalidated or interpreted narrowly. Even if we establish infringement, the court may decide not to grant an injunction against further infringing activity and instead award only monetary damages, which may or may</w:t>
      </w:r>
      <w:r>
        <w:rPr>
          <w:rFonts w:ascii="Arial" w:eastAsia="Arial" w:hAnsi="Arial" w:cs="Arial"/>
          <w:sz w:val="19"/>
          <w:szCs w:val="19"/>
        </w:rPr>
        <w:t xml:space="preserve"> not be an adequate remedy. Furthermore, because of the substantial amount of discovery required in connection with intellectual property litigation, there is a risk that some of our confidential information could be compromised by disclosure during this t</w:t>
      </w:r>
      <w:r>
        <w:rPr>
          <w:rFonts w:ascii="Arial" w:eastAsia="Arial" w:hAnsi="Arial" w:cs="Arial"/>
          <w:sz w:val="19"/>
          <w:szCs w:val="19"/>
        </w:rPr>
        <w:t>ype of litigation.</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6" w:lineRule="exact"/>
        <w:rPr>
          <w:sz w:val="20"/>
          <w:szCs w:val="20"/>
        </w:rPr>
      </w:pPr>
    </w:p>
    <w:p w:rsidR="000728AD" w:rsidRDefault="000561BE">
      <w:pPr>
        <w:ind w:right="-19"/>
        <w:jc w:val="center"/>
        <w:rPr>
          <w:sz w:val="20"/>
          <w:szCs w:val="20"/>
        </w:rPr>
      </w:pPr>
      <w:r>
        <w:rPr>
          <w:rFonts w:ascii="Arial" w:eastAsia="Arial" w:hAnsi="Arial" w:cs="Arial"/>
          <w:sz w:val="18"/>
          <w:szCs w:val="18"/>
        </w:rPr>
        <w:t>82</w:t>
      </w:r>
    </w:p>
    <w:p w:rsidR="000728AD" w:rsidRDefault="000561BE">
      <w:pPr>
        <w:spacing w:line="20"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83" w:name="page83"/>
    <w:bookmarkEnd w:id="83"/>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72" w:lineRule="auto"/>
        <w:ind w:right="120"/>
        <w:rPr>
          <w:sz w:val="20"/>
          <w:szCs w:val="20"/>
        </w:rPr>
      </w:pPr>
      <w:r>
        <w:rPr>
          <w:rFonts w:ascii="Arial" w:eastAsia="Arial" w:hAnsi="Arial" w:cs="Arial"/>
          <w:sz w:val="18"/>
          <w:szCs w:val="18"/>
        </w:rPr>
        <w:t>Even if resolved in our favor, litigation or other legal proceedings relating to intellectual property claims may cause us to incur significant expenses and cou</w:t>
      </w:r>
      <w:r>
        <w:rPr>
          <w:rFonts w:ascii="Arial" w:eastAsia="Arial" w:hAnsi="Arial" w:cs="Arial"/>
          <w:sz w:val="18"/>
          <w:szCs w:val="18"/>
        </w:rPr>
        <w:t xml:space="preserve">ld distract our personnel from their normal responsibilities. In addition, there could be public announcements of the results of hearings, motions or other interim proceedings or developments, and if securities analysts or investors perceive these results </w:t>
      </w:r>
      <w:r>
        <w:rPr>
          <w:rFonts w:ascii="Arial" w:eastAsia="Arial" w:hAnsi="Arial" w:cs="Arial"/>
          <w:sz w:val="18"/>
          <w:szCs w:val="18"/>
        </w:rPr>
        <w:t>to be negative, it could have a substantial adverse effect on the price of our common stock. Such litigation or proceedings could substantially increase our operating losses and reduce the resources available for development activities or any future sales,</w:t>
      </w:r>
      <w:r>
        <w:rPr>
          <w:rFonts w:ascii="Arial" w:eastAsia="Arial" w:hAnsi="Arial" w:cs="Arial"/>
          <w:sz w:val="18"/>
          <w:szCs w:val="18"/>
        </w:rPr>
        <w:t xml:space="preserve"> marketing or distribution activities. We may not have sufficient financial or other resources to conduct such litigation or proceedings adequately. Some of our competitors may be able to sustain the costs of such litigation or proceedings more effectively</w:t>
      </w:r>
      <w:r>
        <w:rPr>
          <w:rFonts w:ascii="Arial" w:eastAsia="Arial" w:hAnsi="Arial" w:cs="Arial"/>
          <w:sz w:val="18"/>
          <w:szCs w:val="18"/>
        </w:rPr>
        <w:t xml:space="preserve"> than we can because of their greater financial resources and more mature and developed intellectual property portfolios. Uncertainties resulting from the initiation and continuation of patent litigation or other proceedings could have a material adverse e</w:t>
      </w:r>
      <w:r>
        <w:rPr>
          <w:rFonts w:ascii="Arial" w:eastAsia="Arial" w:hAnsi="Arial" w:cs="Arial"/>
          <w:sz w:val="18"/>
          <w:szCs w:val="18"/>
        </w:rPr>
        <w:t>ffect on our ability to compete in the marketplace.</w:t>
      </w:r>
    </w:p>
    <w:p w:rsidR="000728AD" w:rsidRDefault="000728AD">
      <w:pPr>
        <w:spacing w:line="170" w:lineRule="exact"/>
        <w:rPr>
          <w:sz w:val="20"/>
          <w:szCs w:val="20"/>
        </w:rPr>
      </w:pPr>
    </w:p>
    <w:p w:rsidR="000728AD" w:rsidRDefault="000561BE">
      <w:pPr>
        <w:spacing w:line="260" w:lineRule="auto"/>
        <w:ind w:right="320"/>
        <w:rPr>
          <w:sz w:val="20"/>
          <w:szCs w:val="20"/>
        </w:rPr>
      </w:pPr>
      <w:r>
        <w:rPr>
          <w:rFonts w:ascii="Arial" w:eastAsia="Arial" w:hAnsi="Arial" w:cs="Arial"/>
          <w:b/>
          <w:bCs/>
          <w:i/>
          <w:iCs/>
          <w:sz w:val="20"/>
          <w:szCs w:val="20"/>
        </w:rPr>
        <w:t>If our trademarks and trade names are not adequately protected, then we may not be able to build name recognition in our markets of interest and our business may be adversely affected.</w:t>
      </w:r>
    </w:p>
    <w:p w:rsidR="000728AD" w:rsidRDefault="000728AD">
      <w:pPr>
        <w:spacing w:line="177" w:lineRule="exact"/>
        <w:rPr>
          <w:sz w:val="20"/>
          <w:szCs w:val="20"/>
        </w:rPr>
      </w:pPr>
    </w:p>
    <w:p w:rsidR="000728AD" w:rsidRDefault="000561BE">
      <w:pPr>
        <w:spacing w:line="270" w:lineRule="auto"/>
        <w:rPr>
          <w:sz w:val="20"/>
          <w:szCs w:val="20"/>
        </w:rPr>
      </w:pPr>
      <w:r>
        <w:rPr>
          <w:rFonts w:ascii="Arial" w:eastAsia="Arial" w:hAnsi="Arial" w:cs="Arial"/>
          <w:sz w:val="18"/>
          <w:szCs w:val="18"/>
        </w:rPr>
        <w:t xml:space="preserve">Our </w:t>
      </w:r>
      <w:r>
        <w:rPr>
          <w:rFonts w:ascii="Arial" w:eastAsia="Arial" w:hAnsi="Arial" w:cs="Arial"/>
          <w:sz w:val="18"/>
          <w:szCs w:val="18"/>
        </w:rPr>
        <w:t>registered or unregistered trademarks or trade names may be challenged, infringed, circumvented or declared generic or determined to be infringing on other marks. We may not be able to protect our rights to these trademarks and trade names, which we need t</w:t>
      </w:r>
      <w:r>
        <w:rPr>
          <w:rFonts w:ascii="Arial" w:eastAsia="Arial" w:hAnsi="Arial" w:cs="Arial"/>
          <w:sz w:val="18"/>
          <w:szCs w:val="18"/>
        </w:rPr>
        <w:t>o build name recognition among potential partners or customers in our markets of interest. At times, competitors or other third parties may adopt trade names or trademarks similar to ours, thereby impeding our ability to build brand identity and possibly l</w:t>
      </w:r>
      <w:r>
        <w:rPr>
          <w:rFonts w:ascii="Arial" w:eastAsia="Arial" w:hAnsi="Arial" w:cs="Arial"/>
          <w:sz w:val="18"/>
          <w:szCs w:val="18"/>
        </w:rPr>
        <w:t>eading to market confusion. If we assert trademark infringement claims, a court may determine that the marks we have asserted are invalid or unenforceable, or that the party against whom we have asserted trademark infringement has superior rights to the ma</w:t>
      </w:r>
      <w:r>
        <w:rPr>
          <w:rFonts w:ascii="Arial" w:eastAsia="Arial" w:hAnsi="Arial" w:cs="Arial"/>
          <w:sz w:val="18"/>
          <w:szCs w:val="18"/>
        </w:rPr>
        <w:t xml:space="preserve">rks in question. In this case, we could ultimately be forced to cease use of such trademarks. In addition, there could be potential trade name or trademark infringement claims brought by owners of other registered trademarks or trademarks that incorporate </w:t>
      </w:r>
      <w:r>
        <w:rPr>
          <w:rFonts w:ascii="Arial" w:eastAsia="Arial" w:hAnsi="Arial" w:cs="Arial"/>
          <w:sz w:val="18"/>
          <w:szCs w:val="18"/>
        </w:rPr>
        <w:t>variations of our registered or unregistered trademarks or trade names. Over the long term, if we are unable to establish name recognition based on our trademarks and trade names, then we may not be able to compete effectively and our business may be adver</w:t>
      </w:r>
      <w:r>
        <w:rPr>
          <w:rFonts w:ascii="Arial" w:eastAsia="Arial" w:hAnsi="Arial" w:cs="Arial"/>
          <w:sz w:val="18"/>
          <w:szCs w:val="18"/>
        </w:rPr>
        <w:t>sely affected. Our efforts to enforce or protect our proprietary rights related to trademarks, trade secrets, domain names, copyrights or other intellectual property may be ineffective and could result in substantial costs and diversion of resources and co</w:t>
      </w:r>
      <w:r>
        <w:rPr>
          <w:rFonts w:ascii="Arial" w:eastAsia="Arial" w:hAnsi="Arial" w:cs="Arial"/>
          <w:sz w:val="18"/>
          <w:szCs w:val="18"/>
        </w:rPr>
        <w:t>uld adversely affect our business, financial condition, results of operations and prospects.</w:t>
      </w:r>
    </w:p>
    <w:p w:rsidR="000728AD" w:rsidRDefault="000728AD">
      <w:pPr>
        <w:spacing w:line="176" w:lineRule="exact"/>
        <w:rPr>
          <w:sz w:val="20"/>
          <w:szCs w:val="20"/>
        </w:rPr>
      </w:pPr>
    </w:p>
    <w:p w:rsidR="000728AD" w:rsidRDefault="000561BE">
      <w:pPr>
        <w:rPr>
          <w:sz w:val="20"/>
          <w:szCs w:val="20"/>
        </w:rPr>
      </w:pPr>
      <w:r>
        <w:rPr>
          <w:rFonts w:ascii="Arial" w:eastAsia="Arial" w:hAnsi="Arial" w:cs="Arial"/>
          <w:b/>
          <w:bCs/>
          <w:i/>
          <w:iCs/>
          <w:sz w:val="20"/>
          <w:szCs w:val="20"/>
        </w:rPr>
        <w:t>Intellectual property rights do not necessarily address all potential threats.</w:t>
      </w:r>
    </w:p>
    <w:p w:rsidR="000728AD" w:rsidRDefault="000728AD">
      <w:pPr>
        <w:spacing w:line="216" w:lineRule="exact"/>
        <w:rPr>
          <w:sz w:val="20"/>
          <w:szCs w:val="20"/>
        </w:rPr>
      </w:pPr>
    </w:p>
    <w:p w:rsidR="000728AD" w:rsidRDefault="000561BE">
      <w:pPr>
        <w:spacing w:line="287" w:lineRule="auto"/>
        <w:ind w:right="200"/>
        <w:rPr>
          <w:sz w:val="20"/>
          <w:szCs w:val="20"/>
        </w:rPr>
      </w:pPr>
      <w:r>
        <w:rPr>
          <w:rFonts w:ascii="Arial" w:eastAsia="Arial" w:hAnsi="Arial" w:cs="Arial"/>
          <w:sz w:val="19"/>
          <w:szCs w:val="19"/>
        </w:rPr>
        <w:t>The degree of future protection afforded by our intellectual property rights is un</w:t>
      </w:r>
      <w:r>
        <w:rPr>
          <w:rFonts w:ascii="Arial" w:eastAsia="Arial" w:hAnsi="Arial" w:cs="Arial"/>
          <w:sz w:val="19"/>
          <w:szCs w:val="19"/>
        </w:rPr>
        <w:t>certain because intellectual property rights have limitations and may not adequately protect our business or permit us to maintain our competitive advantage. For example:</w:t>
      </w:r>
    </w:p>
    <w:p w:rsidR="000728AD" w:rsidRDefault="000728AD">
      <w:pPr>
        <w:spacing w:line="179" w:lineRule="exact"/>
        <w:rPr>
          <w:sz w:val="20"/>
          <w:szCs w:val="20"/>
        </w:rPr>
      </w:pPr>
    </w:p>
    <w:p w:rsidR="000728AD" w:rsidRDefault="000561BE">
      <w:pPr>
        <w:numPr>
          <w:ilvl w:val="0"/>
          <w:numId w:val="31"/>
        </w:numPr>
        <w:tabs>
          <w:tab w:val="left" w:pos="655"/>
        </w:tabs>
        <w:spacing w:line="238" w:lineRule="auto"/>
        <w:ind w:left="660" w:right="180" w:hanging="328"/>
        <w:rPr>
          <w:rFonts w:ascii="Arial" w:eastAsia="Arial" w:hAnsi="Arial" w:cs="Arial"/>
        </w:rPr>
      </w:pPr>
      <w:r>
        <w:rPr>
          <w:rFonts w:ascii="Arial" w:eastAsia="Arial" w:hAnsi="Arial" w:cs="Arial"/>
          <w:sz w:val="20"/>
          <w:szCs w:val="20"/>
        </w:rPr>
        <w:t>others may be able to make products that are similar to our product candidates or ut</w:t>
      </w:r>
      <w:r>
        <w:rPr>
          <w:rFonts w:ascii="Arial" w:eastAsia="Arial" w:hAnsi="Arial" w:cs="Arial"/>
          <w:sz w:val="20"/>
          <w:szCs w:val="20"/>
        </w:rPr>
        <w:t>ilize similar technology but that are not covered by the claims of the patents that we may own;</w:t>
      </w:r>
    </w:p>
    <w:p w:rsidR="000728AD" w:rsidRDefault="000728AD">
      <w:pPr>
        <w:spacing w:line="169" w:lineRule="exact"/>
        <w:rPr>
          <w:rFonts w:ascii="Arial" w:eastAsia="Arial" w:hAnsi="Arial" w:cs="Arial"/>
        </w:rPr>
      </w:pPr>
    </w:p>
    <w:p w:rsidR="000728AD" w:rsidRDefault="000561BE">
      <w:pPr>
        <w:numPr>
          <w:ilvl w:val="0"/>
          <w:numId w:val="31"/>
        </w:numPr>
        <w:tabs>
          <w:tab w:val="left" w:pos="655"/>
        </w:tabs>
        <w:spacing w:line="238" w:lineRule="auto"/>
        <w:ind w:left="660" w:right="480" w:hanging="328"/>
        <w:rPr>
          <w:rFonts w:ascii="Arial" w:eastAsia="Arial" w:hAnsi="Arial" w:cs="Arial"/>
        </w:rPr>
      </w:pPr>
      <w:r>
        <w:rPr>
          <w:rFonts w:ascii="Arial" w:eastAsia="Arial" w:hAnsi="Arial" w:cs="Arial"/>
          <w:sz w:val="20"/>
          <w:szCs w:val="20"/>
        </w:rPr>
        <w:t>we, or our future licensors or collaborators, might not have been the first to make the inventions covered by the issued patent or pending patent application t</w:t>
      </w:r>
      <w:r>
        <w:rPr>
          <w:rFonts w:ascii="Arial" w:eastAsia="Arial" w:hAnsi="Arial" w:cs="Arial"/>
          <w:sz w:val="20"/>
          <w:szCs w:val="20"/>
        </w:rPr>
        <w:t>hat we own now or in the future;</w:t>
      </w:r>
    </w:p>
    <w:p w:rsidR="000728AD" w:rsidRDefault="000728AD">
      <w:pPr>
        <w:spacing w:line="169" w:lineRule="exact"/>
        <w:rPr>
          <w:rFonts w:ascii="Arial" w:eastAsia="Arial" w:hAnsi="Arial" w:cs="Arial"/>
        </w:rPr>
      </w:pPr>
    </w:p>
    <w:p w:rsidR="000728AD" w:rsidRDefault="000561BE">
      <w:pPr>
        <w:numPr>
          <w:ilvl w:val="0"/>
          <w:numId w:val="31"/>
        </w:numPr>
        <w:tabs>
          <w:tab w:val="left" w:pos="655"/>
        </w:tabs>
        <w:spacing w:line="238" w:lineRule="auto"/>
        <w:ind w:left="660" w:right="280" w:hanging="328"/>
        <w:rPr>
          <w:rFonts w:ascii="Arial" w:eastAsia="Arial" w:hAnsi="Arial" w:cs="Arial"/>
        </w:rPr>
      </w:pPr>
      <w:r>
        <w:rPr>
          <w:rFonts w:ascii="Arial" w:eastAsia="Arial" w:hAnsi="Arial" w:cs="Arial"/>
          <w:sz w:val="20"/>
          <w:szCs w:val="20"/>
        </w:rPr>
        <w:t>we, or our future licensors or collaborators, might not have been the first to file patent applications covering certain of our or their inventions;</w:t>
      </w:r>
    </w:p>
    <w:p w:rsidR="000728AD" w:rsidRDefault="000728AD">
      <w:pPr>
        <w:spacing w:line="169" w:lineRule="exact"/>
        <w:rPr>
          <w:rFonts w:ascii="Arial" w:eastAsia="Arial" w:hAnsi="Arial" w:cs="Arial"/>
        </w:rPr>
      </w:pPr>
    </w:p>
    <w:p w:rsidR="000728AD" w:rsidRDefault="000561BE">
      <w:pPr>
        <w:numPr>
          <w:ilvl w:val="0"/>
          <w:numId w:val="31"/>
        </w:numPr>
        <w:tabs>
          <w:tab w:val="left" w:pos="655"/>
        </w:tabs>
        <w:spacing w:line="238" w:lineRule="auto"/>
        <w:ind w:left="660" w:right="400" w:hanging="328"/>
        <w:rPr>
          <w:rFonts w:ascii="Arial" w:eastAsia="Arial" w:hAnsi="Arial" w:cs="Arial"/>
        </w:rPr>
      </w:pPr>
      <w:r>
        <w:rPr>
          <w:rFonts w:ascii="Arial" w:eastAsia="Arial" w:hAnsi="Arial" w:cs="Arial"/>
          <w:sz w:val="20"/>
          <w:szCs w:val="20"/>
        </w:rPr>
        <w:t xml:space="preserve">others may independently develop similar or alternative </w:t>
      </w:r>
      <w:r>
        <w:rPr>
          <w:rFonts w:ascii="Arial" w:eastAsia="Arial" w:hAnsi="Arial" w:cs="Arial"/>
          <w:sz w:val="20"/>
          <w:szCs w:val="20"/>
        </w:rPr>
        <w:t>technologies or duplicate any of our technologies without infringing our owned intellectual property rights;</w:t>
      </w:r>
    </w:p>
    <w:p w:rsidR="000728AD" w:rsidRDefault="000728AD">
      <w:pPr>
        <w:spacing w:line="166" w:lineRule="exact"/>
        <w:rPr>
          <w:rFonts w:ascii="Arial" w:eastAsia="Arial" w:hAnsi="Arial" w:cs="Arial"/>
        </w:rPr>
      </w:pPr>
    </w:p>
    <w:p w:rsidR="000728AD" w:rsidRDefault="000561BE">
      <w:pPr>
        <w:numPr>
          <w:ilvl w:val="0"/>
          <w:numId w:val="31"/>
        </w:numPr>
        <w:tabs>
          <w:tab w:val="left" w:pos="660"/>
        </w:tabs>
        <w:ind w:left="660" w:hanging="328"/>
        <w:rPr>
          <w:rFonts w:ascii="Arial" w:eastAsia="Arial" w:hAnsi="Arial" w:cs="Arial"/>
        </w:rPr>
      </w:pPr>
      <w:r>
        <w:rPr>
          <w:rFonts w:ascii="Arial" w:eastAsia="Arial" w:hAnsi="Arial" w:cs="Arial"/>
          <w:sz w:val="20"/>
          <w:szCs w:val="20"/>
        </w:rPr>
        <w:t>it is possible that our current or future pending owned patent applications will not lead to issued patents;</w:t>
      </w:r>
    </w:p>
    <w:p w:rsidR="000728AD" w:rsidRDefault="000728AD">
      <w:pPr>
        <w:spacing w:line="168" w:lineRule="exact"/>
        <w:rPr>
          <w:rFonts w:ascii="Arial" w:eastAsia="Arial" w:hAnsi="Arial" w:cs="Arial"/>
        </w:rPr>
      </w:pPr>
    </w:p>
    <w:p w:rsidR="000728AD" w:rsidRDefault="000561BE">
      <w:pPr>
        <w:numPr>
          <w:ilvl w:val="0"/>
          <w:numId w:val="31"/>
        </w:numPr>
        <w:tabs>
          <w:tab w:val="left" w:pos="655"/>
        </w:tabs>
        <w:spacing w:line="238" w:lineRule="auto"/>
        <w:ind w:left="660" w:right="960" w:hanging="328"/>
        <w:rPr>
          <w:rFonts w:ascii="Arial" w:eastAsia="Arial" w:hAnsi="Arial" w:cs="Arial"/>
        </w:rPr>
      </w:pPr>
      <w:r>
        <w:rPr>
          <w:rFonts w:ascii="Arial" w:eastAsia="Arial" w:hAnsi="Arial" w:cs="Arial"/>
          <w:sz w:val="20"/>
          <w:szCs w:val="20"/>
        </w:rPr>
        <w:t>issued patents that we hold rights t</w:t>
      </w:r>
      <w:r>
        <w:rPr>
          <w:rFonts w:ascii="Arial" w:eastAsia="Arial" w:hAnsi="Arial" w:cs="Arial"/>
          <w:sz w:val="20"/>
          <w:szCs w:val="20"/>
        </w:rPr>
        <w:t>o may be held invalid or unenforceable, including as a result of legal challenges by our competitors or other third parties;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93" w:lineRule="exact"/>
        <w:rPr>
          <w:sz w:val="20"/>
          <w:szCs w:val="20"/>
        </w:rPr>
      </w:pPr>
    </w:p>
    <w:p w:rsidR="000728AD" w:rsidRDefault="000561BE">
      <w:pPr>
        <w:ind w:right="-19"/>
        <w:jc w:val="center"/>
        <w:rPr>
          <w:sz w:val="20"/>
          <w:szCs w:val="20"/>
        </w:rPr>
      </w:pPr>
      <w:r>
        <w:rPr>
          <w:rFonts w:ascii="Arial" w:eastAsia="Arial" w:hAnsi="Arial" w:cs="Arial"/>
          <w:sz w:val="18"/>
          <w:szCs w:val="18"/>
        </w:rPr>
        <w:t>83</w:t>
      </w:r>
    </w:p>
    <w:p w:rsidR="000728AD" w:rsidRDefault="000561BE">
      <w:pPr>
        <w:spacing w:line="20" w:lineRule="exact"/>
        <w:rPr>
          <w:sz w:val="20"/>
          <w:szCs w:val="20"/>
        </w:rPr>
      </w:pPr>
      <w:r>
        <w:rPr>
          <w:noProof/>
          <w:sz w:val="20"/>
          <w:szCs w:val="20"/>
        </w:rPr>
        <w:drawing>
          <wp:anchor distT="0" distB="0" distL="114300" distR="114300" simplePos="0" relativeHeight="251693056"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59" w:bottom="1440" w:left="320" w:header="0" w:footer="0" w:gutter="0"/>
          <w:cols w:space="720" w:equalWidth="0">
            <w:col w:w="11220"/>
          </w:cols>
        </w:sectPr>
      </w:pPr>
    </w:p>
    <w:bookmarkStart w:id="84" w:name="page84"/>
    <w:bookmarkEnd w:id="84"/>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28" w:lineRule="exact"/>
        <w:rPr>
          <w:sz w:val="20"/>
          <w:szCs w:val="20"/>
        </w:rPr>
      </w:pPr>
    </w:p>
    <w:p w:rsidR="000728AD" w:rsidRDefault="000561BE">
      <w:pPr>
        <w:numPr>
          <w:ilvl w:val="0"/>
          <w:numId w:val="32"/>
        </w:numPr>
        <w:tabs>
          <w:tab w:val="left" w:pos="655"/>
        </w:tabs>
        <w:spacing w:line="238" w:lineRule="auto"/>
        <w:ind w:left="660" w:right="260" w:hanging="328"/>
        <w:jc w:val="both"/>
        <w:rPr>
          <w:rFonts w:ascii="Arial" w:eastAsia="Arial" w:hAnsi="Arial" w:cs="Arial"/>
        </w:rPr>
      </w:pPr>
      <w:r>
        <w:rPr>
          <w:rFonts w:ascii="Arial" w:eastAsia="Arial" w:hAnsi="Arial" w:cs="Arial"/>
          <w:sz w:val="20"/>
          <w:szCs w:val="20"/>
        </w:rPr>
        <w:t xml:space="preserve">our competitors or other third parties might </w:t>
      </w:r>
      <w:r>
        <w:rPr>
          <w:rFonts w:ascii="Arial" w:eastAsia="Arial" w:hAnsi="Arial" w:cs="Arial"/>
          <w:sz w:val="20"/>
          <w:szCs w:val="20"/>
        </w:rPr>
        <w:t>conduct research and development activities in countries where we do not have patent rights and then use the information learned from such activities to develop competitive products for sale in our major commercial markets;</w:t>
      </w:r>
    </w:p>
    <w:p w:rsidR="000728AD" w:rsidRDefault="000728AD">
      <w:pPr>
        <w:spacing w:line="167" w:lineRule="exact"/>
        <w:rPr>
          <w:rFonts w:ascii="Arial" w:eastAsia="Arial" w:hAnsi="Arial" w:cs="Arial"/>
        </w:rPr>
      </w:pPr>
    </w:p>
    <w:p w:rsidR="000728AD" w:rsidRDefault="000561BE">
      <w:pPr>
        <w:numPr>
          <w:ilvl w:val="0"/>
          <w:numId w:val="32"/>
        </w:numPr>
        <w:tabs>
          <w:tab w:val="left" w:pos="660"/>
        </w:tabs>
        <w:ind w:left="660" w:hanging="328"/>
        <w:rPr>
          <w:rFonts w:ascii="Arial" w:eastAsia="Arial" w:hAnsi="Arial" w:cs="Arial"/>
        </w:rPr>
      </w:pPr>
      <w:r>
        <w:rPr>
          <w:rFonts w:ascii="Arial" w:eastAsia="Arial" w:hAnsi="Arial" w:cs="Arial"/>
          <w:sz w:val="20"/>
          <w:szCs w:val="20"/>
        </w:rPr>
        <w:t>we may not develop additional p</w:t>
      </w:r>
      <w:r>
        <w:rPr>
          <w:rFonts w:ascii="Arial" w:eastAsia="Arial" w:hAnsi="Arial" w:cs="Arial"/>
          <w:sz w:val="20"/>
          <w:szCs w:val="20"/>
        </w:rPr>
        <w:t>roprietary technologies that are patentable;</w:t>
      </w:r>
    </w:p>
    <w:p w:rsidR="000728AD" w:rsidRDefault="000728AD">
      <w:pPr>
        <w:spacing w:line="165" w:lineRule="exact"/>
        <w:rPr>
          <w:rFonts w:ascii="Arial" w:eastAsia="Arial" w:hAnsi="Arial" w:cs="Arial"/>
        </w:rPr>
      </w:pPr>
    </w:p>
    <w:p w:rsidR="000728AD" w:rsidRDefault="000561BE">
      <w:pPr>
        <w:numPr>
          <w:ilvl w:val="0"/>
          <w:numId w:val="32"/>
        </w:numPr>
        <w:tabs>
          <w:tab w:val="left" w:pos="660"/>
        </w:tabs>
        <w:ind w:left="660" w:hanging="328"/>
        <w:rPr>
          <w:rFonts w:ascii="Arial" w:eastAsia="Arial" w:hAnsi="Arial" w:cs="Arial"/>
        </w:rPr>
      </w:pPr>
      <w:r>
        <w:rPr>
          <w:rFonts w:ascii="Arial" w:eastAsia="Arial" w:hAnsi="Arial" w:cs="Arial"/>
          <w:sz w:val="20"/>
          <w:szCs w:val="20"/>
        </w:rPr>
        <w:t>the patents of others may harm our business; and</w:t>
      </w:r>
    </w:p>
    <w:p w:rsidR="000728AD" w:rsidRDefault="000728AD">
      <w:pPr>
        <w:spacing w:line="168" w:lineRule="exact"/>
        <w:rPr>
          <w:rFonts w:ascii="Arial" w:eastAsia="Arial" w:hAnsi="Arial" w:cs="Arial"/>
        </w:rPr>
      </w:pPr>
    </w:p>
    <w:p w:rsidR="000728AD" w:rsidRDefault="000561BE">
      <w:pPr>
        <w:numPr>
          <w:ilvl w:val="0"/>
          <w:numId w:val="32"/>
        </w:numPr>
        <w:tabs>
          <w:tab w:val="left" w:pos="655"/>
        </w:tabs>
        <w:spacing w:line="238" w:lineRule="auto"/>
        <w:ind w:left="660" w:right="180" w:hanging="328"/>
        <w:rPr>
          <w:rFonts w:ascii="Arial" w:eastAsia="Arial" w:hAnsi="Arial" w:cs="Arial"/>
        </w:rPr>
      </w:pPr>
      <w:r>
        <w:rPr>
          <w:rFonts w:ascii="Arial" w:eastAsia="Arial" w:hAnsi="Arial" w:cs="Arial"/>
          <w:sz w:val="20"/>
          <w:szCs w:val="20"/>
        </w:rPr>
        <w:t>we may choose not to file a patent in order to maintain certain trade secrets or know-how, and a third party may subsequently file a patent covering such intell</w:t>
      </w:r>
      <w:r>
        <w:rPr>
          <w:rFonts w:ascii="Arial" w:eastAsia="Arial" w:hAnsi="Arial" w:cs="Arial"/>
          <w:sz w:val="20"/>
          <w:szCs w:val="20"/>
        </w:rPr>
        <w:t>ectual property.</w:t>
      </w:r>
    </w:p>
    <w:p w:rsidR="000728AD" w:rsidRDefault="000728AD">
      <w:pPr>
        <w:spacing w:line="196" w:lineRule="exact"/>
        <w:rPr>
          <w:sz w:val="20"/>
          <w:szCs w:val="20"/>
        </w:rPr>
      </w:pPr>
    </w:p>
    <w:p w:rsidR="000728AD" w:rsidRDefault="000561BE">
      <w:pPr>
        <w:spacing w:line="260" w:lineRule="auto"/>
        <w:ind w:right="340"/>
        <w:rPr>
          <w:sz w:val="20"/>
          <w:szCs w:val="20"/>
        </w:rPr>
      </w:pPr>
      <w:r>
        <w:rPr>
          <w:rFonts w:ascii="Arial" w:eastAsia="Arial" w:hAnsi="Arial" w:cs="Arial"/>
          <w:sz w:val="20"/>
          <w:szCs w:val="20"/>
        </w:rPr>
        <w:t>Should any of these events occur, they could have a material adverse effect on our business, financial condition, results of operations and prospects.</w:t>
      </w:r>
    </w:p>
    <w:p w:rsidR="000728AD" w:rsidRDefault="000728AD">
      <w:pPr>
        <w:spacing w:line="171" w:lineRule="exact"/>
        <w:rPr>
          <w:sz w:val="20"/>
          <w:szCs w:val="20"/>
        </w:rPr>
      </w:pPr>
    </w:p>
    <w:p w:rsidR="000728AD" w:rsidRDefault="000561BE">
      <w:pPr>
        <w:rPr>
          <w:sz w:val="20"/>
          <w:szCs w:val="20"/>
        </w:rPr>
      </w:pPr>
      <w:r>
        <w:rPr>
          <w:rFonts w:ascii="Arial" w:eastAsia="Arial" w:hAnsi="Arial" w:cs="Arial"/>
          <w:b/>
          <w:bCs/>
          <w:sz w:val="20"/>
          <w:szCs w:val="20"/>
        </w:rPr>
        <w:t>Risks Related to Our Reliance on Third Parties</w:t>
      </w:r>
    </w:p>
    <w:p w:rsidR="000728AD" w:rsidRDefault="000728AD">
      <w:pPr>
        <w:spacing w:line="222" w:lineRule="exact"/>
        <w:rPr>
          <w:sz w:val="20"/>
          <w:szCs w:val="20"/>
        </w:rPr>
      </w:pPr>
    </w:p>
    <w:p w:rsidR="000728AD" w:rsidRDefault="000561BE">
      <w:pPr>
        <w:spacing w:line="246" w:lineRule="auto"/>
        <w:ind w:right="140"/>
        <w:rPr>
          <w:sz w:val="20"/>
          <w:szCs w:val="20"/>
        </w:rPr>
      </w:pPr>
      <w:r>
        <w:rPr>
          <w:rFonts w:ascii="Arial" w:eastAsia="Arial" w:hAnsi="Arial" w:cs="Arial"/>
          <w:b/>
          <w:bCs/>
          <w:i/>
          <w:iCs/>
          <w:sz w:val="20"/>
          <w:szCs w:val="20"/>
        </w:rPr>
        <w:t>We rely on third parties to conduct ou</w:t>
      </w:r>
      <w:r>
        <w:rPr>
          <w:rFonts w:ascii="Arial" w:eastAsia="Arial" w:hAnsi="Arial" w:cs="Arial"/>
          <w:b/>
          <w:bCs/>
          <w:i/>
          <w:iCs/>
          <w:sz w:val="20"/>
          <w:szCs w:val="20"/>
        </w:rPr>
        <w:t>r Clinical Studies and Clinical Trials, and to assist us in meeting the regulatory requirements applicable to the development and marketing of our products. If these third parties do not successfully carry out their contractual duties or meet expected dead</w:t>
      </w:r>
      <w:r>
        <w:rPr>
          <w:rFonts w:ascii="Arial" w:eastAsia="Arial" w:hAnsi="Arial" w:cs="Arial"/>
          <w:b/>
          <w:bCs/>
          <w:i/>
          <w:iCs/>
          <w:sz w:val="20"/>
          <w:szCs w:val="20"/>
        </w:rPr>
        <w:t>lines or comply with regulatory requirements, we may not be able to obtain regulatory approval for or commercialize any potential product candidates.</w:t>
      </w:r>
    </w:p>
    <w:p w:rsidR="000728AD" w:rsidRDefault="000728AD">
      <w:pPr>
        <w:spacing w:line="191" w:lineRule="exact"/>
        <w:rPr>
          <w:sz w:val="20"/>
          <w:szCs w:val="20"/>
        </w:rPr>
      </w:pPr>
    </w:p>
    <w:p w:rsidR="000728AD" w:rsidRDefault="000561BE">
      <w:pPr>
        <w:spacing w:line="260" w:lineRule="auto"/>
        <w:ind w:right="100"/>
        <w:rPr>
          <w:sz w:val="20"/>
          <w:szCs w:val="20"/>
        </w:rPr>
      </w:pPr>
      <w:r>
        <w:rPr>
          <w:rFonts w:ascii="Arial" w:eastAsia="Arial" w:hAnsi="Arial" w:cs="Arial"/>
          <w:sz w:val="20"/>
          <w:szCs w:val="20"/>
        </w:rPr>
        <w:t xml:space="preserve">We depend upon third parties to conduct preclinical studies, Clinical Studies and Clinical Trials. We </w:t>
      </w:r>
      <w:r>
        <w:rPr>
          <w:rFonts w:ascii="Arial" w:eastAsia="Arial" w:hAnsi="Arial" w:cs="Arial"/>
          <w:sz w:val="20"/>
          <w:szCs w:val="20"/>
        </w:rPr>
        <w:t>expect to have to negotiate budgets and contracts with CROs, which may result in delays to our development timelines and increased costs.</w:t>
      </w:r>
    </w:p>
    <w:p w:rsidR="000728AD" w:rsidRDefault="000728AD">
      <w:pPr>
        <w:spacing w:line="177" w:lineRule="exact"/>
        <w:rPr>
          <w:sz w:val="20"/>
          <w:szCs w:val="20"/>
        </w:rPr>
      </w:pPr>
    </w:p>
    <w:p w:rsidR="000728AD" w:rsidRDefault="000561BE">
      <w:pPr>
        <w:spacing w:line="254" w:lineRule="auto"/>
        <w:rPr>
          <w:sz w:val="20"/>
          <w:szCs w:val="20"/>
        </w:rPr>
      </w:pPr>
      <w:r>
        <w:rPr>
          <w:rFonts w:ascii="Arial" w:eastAsia="Arial" w:hAnsi="Arial" w:cs="Arial"/>
          <w:sz w:val="19"/>
          <w:szCs w:val="19"/>
        </w:rPr>
        <w:t>We have heavily relied upon, and will continue to heavily rely upon, third parties over the course of our Clinical St</w:t>
      </w:r>
      <w:r>
        <w:rPr>
          <w:rFonts w:ascii="Arial" w:eastAsia="Arial" w:hAnsi="Arial" w:cs="Arial"/>
          <w:sz w:val="19"/>
          <w:szCs w:val="19"/>
        </w:rPr>
        <w:t>udies and Clinical Trials. As a result, we will have limited control over and limited visibility into their day-to-day activities, including with respect to their compliance with the approved clinical protocol. Nevertheless, we are responsible for ensuring</w:t>
      </w:r>
      <w:r>
        <w:rPr>
          <w:rFonts w:ascii="Arial" w:eastAsia="Arial" w:hAnsi="Arial" w:cs="Arial"/>
          <w:sz w:val="19"/>
          <w:szCs w:val="19"/>
        </w:rPr>
        <w:t xml:space="preserve"> that each of our Clinical Studies and Clinical Trials is conducted in accordance with the applicable protocol, legal and regulatory requirements and scientific standards, and our reliance on third parties does not relieve us of our regulatory responsibili</w:t>
      </w:r>
      <w:r>
        <w:rPr>
          <w:rFonts w:ascii="Arial" w:eastAsia="Arial" w:hAnsi="Arial" w:cs="Arial"/>
          <w:sz w:val="19"/>
          <w:szCs w:val="19"/>
        </w:rPr>
        <w:t>ties. We and these third parties are required to comply with, among other things, GCP requirements, which are regulations and guidelines enforced by the FDA and comparable foreign regulatory authorities for product candidates in clinical development. Regul</w:t>
      </w:r>
      <w:r>
        <w:rPr>
          <w:rFonts w:ascii="Arial" w:eastAsia="Arial" w:hAnsi="Arial" w:cs="Arial"/>
          <w:sz w:val="19"/>
          <w:szCs w:val="19"/>
        </w:rPr>
        <w:t>atory authorities enforce these GCP requirements through periodic inspections of study or trial sponsors, clinical investigators and trial sites. If we or any of these third parties fail to comply with applicable GCP requirements, the clinical data generat</w:t>
      </w:r>
      <w:r>
        <w:rPr>
          <w:rFonts w:ascii="Arial" w:eastAsia="Arial" w:hAnsi="Arial" w:cs="Arial"/>
          <w:sz w:val="19"/>
          <w:szCs w:val="19"/>
        </w:rPr>
        <w:t xml:space="preserve">ed in our Clinical Studies or Clinical Trials may be deemed insufficient or unreliable and the FDA or comparable foreign regulatory authorities may require us to suspend or terminate these Clinical Studies or Clinical Trials or perform additional Clinical </w:t>
      </w:r>
      <w:r>
        <w:rPr>
          <w:rFonts w:ascii="Arial" w:eastAsia="Arial" w:hAnsi="Arial" w:cs="Arial"/>
          <w:sz w:val="19"/>
          <w:szCs w:val="19"/>
        </w:rPr>
        <w:t>Studies or Clinical Trials before approving or otherwise permitting our marketing applications. We cannot be certain that, upon inspection, such regulatory authorities will determine that any of our Clinical Studies or Clinical Trials comply with applicabl</w:t>
      </w:r>
      <w:r>
        <w:rPr>
          <w:rFonts w:ascii="Arial" w:eastAsia="Arial" w:hAnsi="Arial" w:cs="Arial"/>
          <w:sz w:val="19"/>
          <w:szCs w:val="19"/>
        </w:rPr>
        <w:t>e regulatory requirements. In addition, our Clinical Trials for therapeutic indications must be conducted with drug products produced under cGMP requirements and may require a large number of patients.</w:t>
      </w:r>
    </w:p>
    <w:p w:rsidR="000728AD" w:rsidRDefault="000728AD">
      <w:pPr>
        <w:spacing w:line="192" w:lineRule="exact"/>
        <w:rPr>
          <w:sz w:val="20"/>
          <w:szCs w:val="20"/>
        </w:rPr>
      </w:pPr>
    </w:p>
    <w:p w:rsidR="000728AD" w:rsidRDefault="000561BE">
      <w:pPr>
        <w:spacing w:line="246" w:lineRule="auto"/>
        <w:ind w:right="160"/>
        <w:rPr>
          <w:sz w:val="20"/>
          <w:szCs w:val="20"/>
        </w:rPr>
      </w:pPr>
      <w:r>
        <w:rPr>
          <w:rFonts w:ascii="Arial" w:eastAsia="Arial" w:hAnsi="Arial" w:cs="Arial"/>
          <w:sz w:val="20"/>
          <w:szCs w:val="20"/>
        </w:rPr>
        <w:t xml:space="preserve">Our failure or any failure by these third </w:t>
      </w:r>
      <w:r>
        <w:rPr>
          <w:rFonts w:ascii="Arial" w:eastAsia="Arial" w:hAnsi="Arial" w:cs="Arial"/>
          <w:sz w:val="20"/>
          <w:szCs w:val="20"/>
        </w:rPr>
        <w:t>parties to comply with these regulations may require us to repeat Clinical Studies or Clinical Trials, which would delay the regulatory approval or commercialization process. Moreover, our business may be implicated if any of these third parties violates f</w:t>
      </w:r>
      <w:r>
        <w:rPr>
          <w:rFonts w:ascii="Arial" w:eastAsia="Arial" w:hAnsi="Arial" w:cs="Arial"/>
          <w:sz w:val="20"/>
          <w:szCs w:val="20"/>
        </w:rPr>
        <w:t>ederal or state laws or regulations including fraud and abuse or false claims laws and regulations or healthcare privacy and security laws even without our prior knowledge.</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8" w:lineRule="exact"/>
        <w:rPr>
          <w:sz w:val="20"/>
          <w:szCs w:val="20"/>
        </w:rPr>
      </w:pPr>
    </w:p>
    <w:p w:rsidR="000728AD" w:rsidRDefault="000561BE">
      <w:pPr>
        <w:ind w:right="-39"/>
        <w:jc w:val="center"/>
        <w:rPr>
          <w:sz w:val="20"/>
          <w:szCs w:val="20"/>
        </w:rPr>
      </w:pPr>
      <w:r>
        <w:rPr>
          <w:rFonts w:ascii="Arial" w:eastAsia="Arial" w:hAnsi="Arial" w:cs="Arial"/>
          <w:sz w:val="18"/>
          <w:szCs w:val="18"/>
        </w:rPr>
        <w:t>84</w:t>
      </w:r>
    </w:p>
    <w:p w:rsidR="000728AD" w:rsidRDefault="000561BE">
      <w:pPr>
        <w:spacing w:line="20" w:lineRule="exact"/>
        <w:rPr>
          <w:sz w:val="20"/>
          <w:szCs w:val="20"/>
        </w:rPr>
      </w:pPr>
      <w:r>
        <w:rPr>
          <w:noProof/>
          <w:sz w:val="20"/>
          <w:szCs w:val="20"/>
        </w:rPr>
        <w:drawing>
          <wp:anchor distT="0" distB="0" distL="114300" distR="114300" simplePos="0" relativeHeight="251694080"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79" w:bottom="1440" w:left="320" w:header="0" w:footer="0" w:gutter="0"/>
          <w:cols w:space="720" w:equalWidth="0">
            <w:col w:w="11200"/>
          </w:cols>
        </w:sectPr>
      </w:pPr>
    </w:p>
    <w:bookmarkStart w:id="85" w:name="page85"/>
    <w:bookmarkEnd w:id="85"/>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71" w:lineRule="auto"/>
        <w:ind w:right="100"/>
        <w:rPr>
          <w:sz w:val="20"/>
          <w:szCs w:val="20"/>
        </w:rPr>
      </w:pPr>
      <w:r>
        <w:rPr>
          <w:rFonts w:ascii="Arial" w:eastAsia="Arial" w:hAnsi="Arial" w:cs="Arial"/>
          <w:sz w:val="18"/>
          <w:szCs w:val="18"/>
        </w:rPr>
        <w:t>Any pa</w:t>
      </w:r>
      <w:r>
        <w:rPr>
          <w:rFonts w:ascii="Arial" w:eastAsia="Arial" w:hAnsi="Arial" w:cs="Arial"/>
          <w:sz w:val="18"/>
          <w:szCs w:val="18"/>
        </w:rPr>
        <w:t>rties conducting our Clinical Studies or Clinical Trials, if any, generally will not be our employees and, except for remedies that may be available to us under our agreements with the third parties conducting such Clinical Studies or Clinical Trials, if a</w:t>
      </w:r>
      <w:r>
        <w:rPr>
          <w:rFonts w:ascii="Arial" w:eastAsia="Arial" w:hAnsi="Arial" w:cs="Arial"/>
          <w:sz w:val="18"/>
          <w:szCs w:val="18"/>
        </w:rPr>
        <w:t>ny, we cannot directly control whether or not they devote sufficient time and resources to our ongoing preclinical and clinical programs. These third parties may also have relationships with other commercial entities, including our competitors, for whom th</w:t>
      </w:r>
      <w:r>
        <w:rPr>
          <w:rFonts w:ascii="Arial" w:eastAsia="Arial" w:hAnsi="Arial" w:cs="Arial"/>
          <w:sz w:val="18"/>
          <w:szCs w:val="18"/>
        </w:rPr>
        <w:t xml:space="preserve">ey may also be conducting Clinical Studies or Clinical Trials or other product development activities, which could affect their performance on our behalf. If these third parties do not successfully carry out their contractual duties or obligations or meet </w:t>
      </w:r>
      <w:r>
        <w:rPr>
          <w:rFonts w:ascii="Arial" w:eastAsia="Arial" w:hAnsi="Arial" w:cs="Arial"/>
          <w:sz w:val="18"/>
          <w:szCs w:val="18"/>
        </w:rPr>
        <w:t>expected deadlines, such as due to the impacts of the COVID-19 pandemic, if they need to be replaced or if the quality or accuracy of the clinical data they obtain is compromised due to the failure to adhere to our clinical protocols or regulatory requirem</w:t>
      </w:r>
      <w:r>
        <w:rPr>
          <w:rFonts w:ascii="Arial" w:eastAsia="Arial" w:hAnsi="Arial" w:cs="Arial"/>
          <w:sz w:val="18"/>
          <w:szCs w:val="18"/>
        </w:rPr>
        <w:t>ents or for other reasons, our Clinical Studies and Clinical Trials may be extended, delayed or terminated and we may not be able to complete development of, obtain regulatory approval of or successfully commercialize our product candidates. As a result, o</w:t>
      </w:r>
      <w:r>
        <w:rPr>
          <w:rFonts w:ascii="Arial" w:eastAsia="Arial" w:hAnsi="Arial" w:cs="Arial"/>
          <w:sz w:val="18"/>
          <w:szCs w:val="18"/>
        </w:rPr>
        <w:t>ur financial results and the commercial prospects for our product candidates would be harmed, our costs could increase and our ability to generate revenue could be delayed.</w:t>
      </w:r>
    </w:p>
    <w:p w:rsidR="000728AD" w:rsidRDefault="000728AD">
      <w:pPr>
        <w:spacing w:line="170" w:lineRule="exact"/>
        <w:rPr>
          <w:sz w:val="20"/>
          <w:szCs w:val="20"/>
        </w:rPr>
      </w:pPr>
    </w:p>
    <w:p w:rsidR="000728AD" w:rsidRDefault="000561BE">
      <w:pPr>
        <w:spacing w:line="257" w:lineRule="auto"/>
        <w:ind w:right="80"/>
        <w:rPr>
          <w:sz w:val="20"/>
          <w:szCs w:val="20"/>
        </w:rPr>
      </w:pPr>
      <w:r>
        <w:rPr>
          <w:rFonts w:ascii="Arial" w:eastAsia="Arial" w:hAnsi="Arial" w:cs="Arial"/>
          <w:sz w:val="19"/>
          <w:szCs w:val="19"/>
        </w:rPr>
        <w:t>If any of our relationships with these third-party CROs or others terminate, we ma</w:t>
      </w:r>
      <w:r>
        <w:rPr>
          <w:rFonts w:ascii="Arial" w:eastAsia="Arial" w:hAnsi="Arial" w:cs="Arial"/>
          <w:sz w:val="19"/>
          <w:szCs w:val="19"/>
        </w:rPr>
        <w:t>y not be able to enter into contractual and other arrangements with alternative CROs or other third parties in a timely manner to meet projected clinical development deadlines or to do so on commercially reasonable terms. Switching or adding additional CRO</w:t>
      </w:r>
      <w:r>
        <w:rPr>
          <w:rFonts w:ascii="Arial" w:eastAsia="Arial" w:hAnsi="Arial" w:cs="Arial"/>
          <w:sz w:val="19"/>
          <w:szCs w:val="19"/>
        </w:rPr>
        <w:t>s involves additional cost and requires management time and focus. In addition, there is a natural transition period when a new CRO begins work. As a result, delays may occur, which can materially impact our ability to meet our desired clinical development</w:t>
      </w:r>
      <w:r>
        <w:rPr>
          <w:rFonts w:ascii="Arial" w:eastAsia="Arial" w:hAnsi="Arial" w:cs="Arial"/>
          <w:sz w:val="19"/>
          <w:szCs w:val="19"/>
        </w:rPr>
        <w:t xml:space="preserve"> timelines. Though we carefully manage our relationships with our CROs, there can be no assurance that we will not encounter similar challenges or delays in the future or that these delays or challenges will not have a material adverse impact on our busine</w:t>
      </w:r>
      <w:r>
        <w:rPr>
          <w:rFonts w:ascii="Arial" w:eastAsia="Arial" w:hAnsi="Arial" w:cs="Arial"/>
          <w:sz w:val="19"/>
          <w:szCs w:val="19"/>
        </w:rPr>
        <w:t>ss, financial condition and prospects.</w:t>
      </w:r>
    </w:p>
    <w:p w:rsidR="000728AD" w:rsidRDefault="000728AD">
      <w:pPr>
        <w:spacing w:line="185" w:lineRule="exact"/>
        <w:rPr>
          <w:sz w:val="20"/>
          <w:szCs w:val="20"/>
        </w:rPr>
      </w:pPr>
    </w:p>
    <w:p w:rsidR="000728AD" w:rsidRDefault="000561BE">
      <w:pPr>
        <w:spacing w:line="246" w:lineRule="auto"/>
        <w:ind w:right="40"/>
        <w:rPr>
          <w:sz w:val="20"/>
          <w:szCs w:val="20"/>
        </w:rPr>
      </w:pPr>
      <w:r>
        <w:rPr>
          <w:rFonts w:ascii="Arial" w:eastAsia="Arial" w:hAnsi="Arial" w:cs="Arial"/>
          <w:sz w:val="20"/>
          <w:szCs w:val="20"/>
        </w:rPr>
        <w:t xml:space="preserve">Further, we expect to work with and/or rely upon third-party CROs and/or regulatory consultants to assist us with meeting regulatory requirements applicable to non-drug products. If we experience delays in </w:t>
      </w:r>
      <w:r>
        <w:rPr>
          <w:rFonts w:ascii="Arial" w:eastAsia="Arial" w:hAnsi="Arial" w:cs="Arial"/>
          <w:sz w:val="20"/>
          <w:szCs w:val="20"/>
        </w:rPr>
        <w:t>meeting or fail to meet the regulatory requirements for commercialization of our product candidates, the commercial prospects for our product candidates may be harmed and our ability to generate revenues will be materially impaired.</w:t>
      </w:r>
    </w:p>
    <w:p w:rsidR="000728AD" w:rsidRDefault="000728AD">
      <w:pPr>
        <w:spacing w:line="191" w:lineRule="exact"/>
        <w:rPr>
          <w:sz w:val="20"/>
          <w:szCs w:val="20"/>
        </w:rPr>
      </w:pPr>
    </w:p>
    <w:p w:rsidR="000728AD" w:rsidRDefault="000561BE">
      <w:pPr>
        <w:spacing w:line="246" w:lineRule="auto"/>
        <w:ind w:right="220"/>
        <w:rPr>
          <w:sz w:val="20"/>
          <w:szCs w:val="20"/>
        </w:rPr>
      </w:pPr>
      <w:r>
        <w:rPr>
          <w:rFonts w:ascii="Arial" w:eastAsia="Arial" w:hAnsi="Arial" w:cs="Arial"/>
          <w:b/>
          <w:bCs/>
          <w:i/>
          <w:iCs/>
          <w:sz w:val="20"/>
          <w:szCs w:val="20"/>
        </w:rPr>
        <w:t>We may rely on academi</w:t>
      </w:r>
      <w:r>
        <w:rPr>
          <w:rFonts w:ascii="Arial" w:eastAsia="Arial" w:hAnsi="Arial" w:cs="Arial"/>
          <w:b/>
          <w:bCs/>
          <w:i/>
          <w:iCs/>
          <w:sz w:val="20"/>
          <w:szCs w:val="20"/>
        </w:rPr>
        <w:t>c and private non-academic institutions to conduct investigator-sponsored Clinical Studies or Clinical Trials of our product candidates. Any failure by the investigator-sponsor to meet its obligations with respect to the clinical development of our product</w:t>
      </w:r>
      <w:r>
        <w:rPr>
          <w:rFonts w:ascii="Arial" w:eastAsia="Arial" w:hAnsi="Arial" w:cs="Arial"/>
          <w:b/>
          <w:bCs/>
          <w:i/>
          <w:iCs/>
          <w:sz w:val="20"/>
          <w:szCs w:val="20"/>
        </w:rPr>
        <w:t xml:space="preserve"> candidates may delay or impair our ability to obtain regulatory approval or otherwise commercialize the applicable product candidates.</w:t>
      </w:r>
    </w:p>
    <w:p w:rsidR="000728AD" w:rsidRDefault="000728AD">
      <w:pPr>
        <w:spacing w:line="191" w:lineRule="exact"/>
        <w:rPr>
          <w:sz w:val="20"/>
          <w:szCs w:val="20"/>
        </w:rPr>
      </w:pPr>
    </w:p>
    <w:p w:rsidR="000728AD" w:rsidRDefault="000561BE">
      <w:pPr>
        <w:spacing w:line="243" w:lineRule="auto"/>
        <w:ind w:right="100"/>
        <w:rPr>
          <w:sz w:val="20"/>
          <w:szCs w:val="20"/>
        </w:rPr>
      </w:pPr>
      <w:r>
        <w:rPr>
          <w:rFonts w:ascii="Arial" w:eastAsia="Arial" w:hAnsi="Arial" w:cs="Arial"/>
          <w:sz w:val="20"/>
          <w:szCs w:val="20"/>
        </w:rPr>
        <w:t>We may rely on academic and private non-academic institutions to conduct and sponsor Clinical Studies or Clinical Trial</w:t>
      </w:r>
      <w:r>
        <w:rPr>
          <w:rFonts w:ascii="Arial" w:eastAsia="Arial" w:hAnsi="Arial" w:cs="Arial"/>
          <w:sz w:val="20"/>
          <w:szCs w:val="20"/>
        </w:rPr>
        <w:t xml:space="preserve">s relating to our product candidates. We will not control the design or conduct of the investigator-sponsored trials, and it is possible that the FDA or comparable foreign regulatory authorities will not view these investigator-sponsored studies or trials </w:t>
      </w:r>
      <w:r>
        <w:rPr>
          <w:rFonts w:ascii="Arial" w:eastAsia="Arial" w:hAnsi="Arial" w:cs="Arial"/>
          <w:sz w:val="20"/>
          <w:szCs w:val="20"/>
        </w:rPr>
        <w:t>as providing adequate support to allow for the initiation of Clinical Trials for those product candidates that we choose to develop as drug product candidates, whether controlled by us or independent investigators, for any one or more reasons, including el</w:t>
      </w:r>
      <w:r>
        <w:rPr>
          <w:rFonts w:ascii="Arial" w:eastAsia="Arial" w:hAnsi="Arial" w:cs="Arial"/>
          <w:sz w:val="20"/>
          <w:szCs w:val="20"/>
        </w:rPr>
        <w:t>ements of the design or execution of the trials or safety concerns or other trial results.</w:t>
      </w:r>
    </w:p>
    <w:p w:rsidR="000728AD" w:rsidRDefault="000728AD">
      <w:pPr>
        <w:spacing w:line="196" w:lineRule="exact"/>
        <w:rPr>
          <w:sz w:val="20"/>
          <w:szCs w:val="20"/>
        </w:rPr>
      </w:pPr>
    </w:p>
    <w:p w:rsidR="000728AD" w:rsidRDefault="000561BE">
      <w:pPr>
        <w:spacing w:line="256" w:lineRule="auto"/>
        <w:rPr>
          <w:sz w:val="20"/>
          <w:szCs w:val="20"/>
        </w:rPr>
      </w:pPr>
      <w:r>
        <w:rPr>
          <w:rFonts w:ascii="Arial" w:eastAsia="Arial" w:hAnsi="Arial" w:cs="Arial"/>
          <w:sz w:val="19"/>
          <w:szCs w:val="19"/>
        </w:rPr>
        <w:t>Such arrangements will likely provide us certain information rights with respect to the investigator-sponsored studies or trials, including access to and the abilit</w:t>
      </w:r>
      <w:r>
        <w:rPr>
          <w:rFonts w:ascii="Arial" w:eastAsia="Arial" w:hAnsi="Arial" w:cs="Arial"/>
          <w:sz w:val="19"/>
          <w:szCs w:val="19"/>
        </w:rPr>
        <w:t>y to use and reference the data, including for our own regulatory filings, resulting from the investigator-sponsored studies or trials. However, we would not have control over the timing and reporting of the data from investigator-sponsored trials, nor wou</w:t>
      </w:r>
      <w:r>
        <w:rPr>
          <w:rFonts w:ascii="Arial" w:eastAsia="Arial" w:hAnsi="Arial" w:cs="Arial"/>
          <w:sz w:val="19"/>
          <w:szCs w:val="19"/>
        </w:rPr>
        <w:t>ld we own the data from the investigator-sponsored studies or trials. If we are unable to confirm or replicate the results from the investigator-sponsored studies or trials or if negative results are obtained, we would likely be further delayed or prevente</w:t>
      </w:r>
      <w:r>
        <w:rPr>
          <w:rFonts w:ascii="Arial" w:eastAsia="Arial" w:hAnsi="Arial" w:cs="Arial"/>
          <w:sz w:val="19"/>
          <w:szCs w:val="19"/>
        </w:rPr>
        <w:t>d from advancing further clinical development of our product candidates. Further, if investigators or institutions breach their obligations with respect to the clinical development of our product candidates or if the data proves to be inadequate compared t</w:t>
      </w:r>
      <w:r>
        <w:rPr>
          <w:rFonts w:ascii="Arial" w:eastAsia="Arial" w:hAnsi="Arial" w:cs="Arial"/>
          <w:sz w:val="19"/>
          <w:szCs w:val="19"/>
        </w:rPr>
        <w:t>o the first-hand knowledge we might have gained had the investigator-sponsored studies or trials been sponsored and conducted by us, then our ability to design and conduct any Clinical Trials ourselves may be adversely affected.</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1" w:lineRule="exact"/>
        <w:rPr>
          <w:sz w:val="20"/>
          <w:szCs w:val="20"/>
        </w:rPr>
      </w:pPr>
    </w:p>
    <w:p w:rsidR="000728AD" w:rsidRDefault="000561BE">
      <w:pPr>
        <w:jc w:val="center"/>
        <w:rPr>
          <w:sz w:val="20"/>
          <w:szCs w:val="20"/>
        </w:rPr>
      </w:pPr>
      <w:r>
        <w:rPr>
          <w:rFonts w:ascii="Arial" w:eastAsia="Arial" w:hAnsi="Arial" w:cs="Arial"/>
          <w:sz w:val="18"/>
          <w:szCs w:val="18"/>
        </w:rPr>
        <w:t>85</w:t>
      </w:r>
    </w:p>
    <w:p w:rsidR="000728AD" w:rsidRDefault="000561BE">
      <w:pPr>
        <w:spacing w:line="20" w:lineRule="exact"/>
        <w:rPr>
          <w:sz w:val="20"/>
          <w:szCs w:val="20"/>
        </w:rPr>
      </w:pPr>
      <w:r>
        <w:rPr>
          <w:noProof/>
          <w:sz w:val="20"/>
          <w:szCs w:val="20"/>
        </w:rPr>
        <w:drawing>
          <wp:anchor distT="0" distB="0" distL="114300" distR="114300" simplePos="0" relativeHeight="251695104"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86" w:name="page86"/>
    <w:bookmarkEnd w:id="86"/>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59" w:lineRule="auto"/>
        <w:ind w:right="400"/>
        <w:rPr>
          <w:sz w:val="20"/>
          <w:szCs w:val="20"/>
        </w:rPr>
      </w:pPr>
      <w:r>
        <w:rPr>
          <w:rFonts w:ascii="Arial" w:eastAsia="Arial" w:hAnsi="Arial" w:cs="Arial"/>
          <w:sz w:val="19"/>
          <w:szCs w:val="19"/>
        </w:rPr>
        <w:t>Additionally, the FDA or comparable foreign regulatory authorities may disagree with the sufficiency of our right of reference to the preclinical, manufacturing or clinical data generated by these investiga</w:t>
      </w:r>
      <w:r>
        <w:rPr>
          <w:rFonts w:ascii="Arial" w:eastAsia="Arial" w:hAnsi="Arial" w:cs="Arial"/>
          <w:sz w:val="19"/>
          <w:szCs w:val="19"/>
        </w:rPr>
        <w:t xml:space="preserve">tor-sponsored studies or trials or our interpretation of preclinical, manufacturing or clinical data from these investigator-sponsored studies or trials. If so, the FDA or other comparable foreign regulatory authorities may require us to obtain and submit </w:t>
      </w:r>
      <w:r>
        <w:rPr>
          <w:rFonts w:ascii="Arial" w:eastAsia="Arial" w:hAnsi="Arial" w:cs="Arial"/>
          <w:sz w:val="19"/>
          <w:szCs w:val="19"/>
        </w:rPr>
        <w:t>additional preclinical, manufacturing or clinical data before we may initiate our Clinical Trials or may not accept such additional data as adequate to initiate our Clinical Trials. In addition, it could limit or prevent our ability to commercialize produc</w:t>
      </w:r>
      <w:r>
        <w:rPr>
          <w:rFonts w:ascii="Arial" w:eastAsia="Arial" w:hAnsi="Arial" w:cs="Arial"/>
          <w:sz w:val="19"/>
          <w:szCs w:val="19"/>
        </w:rPr>
        <w:t>t candidates for non-drug uses.</w:t>
      </w:r>
    </w:p>
    <w:p w:rsidR="000728AD" w:rsidRDefault="000728AD">
      <w:pPr>
        <w:spacing w:line="178" w:lineRule="exact"/>
        <w:rPr>
          <w:sz w:val="20"/>
          <w:szCs w:val="20"/>
        </w:rPr>
      </w:pPr>
    </w:p>
    <w:p w:rsidR="000728AD" w:rsidRDefault="000561BE">
      <w:pPr>
        <w:spacing w:line="260" w:lineRule="auto"/>
        <w:ind w:right="280"/>
        <w:rPr>
          <w:sz w:val="20"/>
          <w:szCs w:val="20"/>
        </w:rPr>
      </w:pPr>
      <w:r>
        <w:rPr>
          <w:rFonts w:ascii="Arial" w:eastAsia="Arial" w:hAnsi="Arial" w:cs="Arial"/>
          <w:b/>
          <w:bCs/>
          <w:i/>
          <w:iCs/>
          <w:sz w:val="20"/>
          <w:szCs w:val="20"/>
        </w:rPr>
        <w:t>Third-party relationships are important to our business. If we are unable to enter into and maintain strategic collaborations or if these relationships are not successful, our business could be adversely affected.</w:t>
      </w:r>
    </w:p>
    <w:p w:rsidR="000728AD" w:rsidRDefault="000728AD">
      <w:pPr>
        <w:spacing w:line="177" w:lineRule="exact"/>
        <w:rPr>
          <w:sz w:val="20"/>
          <w:szCs w:val="20"/>
        </w:rPr>
      </w:pPr>
    </w:p>
    <w:p w:rsidR="000728AD" w:rsidRDefault="000561BE">
      <w:pPr>
        <w:spacing w:line="246" w:lineRule="auto"/>
        <w:rPr>
          <w:sz w:val="20"/>
          <w:szCs w:val="20"/>
        </w:rPr>
      </w:pPr>
      <w:r>
        <w:rPr>
          <w:rFonts w:ascii="Arial" w:eastAsia="Arial" w:hAnsi="Arial" w:cs="Arial"/>
          <w:sz w:val="20"/>
          <w:szCs w:val="20"/>
        </w:rPr>
        <w:t xml:space="preserve">We </w:t>
      </w:r>
      <w:r>
        <w:rPr>
          <w:rFonts w:ascii="Arial" w:eastAsia="Arial" w:hAnsi="Arial" w:cs="Arial"/>
          <w:sz w:val="20"/>
          <w:szCs w:val="20"/>
        </w:rPr>
        <w:t>have limited capabilities for product development and do not yet have any capability for sales, marketing or distribution. Accordingly, we may need to enter into relationships with other companies to provide us with important technologies, services and res</w:t>
      </w:r>
      <w:r>
        <w:rPr>
          <w:rFonts w:ascii="Arial" w:eastAsia="Arial" w:hAnsi="Arial" w:cs="Arial"/>
          <w:sz w:val="20"/>
          <w:szCs w:val="20"/>
        </w:rPr>
        <w:t>ources and we may receive additional technologies and funding under these and other collaborations in the future. Relationships we enter into may pose a number of risks, including the following:</w:t>
      </w:r>
    </w:p>
    <w:p w:rsidR="000728AD" w:rsidRDefault="000728AD">
      <w:pPr>
        <w:spacing w:line="218" w:lineRule="exact"/>
        <w:rPr>
          <w:sz w:val="20"/>
          <w:szCs w:val="20"/>
        </w:rPr>
      </w:pPr>
    </w:p>
    <w:p w:rsidR="000728AD" w:rsidRDefault="000561BE">
      <w:pPr>
        <w:numPr>
          <w:ilvl w:val="0"/>
          <w:numId w:val="33"/>
        </w:numPr>
        <w:tabs>
          <w:tab w:val="left" w:pos="655"/>
        </w:tabs>
        <w:spacing w:line="238" w:lineRule="auto"/>
        <w:ind w:left="660" w:right="200" w:hanging="328"/>
        <w:rPr>
          <w:rFonts w:ascii="Arial" w:eastAsia="Arial" w:hAnsi="Arial" w:cs="Arial"/>
        </w:rPr>
      </w:pPr>
      <w:r>
        <w:rPr>
          <w:rFonts w:ascii="Arial" w:eastAsia="Arial" w:hAnsi="Arial" w:cs="Arial"/>
          <w:sz w:val="20"/>
          <w:szCs w:val="20"/>
        </w:rPr>
        <w:t xml:space="preserve">third parties have, and future third-party </w:t>
      </w:r>
      <w:r>
        <w:rPr>
          <w:rFonts w:ascii="Arial" w:eastAsia="Arial" w:hAnsi="Arial" w:cs="Arial"/>
          <w:sz w:val="20"/>
          <w:szCs w:val="20"/>
        </w:rPr>
        <w:t>collaborators may have, significant discretion in determining the efforts and resources that they will apply;</w:t>
      </w:r>
    </w:p>
    <w:p w:rsidR="000728AD" w:rsidRDefault="000728AD">
      <w:pPr>
        <w:spacing w:line="169" w:lineRule="exact"/>
        <w:rPr>
          <w:rFonts w:ascii="Arial" w:eastAsia="Arial" w:hAnsi="Arial" w:cs="Arial"/>
        </w:rPr>
      </w:pPr>
    </w:p>
    <w:p w:rsidR="000728AD" w:rsidRDefault="000561BE">
      <w:pPr>
        <w:numPr>
          <w:ilvl w:val="0"/>
          <w:numId w:val="33"/>
        </w:numPr>
        <w:tabs>
          <w:tab w:val="left" w:pos="660"/>
        </w:tabs>
        <w:ind w:left="660" w:hanging="328"/>
        <w:rPr>
          <w:rFonts w:ascii="Arial" w:eastAsia="Arial" w:hAnsi="Arial" w:cs="Arial"/>
          <w:sz w:val="21"/>
          <w:szCs w:val="21"/>
        </w:rPr>
      </w:pPr>
      <w:r>
        <w:rPr>
          <w:rFonts w:ascii="Arial" w:eastAsia="Arial" w:hAnsi="Arial" w:cs="Arial"/>
          <w:sz w:val="19"/>
          <w:szCs w:val="19"/>
        </w:rPr>
        <w:t>third parties may not perform their obligations as expected, including as a result of impacts due to the COVID-19 pandemic;</w:t>
      </w:r>
    </w:p>
    <w:p w:rsidR="000728AD" w:rsidRDefault="000728AD">
      <w:pPr>
        <w:spacing w:line="177" w:lineRule="exact"/>
        <w:rPr>
          <w:rFonts w:ascii="Arial" w:eastAsia="Arial" w:hAnsi="Arial" w:cs="Arial"/>
          <w:sz w:val="21"/>
          <w:szCs w:val="21"/>
        </w:rPr>
      </w:pPr>
    </w:p>
    <w:p w:rsidR="000728AD" w:rsidRDefault="000561BE">
      <w:pPr>
        <w:numPr>
          <w:ilvl w:val="0"/>
          <w:numId w:val="33"/>
        </w:numPr>
        <w:tabs>
          <w:tab w:val="left" w:pos="655"/>
        </w:tabs>
        <w:spacing w:line="238" w:lineRule="auto"/>
        <w:ind w:left="660" w:right="140" w:hanging="328"/>
        <w:rPr>
          <w:rFonts w:ascii="Arial" w:eastAsia="Arial" w:hAnsi="Arial" w:cs="Arial"/>
        </w:rPr>
      </w:pPr>
      <w:r>
        <w:rPr>
          <w:rFonts w:ascii="Arial" w:eastAsia="Arial" w:hAnsi="Arial" w:cs="Arial"/>
          <w:sz w:val="20"/>
          <w:szCs w:val="20"/>
        </w:rPr>
        <w:t>third parties may no</w:t>
      </w:r>
      <w:r>
        <w:rPr>
          <w:rFonts w:ascii="Arial" w:eastAsia="Arial" w:hAnsi="Arial" w:cs="Arial"/>
          <w:sz w:val="20"/>
          <w:szCs w:val="20"/>
        </w:rPr>
        <w:t>t pursue development and commercialization of any product candidates and that achieve regulatory approval, as may be necessary, or may elect not to continue or renew development or commercialization programs based on Clinical Study or Clinical Trial result</w:t>
      </w:r>
      <w:r>
        <w:rPr>
          <w:rFonts w:ascii="Arial" w:eastAsia="Arial" w:hAnsi="Arial" w:cs="Arial"/>
          <w:sz w:val="20"/>
          <w:szCs w:val="20"/>
        </w:rPr>
        <w:t>s, changes in the third parties' strategic focus or available funding, or external factors, such as a strategic transaction that may divert resources or create competing priorities;</w:t>
      </w:r>
    </w:p>
    <w:p w:rsidR="000728AD" w:rsidRDefault="000728AD">
      <w:pPr>
        <w:spacing w:line="171" w:lineRule="exact"/>
        <w:rPr>
          <w:rFonts w:ascii="Arial" w:eastAsia="Arial" w:hAnsi="Arial" w:cs="Arial"/>
        </w:rPr>
      </w:pPr>
    </w:p>
    <w:p w:rsidR="000728AD" w:rsidRDefault="000561BE">
      <w:pPr>
        <w:numPr>
          <w:ilvl w:val="0"/>
          <w:numId w:val="33"/>
        </w:numPr>
        <w:tabs>
          <w:tab w:val="left" w:pos="655"/>
        </w:tabs>
        <w:spacing w:line="238" w:lineRule="auto"/>
        <w:ind w:left="660" w:right="40" w:hanging="328"/>
        <w:jc w:val="both"/>
        <w:rPr>
          <w:rFonts w:ascii="Arial" w:eastAsia="Arial" w:hAnsi="Arial" w:cs="Arial"/>
        </w:rPr>
      </w:pPr>
      <w:r>
        <w:rPr>
          <w:rFonts w:ascii="Arial" w:eastAsia="Arial" w:hAnsi="Arial" w:cs="Arial"/>
          <w:sz w:val="20"/>
          <w:szCs w:val="20"/>
        </w:rPr>
        <w:t>third parties may delay Clinical Studies or Clinical Trials, provide insu</w:t>
      </w:r>
      <w:r>
        <w:rPr>
          <w:rFonts w:ascii="Arial" w:eastAsia="Arial" w:hAnsi="Arial" w:cs="Arial"/>
          <w:sz w:val="20"/>
          <w:szCs w:val="20"/>
        </w:rPr>
        <w:t>fficient funding for a Clinical Study or Clinical Trial program, terminate a Clinical Study or Clinical Trial or abandon a product candidate, repeat or conduct new Clinical Studies or Clinical Trials or require a new formulation of product candidate for cl</w:t>
      </w:r>
      <w:r>
        <w:rPr>
          <w:rFonts w:ascii="Arial" w:eastAsia="Arial" w:hAnsi="Arial" w:cs="Arial"/>
          <w:sz w:val="20"/>
          <w:szCs w:val="20"/>
        </w:rPr>
        <w:t>inical testing;</w:t>
      </w:r>
    </w:p>
    <w:p w:rsidR="000728AD" w:rsidRDefault="000728AD">
      <w:pPr>
        <w:spacing w:line="170" w:lineRule="exact"/>
        <w:rPr>
          <w:rFonts w:ascii="Arial" w:eastAsia="Arial" w:hAnsi="Arial" w:cs="Arial"/>
        </w:rPr>
      </w:pPr>
    </w:p>
    <w:p w:rsidR="000728AD" w:rsidRDefault="000561BE">
      <w:pPr>
        <w:numPr>
          <w:ilvl w:val="0"/>
          <w:numId w:val="33"/>
        </w:numPr>
        <w:tabs>
          <w:tab w:val="left" w:pos="655"/>
        </w:tabs>
        <w:spacing w:line="238" w:lineRule="auto"/>
        <w:ind w:left="660" w:hanging="328"/>
        <w:rPr>
          <w:rFonts w:ascii="Arial" w:eastAsia="Arial" w:hAnsi="Arial" w:cs="Arial"/>
        </w:rPr>
      </w:pPr>
      <w:r>
        <w:rPr>
          <w:rFonts w:ascii="Arial" w:eastAsia="Arial" w:hAnsi="Arial" w:cs="Arial"/>
          <w:sz w:val="20"/>
          <w:szCs w:val="20"/>
        </w:rPr>
        <w:t xml:space="preserve">third parties could independently develop, or develop with other third parties, products that compete directly or indirectly with our products and product candidates if the third parties believe that the competitive products are more </w:t>
      </w:r>
      <w:r>
        <w:rPr>
          <w:rFonts w:ascii="Arial" w:eastAsia="Arial" w:hAnsi="Arial" w:cs="Arial"/>
          <w:sz w:val="20"/>
          <w:szCs w:val="20"/>
        </w:rPr>
        <w:t>likely to be successfully developed or can be commercialized under terms that are more economically attractive than ours;</w:t>
      </w:r>
    </w:p>
    <w:p w:rsidR="000728AD" w:rsidRDefault="000728AD">
      <w:pPr>
        <w:spacing w:line="170" w:lineRule="exact"/>
        <w:rPr>
          <w:rFonts w:ascii="Arial" w:eastAsia="Arial" w:hAnsi="Arial" w:cs="Arial"/>
        </w:rPr>
      </w:pPr>
    </w:p>
    <w:p w:rsidR="000728AD" w:rsidRDefault="000561BE">
      <w:pPr>
        <w:numPr>
          <w:ilvl w:val="0"/>
          <w:numId w:val="33"/>
        </w:numPr>
        <w:tabs>
          <w:tab w:val="left" w:pos="655"/>
        </w:tabs>
        <w:spacing w:line="238" w:lineRule="auto"/>
        <w:ind w:left="660" w:right="80" w:hanging="328"/>
        <w:rPr>
          <w:rFonts w:ascii="Arial" w:eastAsia="Arial" w:hAnsi="Arial" w:cs="Arial"/>
        </w:rPr>
      </w:pPr>
      <w:r>
        <w:rPr>
          <w:rFonts w:ascii="Arial" w:eastAsia="Arial" w:hAnsi="Arial" w:cs="Arial"/>
          <w:sz w:val="20"/>
          <w:szCs w:val="20"/>
        </w:rPr>
        <w:t>product candidates discovered in collaboration with us may be viewed by our current or future third parties as competitive with their</w:t>
      </w:r>
      <w:r>
        <w:rPr>
          <w:rFonts w:ascii="Arial" w:eastAsia="Arial" w:hAnsi="Arial" w:cs="Arial"/>
          <w:sz w:val="20"/>
          <w:szCs w:val="20"/>
        </w:rPr>
        <w:t xml:space="preserve"> own product candidates or products, which may cause such third parties to cease to devote resources to the development or commercialization of our product candidates;</w:t>
      </w:r>
    </w:p>
    <w:p w:rsidR="000728AD" w:rsidRDefault="000728AD">
      <w:pPr>
        <w:spacing w:line="170" w:lineRule="exact"/>
        <w:rPr>
          <w:rFonts w:ascii="Arial" w:eastAsia="Arial" w:hAnsi="Arial" w:cs="Arial"/>
        </w:rPr>
      </w:pPr>
    </w:p>
    <w:p w:rsidR="000728AD" w:rsidRDefault="000561BE">
      <w:pPr>
        <w:numPr>
          <w:ilvl w:val="0"/>
          <w:numId w:val="33"/>
        </w:numPr>
        <w:tabs>
          <w:tab w:val="left" w:pos="655"/>
        </w:tabs>
        <w:spacing w:line="303" w:lineRule="auto"/>
        <w:ind w:left="660" w:right="440" w:hanging="328"/>
        <w:rPr>
          <w:rFonts w:ascii="Arial" w:eastAsia="Arial" w:hAnsi="Arial" w:cs="Arial"/>
          <w:sz w:val="19"/>
          <w:szCs w:val="19"/>
        </w:rPr>
      </w:pPr>
      <w:r>
        <w:rPr>
          <w:rFonts w:ascii="Arial" w:eastAsia="Arial" w:hAnsi="Arial" w:cs="Arial"/>
          <w:sz w:val="18"/>
          <w:szCs w:val="18"/>
        </w:rPr>
        <w:t xml:space="preserve">third parties may fail to comply with applicable regulatory requirements regarding the </w:t>
      </w:r>
      <w:r>
        <w:rPr>
          <w:rFonts w:ascii="Arial" w:eastAsia="Arial" w:hAnsi="Arial" w:cs="Arial"/>
          <w:sz w:val="18"/>
          <w:szCs w:val="18"/>
        </w:rPr>
        <w:t>development, manufacturing, processing, packaging, labeling, holding, testing, storage, distribution and/or marketing of a product candidate or product;</w:t>
      </w:r>
    </w:p>
    <w:p w:rsidR="000728AD" w:rsidRDefault="000728AD">
      <w:pPr>
        <w:spacing w:line="110" w:lineRule="exact"/>
        <w:rPr>
          <w:rFonts w:ascii="Arial" w:eastAsia="Arial" w:hAnsi="Arial" w:cs="Arial"/>
          <w:sz w:val="19"/>
          <w:szCs w:val="19"/>
        </w:rPr>
      </w:pPr>
    </w:p>
    <w:p w:rsidR="000728AD" w:rsidRDefault="000561BE">
      <w:pPr>
        <w:numPr>
          <w:ilvl w:val="0"/>
          <w:numId w:val="33"/>
        </w:numPr>
        <w:tabs>
          <w:tab w:val="left" w:pos="655"/>
        </w:tabs>
        <w:spacing w:line="238" w:lineRule="auto"/>
        <w:ind w:left="660" w:hanging="328"/>
        <w:rPr>
          <w:rFonts w:ascii="Arial" w:eastAsia="Arial" w:hAnsi="Arial" w:cs="Arial"/>
        </w:rPr>
      </w:pPr>
      <w:r>
        <w:rPr>
          <w:rFonts w:ascii="Arial" w:eastAsia="Arial" w:hAnsi="Arial" w:cs="Arial"/>
          <w:sz w:val="20"/>
          <w:szCs w:val="20"/>
        </w:rPr>
        <w:t>third parties with marketing and distribution rights to one or more of our product candidates that ach</w:t>
      </w:r>
      <w:r>
        <w:rPr>
          <w:rFonts w:ascii="Arial" w:eastAsia="Arial" w:hAnsi="Arial" w:cs="Arial"/>
          <w:sz w:val="20"/>
          <w:szCs w:val="20"/>
        </w:rPr>
        <w:t>ieve regulatory approval may not commit sufficient resources to the marketing and distribution of such product or products;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93" w:lineRule="exact"/>
        <w:rPr>
          <w:sz w:val="20"/>
          <w:szCs w:val="20"/>
        </w:rPr>
      </w:pPr>
    </w:p>
    <w:p w:rsidR="000728AD" w:rsidRDefault="000561BE">
      <w:pPr>
        <w:ind w:right="-19"/>
        <w:jc w:val="center"/>
        <w:rPr>
          <w:sz w:val="20"/>
          <w:szCs w:val="20"/>
        </w:rPr>
      </w:pPr>
      <w:r>
        <w:rPr>
          <w:rFonts w:ascii="Arial" w:eastAsia="Arial" w:hAnsi="Arial" w:cs="Arial"/>
          <w:sz w:val="18"/>
          <w:szCs w:val="18"/>
        </w:rPr>
        <w:t>86</w:t>
      </w:r>
    </w:p>
    <w:p w:rsidR="000728AD" w:rsidRDefault="000561BE">
      <w:pPr>
        <w:spacing w:line="20" w:lineRule="exact"/>
        <w:rPr>
          <w:sz w:val="20"/>
          <w:szCs w:val="20"/>
        </w:rPr>
      </w:pPr>
      <w:r>
        <w:rPr>
          <w:noProof/>
          <w:sz w:val="20"/>
          <w:szCs w:val="20"/>
        </w:rPr>
        <w:drawing>
          <wp:anchor distT="0" distB="0" distL="114300" distR="114300" simplePos="0" relativeHeight="251696128"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59" w:bottom="1440" w:left="320" w:header="0" w:footer="0" w:gutter="0"/>
          <w:cols w:space="720" w:equalWidth="0">
            <w:col w:w="11220"/>
          </w:cols>
        </w:sectPr>
      </w:pPr>
    </w:p>
    <w:bookmarkStart w:id="87" w:name="page87"/>
    <w:bookmarkEnd w:id="87"/>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28" w:lineRule="exact"/>
        <w:rPr>
          <w:sz w:val="20"/>
          <w:szCs w:val="20"/>
        </w:rPr>
      </w:pPr>
    </w:p>
    <w:p w:rsidR="000728AD" w:rsidRDefault="000561BE">
      <w:pPr>
        <w:numPr>
          <w:ilvl w:val="0"/>
          <w:numId w:val="34"/>
        </w:numPr>
        <w:tabs>
          <w:tab w:val="left" w:pos="655"/>
        </w:tabs>
        <w:spacing w:line="238" w:lineRule="auto"/>
        <w:ind w:left="660" w:right="180" w:hanging="328"/>
        <w:jc w:val="both"/>
        <w:rPr>
          <w:rFonts w:ascii="Arial" w:eastAsia="Arial" w:hAnsi="Arial" w:cs="Arial"/>
        </w:rPr>
      </w:pPr>
      <w:r>
        <w:rPr>
          <w:rFonts w:ascii="Arial" w:eastAsia="Arial" w:hAnsi="Arial" w:cs="Arial"/>
          <w:sz w:val="20"/>
          <w:szCs w:val="20"/>
        </w:rPr>
        <w:t xml:space="preserve">disagreements with third parties, including </w:t>
      </w:r>
      <w:r>
        <w:rPr>
          <w:rFonts w:ascii="Arial" w:eastAsia="Arial" w:hAnsi="Arial" w:cs="Arial"/>
          <w:sz w:val="20"/>
          <w:szCs w:val="20"/>
        </w:rPr>
        <w:t>disagreements over proprietary rights, contract interpretation or the preferred course of development, might cause delays or terminations of the research, development or commercialization of product candidates, might lead to additional responsibilities for</w:t>
      </w:r>
      <w:r>
        <w:rPr>
          <w:rFonts w:ascii="Arial" w:eastAsia="Arial" w:hAnsi="Arial" w:cs="Arial"/>
          <w:sz w:val="20"/>
          <w:szCs w:val="20"/>
        </w:rPr>
        <w:t xml:space="preserve"> us with respect to product candidates, or might result in litigation or arbitration, any of which would be time-consuming and expensive;</w:t>
      </w:r>
    </w:p>
    <w:p w:rsidR="000728AD" w:rsidRDefault="000728AD">
      <w:pPr>
        <w:spacing w:line="171" w:lineRule="exact"/>
        <w:rPr>
          <w:rFonts w:ascii="Arial" w:eastAsia="Arial" w:hAnsi="Arial" w:cs="Arial"/>
        </w:rPr>
      </w:pPr>
    </w:p>
    <w:p w:rsidR="000728AD" w:rsidRDefault="000561BE">
      <w:pPr>
        <w:numPr>
          <w:ilvl w:val="0"/>
          <w:numId w:val="34"/>
        </w:numPr>
        <w:tabs>
          <w:tab w:val="left" w:pos="655"/>
        </w:tabs>
        <w:spacing w:line="238" w:lineRule="auto"/>
        <w:ind w:left="660" w:right="240" w:hanging="328"/>
        <w:rPr>
          <w:rFonts w:ascii="Arial" w:eastAsia="Arial" w:hAnsi="Arial" w:cs="Arial"/>
        </w:rPr>
      </w:pPr>
      <w:r>
        <w:rPr>
          <w:rFonts w:ascii="Arial" w:eastAsia="Arial" w:hAnsi="Arial" w:cs="Arial"/>
          <w:sz w:val="20"/>
          <w:szCs w:val="20"/>
        </w:rPr>
        <w:t xml:space="preserve">third parties may not properly maintain or defend our intellectual property rights or may use our </w:t>
      </w:r>
      <w:r>
        <w:rPr>
          <w:rFonts w:ascii="Arial" w:eastAsia="Arial" w:hAnsi="Arial" w:cs="Arial"/>
          <w:sz w:val="20"/>
          <w:szCs w:val="20"/>
        </w:rPr>
        <w:t>proprietary information in such a way as to invite litigation that could jeopardize or invalidate our intellectual property or proprietary information or expose us to potential litigation;</w:t>
      </w:r>
    </w:p>
    <w:p w:rsidR="000728AD" w:rsidRDefault="000728AD">
      <w:pPr>
        <w:spacing w:line="170" w:lineRule="exact"/>
        <w:rPr>
          <w:rFonts w:ascii="Arial" w:eastAsia="Arial" w:hAnsi="Arial" w:cs="Arial"/>
        </w:rPr>
      </w:pPr>
    </w:p>
    <w:p w:rsidR="000728AD" w:rsidRDefault="000561BE">
      <w:pPr>
        <w:numPr>
          <w:ilvl w:val="0"/>
          <w:numId w:val="34"/>
        </w:numPr>
        <w:tabs>
          <w:tab w:val="left" w:pos="660"/>
        </w:tabs>
        <w:ind w:left="660" w:hanging="328"/>
        <w:rPr>
          <w:rFonts w:ascii="Arial" w:eastAsia="Arial" w:hAnsi="Arial" w:cs="Arial"/>
          <w:sz w:val="19"/>
          <w:szCs w:val="19"/>
        </w:rPr>
      </w:pPr>
      <w:r>
        <w:rPr>
          <w:rFonts w:ascii="Arial" w:eastAsia="Arial" w:hAnsi="Arial" w:cs="Arial"/>
          <w:sz w:val="18"/>
          <w:szCs w:val="18"/>
        </w:rPr>
        <w:t>third parties may infringe the intellectual property rights of thi</w:t>
      </w:r>
      <w:r>
        <w:rPr>
          <w:rFonts w:ascii="Arial" w:eastAsia="Arial" w:hAnsi="Arial" w:cs="Arial"/>
          <w:sz w:val="18"/>
          <w:szCs w:val="18"/>
        </w:rPr>
        <w:t>rd parties, which may expose us to litigation and potential liability;</w:t>
      </w:r>
    </w:p>
    <w:p w:rsidR="000728AD" w:rsidRDefault="000728AD">
      <w:pPr>
        <w:spacing w:line="200" w:lineRule="exact"/>
        <w:rPr>
          <w:rFonts w:ascii="Arial" w:eastAsia="Arial" w:hAnsi="Arial" w:cs="Arial"/>
          <w:sz w:val="19"/>
          <w:szCs w:val="19"/>
        </w:rPr>
      </w:pPr>
    </w:p>
    <w:p w:rsidR="000728AD" w:rsidRDefault="000561BE">
      <w:pPr>
        <w:numPr>
          <w:ilvl w:val="0"/>
          <w:numId w:val="34"/>
        </w:numPr>
        <w:tabs>
          <w:tab w:val="left" w:pos="655"/>
        </w:tabs>
        <w:spacing w:line="238" w:lineRule="auto"/>
        <w:ind w:left="660" w:right="140" w:hanging="328"/>
        <w:rPr>
          <w:rFonts w:ascii="Arial" w:eastAsia="Arial" w:hAnsi="Arial" w:cs="Arial"/>
        </w:rPr>
      </w:pPr>
      <w:r>
        <w:rPr>
          <w:rFonts w:ascii="Arial" w:eastAsia="Arial" w:hAnsi="Arial" w:cs="Arial"/>
          <w:sz w:val="20"/>
          <w:szCs w:val="20"/>
        </w:rPr>
        <w:t>if one of our third parties is involved in a business combination, the collaborator might de-emphasize or terminate the development or commercialization of any product candidate licens</w:t>
      </w:r>
      <w:r>
        <w:rPr>
          <w:rFonts w:ascii="Arial" w:eastAsia="Arial" w:hAnsi="Arial" w:cs="Arial"/>
          <w:sz w:val="20"/>
          <w:szCs w:val="20"/>
        </w:rPr>
        <w:t>ed to it by us; and</w:t>
      </w:r>
    </w:p>
    <w:p w:rsidR="000728AD" w:rsidRDefault="000728AD">
      <w:pPr>
        <w:spacing w:line="169" w:lineRule="exact"/>
        <w:rPr>
          <w:rFonts w:ascii="Arial" w:eastAsia="Arial" w:hAnsi="Arial" w:cs="Arial"/>
        </w:rPr>
      </w:pPr>
    </w:p>
    <w:p w:rsidR="000728AD" w:rsidRDefault="000561BE">
      <w:pPr>
        <w:numPr>
          <w:ilvl w:val="0"/>
          <w:numId w:val="34"/>
        </w:numPr>
        <w:tabs>
          <w:tab w:val="left" w:pos="655"/>
        </w:tabs>
        <w:spacing w:line="238" w:lineRule="auto"/>
        <w:ind w:left="660" w:right="360" w:hanging="328"/>
        <w:rPr>
          <w:rFonts w:ascii="Arial" w:eastAsia="Arial" w:hAnsi="Arial" w:cs="Arial"/>
        </w:rPr>
      </w:pPr>
      <w:r>
        <w:rPr>
          <w:rFonts w:ascii="Arial" w:eastAsia="Arial" w:hAnsi="Arial" w:cs="Arial"/>
          <w:sz w:val="20"/>
          <w:szCs w:val="20"/>
        </w:rPr>
        <w:t>relationships may be terminated by the collaborator, and, if terminated, we could be required to raise additional capital to pursue further development or commercialization of the applicable product candidates.</w:t>
      </w:r>
    </w:p>
    <w:p w:rsidR="000728AD" w:rsidRDefault="000728AD">
      <w:pPr>
        <w:spacing w:line="196" w:lineRule="exact"/>
        <w:rPr>
          <w:sz w:val="20"/>
          <w:szCs w:val="20"/>
        </w:rPr>
      </w:pPr>
    </w:p>
    <w:p w:rsidR="000728AD" w:rsidRDefault="000561BE">
      <w:pPr>
        <w:spacing w:line="243" w:lineRule="auto"/>
        <w:rPr>
          <w:sz w:val="20"/>
          <w:szCs w:val="20"/>
        </w:rPr>
      </w:pPr>
      <w:r>
        <w:rPr>
          <w:rFonts w:ascii="Arial" w:eastAsia="Arial" w:hAnsi="Arial" w:cs="Arial"/>
          <w:sz w:val="20"/>
          <w:szCs w:val="20"/>
        </w:rPr>
        <w:t>If our relationships do</w:t>
      </w:r>
      <w:r>
        <w:rPr>
          <w:rFonts w:ascii="Arial" w:eastAsia="Arial" w:hAnsi="Arial" w:cs="Arial"/>
          <w:sz w:val="20"/>
          <w:szCs w:val="20"/>
        </w:rPr>
        <w:t xml:space="preserve"> not result in the successful discovery, development and commercialization of products or if a third-party terminates its agreement with us, or if for any other reason an agreement is terminated or cancelled, we may not receive any future research funding </w:t>
      </w:r>
      <w:r>
        <w:rPr>
          <w:rFonts w:ascii="Arial" w:eastAsia="Arial" w:hAnsi="Arial" w:cs="Arial"/>
          <w:sz w:val="20"/>
          <w:szCs w:val="20"/>
        </w:rPr>
        <w:t>or milestone or royalty payments under such agreement. If we do not receive the funding, we expect under any third-party agreements we enter into, our development of our technology and product candidates could be delayed and we may need additional resource</w:t>
      </w:r>
      <w:r>
        <w:rPr>
          <w:rFonts w:ascii="Arial" w:eastAsia="Arial" w:hAnsi="Arial" w:cs="Arial"/>
          <w:sz w:val="20"/>
          <w:szCs w:val="20"/>
        </w:rPr>
        <w:t xml:space="preserve">s to develop product candidates and our technology. All of the risks relating to product development, regulatory compliance and/or approval and commercialization described herein also apply to the activities of any drug and non-drug collaborators we enter </w:t>
      </w:r>
      <w:r>
        <w:rPr>
          <w:rFonts w:ascii="Arial" w:eastAsia="Arial" w:hAnsi="Arial" w:cs="Arial"/>
          <w:sz w:val="20"/>
          <w:szCs w:val="20"/>
        </w:rPr>
        <w:t>into relationships or agreements in the future.</w:t>
      </w:r>
    </w:p>
    <w:p w:rsidR="000728AD" w:rsidRDefault="000728AD">
      <w:pPr>
        <w:spacing w:line="193" w:lineRule="exact"/>
        <w:rPr>
          <w:sz w:val="20"/>
          <w:szCs w:val="20"/>
        </w:rPr>
      </w:pPr>
    </w:p>
    <w:p w:rsidR="000728AD" w:rsidRDefault="000561BE">
      <w:pPr>
        <w:spacing w:line="271" w:lineRule="auto"/>
        <w:rPr>
          <w:sz w:val="20"/>
          <w:szCs w:val="20"/>
        </w:rPr>
      </w:pPr>
      <w:r>
        <w:rPr>
          <w:rFonts w:ascii="Arial" w:eastAsia="Arial" w:hAnsi="Arial" w:cs="Arial"/>
          <w:sz w:val="18"/>
          <w:szCs w:val="18"/>
        </w:rPr>
        <w:t xml:space="preserve">Our ability to reach a definitive agreement for a collaboration will depend, among other things, upon our assessment of the collaborator's resources and expertise, the terms and conditions of the </w:t>
      </w:r>
      <w:r>
        <w:rPr>
          <w:rFonts w:ascii="Arial" w:eastAsia="Arial" w:hAnsi="Arial" w:cs="Arial"/>
          <w:sz w:val="18"/>
          <w:szCs w:val="18"/>
        </w:rPr>
        <w:t>proposed collaboration and the proposed collaborator's evaluation of a number of factors. If we are unable to reach agreements with suitable third parties on a timely basis, on acceptable terms, or at all, we may have to curtail the development of a produc</w:t>
      </w:r>
      <w:r>
        <w:rPr>
          <w:rFonts w:ascii="Arial" w:eastAsia="Arial" w:hAnsi="Arial" w:cs="Arial"/>
          <w:sz w:val="18"/>
          <w:szCs w:val="18"/>
        </w:rPr>
        <w:t>t candidate, reduce or delay its development program or one or more of our other development programs, delay its potential commercialization or reduce the scope of any sales or marketing activities, or increase our expenditures and undertake development or</w:t>
      </w:r>
      <w:r>
        <w:rPr>
          <w:rFonts w:ascii="Arial" w:eastAsia="Arial" w:hAnsi="Arial" w:cs="Arial"/>
          <w:sz w:val="18"/>
          <w:szCs w:val="18"/>
        </w:rPr>
        <w:t xml:space="preserve"> commercialization activities at our own expense. If we elect to increase our expenditures to fund development or commercialization activities on our own, we may need to obtain additional expertise and additional capital, which may not be available to us o</w:t>
      </w:r>
      <w:r>
        <w:rPr>
          <w:rFonts w:ascii="Arial" w:eastAsia="Arial" w:hAnsi="Arial" w:cs="Arial"/>
          <w:sz w:val="18"/>
          <w:szCs w:val="18"/>
        </w:rPr>
        <w:t xml:space="preserve">n acceptable terms, or at all. If we fail to enter into relationships or do not have sufficient funds or expertise to undertake the necessary development and commercialization activities, we may not be able to further develop our product candidates, bring </w:t>
      </w:r>
      <w:r>
        <w:rPr>
          <w:rFonts w:ascii="Arial" w:eastAsia="Arial" w:hAnsi="Arial" w:cs="Arial"/>
          <w:sz w:val="18"/>
          <w:szCs w:val="18"/>
        </w:rPr>
        <w:t>them to market and generate revenue or continue to develop our technology, and our business may be materially and adversely affected.</w:t>
      </w:r>
    </w:p>
    <w:p w:rsidR="000728AD" w:rsidRDefault="000728AD">
      <w:pPr>
        <w:spacing w:line="174" w:lineRule="exact"/>
        <w:rPr>
          <w:sz w:val="20"/>
          <w:szCs w:val="20"/>
        </w:rPr>
      </w:pPr>
    </w:p>
    <w:p w:rsidR="000728AD" w:rsidRDefault="000561BE">
      <w:pPr>
        <w:spacing w:line="260" w:lineRule="auto"/>
        <w:ind w:right="60"/>
        <w:rPr>
          <w:sz w:val="20"/>
          <w:szCs w:val="20"/>
        </w:rPr>
      </w:pPr>
      <w:r>
        <w:rPr>
          <w:rFonts w:ascii="Arial" w:eastAsia="Arial" w:hAnsi="Arial" w:cs="Arial"/>
          <w:b/>
          <w:bCs/>
          <w:i/>
          <w:iCs/>
          <w:sz w:val="20"/>
          <w:szCs w:val="20"/>
        </w:rPr>
        <w:t>We expect to rely on third parties to manufacture our supply of product candidates, and we intend to rely on third partie</w:t>
      </w:r>
      <w:r>
        <w:rPr>
          <w:rFonts w:ascii="Arial" w:eastAsia="Arial" w:hAnsi="Arial" w:cs="Arial"/>
          <w:b/>
          <w:bCs/>
          <w:i/>
          <w:iCs/>
          <w:sz w:val="20"/>
          <w:szCs w:val="20"/>
        </w:rPr>
        <w:t>s to produce and process our products, if approved or commercialized.</w:t>
      </w:r>
    </w:p>
    <w:p w:rsidR="000728AD" w:rsidRDefault="000728AD">
      <w:pPr>
        <w:spacing w:line="177" w:lineRule="exact"/>
        <w:rPr>
          <w:sz w:val="20"/>
          <w:szCs w:val="20"/>
        </w:rPr>
      </w:pPr>
    </w:p>
    <w:p w:rsidR="000728AD" w:rsidRDefault="000561BE">
      <w:pPr>
        <w:spacing w:line="244" w:lineRule="auto"/>
        <w:ind w:right="120"/>
        <w:rPr>
          <w:sz w:val="20"/>
          <w:szCs w:val="20"/>
        </w:rPr>
      </w:pPr>
      <w:r>
        <w:rPr>
          <w:rFonts w:ascii="Arial" w:eastAsia="Arial" w:hAnsi="Arial" w:cs="Arial"/>
          <w:sz w:val="20"/>
          <w:szCs w:val="20"/>
        </w:rPr>
        <w:t xml:space="preserve">We currently rely on outside vendors to supply raw materials and other important components, such as the amino acids and excipients that make up our product candidates. We have not yet </w:t>
      </w:r>
      <w:r>
        <w:rPr>
          <w:rFonts w:ascii="Arial" w:eastAsia="Arial" w:hAnsi="Arial" w:cs="Arial"/>
          <w:sz w:val="20"/>
          <w:szCs w:val="20"/>
        </w:rPr>
        <w:t>caused any product candidates to be manufactured or processed on a large clinical or commercial scale and may not be able to do so for any of our product candidates. We will make changes as we work to optimize the manufacturing process for our product cand</w:t>
      </w:r>
      <w:r>
        <w:rPr>
          <w:rFonts w:ascii="Arial" w:eastAsia="Arial" w:hAnsi="Arial" w:cs="Arial"/>
          <w:sz w:val="20"/>
          <w:szCs w:val="20"/>
        </w:rPr>
        <w:t>idates, and we cannot be sure that even minor changes in the process will result in products that are safe and, where applicable, effective.</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91" w:lineRule="exact"/>
        <w:rPr>
          <w:sz w:val="20"/>
          <w:szCs w:val="20"/>
        </w:rPr>
      </w:pPr>
    </w:p>
    <w:p w:rsidR="000728AD" w:rsidRDefault="000561BE">
      <w:pPr>
        <w:ind w:right="-79"/>
        <w:jc w:val="center"/>
        <w:rPr>
          <w:sz w:val="20"/>
          <w:szCs w:val="20"/>
        </w:rPr>
      </w:pPr>
      <w:r>
        <w:rPr>
          <w:rFonts w:ascii="Arial" w:eastAsia="Arial" w:hAnsi="Arial" w:cs="Arial"/>
          <w:sz w:val="18"/>
          <w:szCs w:val="18"/>
        </w:rPr>
        <w:t>87</w:t>
      </w:r>
    </w:p>
    <w:p w:rsidR="000728AD" w:rsidRDefault="000561BE">
      <w:pPr>
        <w:spacing w:line="20" w:lineRule="exact"/>
        <w:rPr>
          <w:sz w:val="20"/>
          <w:szCs w:val="20"/>
        </w:rPr>
      </w:pPr>
      <w:r>
        <w:rPr>
          <w:noProof/>
          <w:sz w:val="20"/>
          <w:szCs w:val="20"/>
        </w:rPr>
        <w:drawing>
          <wp:anchor distT="0" distB="0" distL="114300" distR="114300" simplePos="0" relativeHeight="251697152"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419" w:bottom="1440" w:left="320" w:header="0" w:footer="0" w:gutter="0"/>
          <w:cols w:space="720" w:equalWidth="0">
            <w:col w:w="11160"/>
          </w:cols>
        </w:sectPr>
      </w:pPr>
    </w:p>
    <w:bookmarkStart w:id="88" w:name="page88"/>
    <w:bookmarkEnd w:id="88"/>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69" w:lineRule="auto"/>
        <w:rPr>
          <w:sz w:val="20"/>
          <w:szCs w:val="20"/>
        </w:rPr>
      </w:pPr>
      <w:r>
        <w:rPr>
          <w:rFonts w:ascii="Arial" w:eastAsia="Arial" w:hAnsi="Arial" w:cs="Arial"/>
          <w:sz w:val="18"/>
          <w:szCs w:val="18"/>
        </w:rPr>
        <w:t>The facilities used to manufacture our</w:t>
      </w:r>
      <w:r>
        <w:rPr>
          <w:rFonts w:ascii="Arial" w:eastAsia="Arial" w:hAnsi="Arial" w:cs="Arial"/>
          <w:sz w:val="18"/>
          <w:szCs w:val="18"/>
        </w:rPr>
        <w:t xml:space="preserve"> drug product candidates must be approved by the FDA or other foreign regulatory agencies pursuant to inspections that could be conducted before or will be conducted after we submit a marketing application to the FDA or other foreign regulatory agencies. A</w:t>
      </w:r>
      <w:r>
        <w:rPr>
          <w:rFonts w:ascii="Arial" w:eastAsia="Arial" w:hAnsi="Arial" w:cs="Arial"/>
          <w:sz w:val="18"/>
          <w:szCs w:val="18"/>
        </w:rPr>
        <w:t xml:space="preserve">dditionally, any facilities used for the manufacture of product candidates commercialized for non-drug uses will be subject to registration and inspection by the FDA and comparable foreign regulatory authorities. We do not currently control all aspects of </w:t>
      </w:r>
      <w:r>
        <w:rPr>
          <w:rFonts w:ascii="Arial" w:eastAsia="Arial" w:hAnsi="Arial" w:cs="Arial"/>
          <w:sz w:val="18"/>
          <w:szCs w:val="18"/>
        </w:rPr>
        <w:t>the manufacturing process of, and are currently largely dependent on, our contract manufacturing partners for compliance with regulatory requirements, known as cGMP requirements, for manufacture of our product candidates, but we may be held ultimately resp</w:t>
      </w:r>
      <w:r>
        <w:rPr>
          <w:rFonts w:ascii="Arial" w:eastAsia="Arial" w:hAnsi="Arial" w:cs="Arial"/>
          <w:sz w:val="18"/>
          <w:szCs w:val="18"/>
        </w:rPr>
        <w:t>onsible for such compliance. If we ever decide to open a manufacturing facility, we will be responsible for our own compliance with cGMP requirements. If we or our contract manufacturers cannot successfully manufacture in conformance with our specification</w:t>
      </w:r>
      <w:r>
        <w:rPr>
          <w:rFonts w:ascii="Arial" w:eastAsia="Arial" w:hAnsi="Arial" w:cs="Arial"/>
          <w:sz w:val="18"/>
          <w:szCs w:val="18"/>
        </w:rPr>
        <w:t>s and the strict regulatory requirements of the FDA or comparable foreign regulatory authorities, we and they will not be able to secure and/or maintain regulatory approval for their manufacturing facilities with respect to the manufacture of our product c</w:t>
      </w:r>
      <w:r>
        <w:rPr>
          <w:rFonts w:ascii="Arial" w:eastAsia="Arial" w:hAnsi="Arial" w:cs="Arial"/>
          <w:sz w:val="18"/>
          <w:szCs w:val="18"/>
        </w:rPr>
        <w:t>andidates. In addition, we have no control over the ability of our contract manufacturers to maintain adequate quality control, quality assurance and qualified personnel. If the FDA or a comparable foreign regulatory authority does not approve these facili</w:t>
      </w:r>
      <w:r>
        <w:rPr>
          <w:rFonts w:ascii="Arial" w:eastAsia="Arial" w:hAnsi="Arial" w:cs="Arial"/>
          <w:sz w:val="18"/>
          <w:szCs w:val="18"/>
        </w:rPr>
        <w:t xml:space="preserve">ties for the manufacture of our product candidates, where applicable, or if it withdraws any such approval in the future, or if it otherwise finds that a manufacturing facility is out of regulatory compliance, we may need to find alternative manufacturing </w:t>
      </w:r>
      <w:r>
        <w:rPr>
          <w:rFonts w:ascii="Arial" w:eastAsia="Arial" w:hAnsi="Arial" w:cs="Arial"/>
          <w:sz w:val="18"/>
          <w:szCs w:val="18"/>
        </w:rPr>
        <w:t>facilities, which would significantly impact our ability to research, develop, obtain regulatory approval, where necessary, for and/or market our product candidates.</w:t>
      </w:r>
    </w:p>
    <w:p w:rsidR="000728AD" w:rsidRDefault="000728AD">
      <w:pPr>
        <w:spacing w:line="173" w:lineRule="exact"/>
        <w:rPr>
          <w:sz w:val="20"/>
          <w:szCs w:val="20"/>
        </w:rPr>
      </w:pPr>
    </w:p>
    <w:p w:rsidR="000728AD" w:rsidRDefault="000561BE">
      <w:pPr>
        <w:rPr>
          <w:sz w:val="20"/>
          <w:szCs w:val="20"/>
        </w:rPr>
      </w:pPr>
      <w:r>
        <w:rPr>
          <w:rFonts w:ascii="Arial" w:eastAsia="Arial" w:hAnsi="Arial" w:cs="Arial"/>
          <w:b/>
          <w:bCs/>
          <w:sz w:val="20"/>
          <w:szCs w:val="20"/>
        </w:rPr>
        <w:t>Risks Related to Manufacturing and Supply</w:t>
      </w:r>
    </w:p>
    <w:p w:rsidR="000728AD" w:rsidRDefault="000728AD">
      <w:pPr>
        <w:spacing w:line="222" w:lineRule="exact"/>
        <w:rPr>
          <w:sz w:val="20"/>
          <w:szCs w:val="20"/>
        </w:rPr>
      </w:pPr>
    </w:p>
    <w:p w:rsidR="000728AD" w:rsidRDefault="000561BE">
      <w:pPr>
        <w:spacing w:line="328" w:lineRule="auto"/>
        <w:ind w:right="120"/>
        <w:rPr>
          <w:sz w:val="20"/>
          <w:szCs w:val="20"/>
        </w:rPr>
      </w:pPr>
      <w:r>
        <w:rPr>
          <w:rFonts w:ascii="Arial" w:eastAsia="Arial" w:hAnsi="Arial" w:cs="Arial"/>
          <w:b/>
          <w:bCs/>
          <w:i/>
          <w:iCs/>
          <w:sz w:val="16"/>
          <w:szCs w:val="16"/>
        </w:rPr>
        <w:t xml:space="preserve">Our product candidates require </w:t>
      </w:r>
      <w:r>
        <w:rPr>
          <w:rFonts w:ascii="Arial" w:eastAsia="Arial" w:hAnsi="Arial" w:cs="Arial"/>
          <w:b/>
          <w:bCs/>
          <w:i/>
          <w:iCs/>
          <w:sz w:val="16"/>
          <w:szCs w:val="16"/>
        </w:rPr>
        <w:t>precise, high-quality manufacturing capabilities. If any of our third-party manufacturers encounter difficulties in manufacturing our product candidates, our ability to provide supply of our product candidates for Clinical Studies or Clinical Trials, or fo</w:t>
      </w:r>
      <w:r>
        <w:rPr>
          <w:rFonts w:ascii="Arial" w:eastAsia="Arial" w:hAnsi="Arial" w:cs="Arial"/>
          <w:b/>
          <w:bCs/>
          <w:i/>
          <w:iCs/>
          <w:sz w:val="16"/>
          <w:szCs w:val="16"/>
        </w:rPr>
        <w:t>r future commercial supply of products we bring to market under applicable regulatory requirements and approvals, could be delayed or terminated, or we may be unable to maintain a commercially viable cost structure.</w:t>
      </w:r>
    </w:p>
    <w:p w:rsidR="000728AD" w:rsidRDefault="000728AD">
      <w:pPr>
        <w:spacing w:line="128" w:lineRule="exact"/>
        <w:rPr>
          <w:sz w:val="20"/>
          <w:szCs w:val="20"/>
        </w:rPr>
      </w:pPr>
    </w:p>
    <w:p w:rsidR="000728AD" w:rsidRDefault="000561BE">
      <w:pPr>
        <w:rPr>
          <w:sz w:val="20"/>
          <w:szCs w:val="20"/>
        </w:rPr>
      </w:pPr>
      <w:r>
        <w:rPr>
          <w:rFonts w:ascii="Arial" w:eastAsia="Arial" w:hAnsi="Arial" w:cs="Arial"/>
          <w:sz w:val="19"/>
          <w:szCs w:val="19"/>
        </w:rPr>
        <w:t>In reliance on third parties, we have l</w:t>
      </w:r>
      <w:r>
        <w:rPr>
          <w:rFonts w:ascii="Arial" w:eastAsia="Arial" w:hAnsi="Arial" w:cs="Arial"/>
          <w:sz w:val="19"/>
          <w:szCs w:val="19"/>
        </w:rPr>
        <w:t>imited experience manufacturing our product candidates for Clinical Trials as we have not yet</w:t>
      </w:r>
    </w:p>
    <w:p w:rsidR="000728AD" w:rsidRDefault="000728AD">
      <w:pPr>
        <w:spacing w:line="38" w:lineRule="exact"/>
        <w:rPr>
          <w:sz w:val="20"/>
          <w:szCs w:val="20"/>
        </w:rPr>
      </w:pPr>
    </w:p>
    <w:p w:rsidR="000728AD" w:rsidRDefault="000561BE">
      <w:pPr>
        <w:spacing w:line="257" w:lineRule="auto"/>
        <w:ind w:right="20"/>
        <w:rPr>
          <w:sz w:val="20"/>
          <w:szCs w:val="20"/>
        </w:rPr>
      </w:pPr>
      <w:r>
        <w:rPr>
          <w:rFonts w:ascii="Arial" w:eastAsia="Arial" w:hAnsi="Arial" w:cs="Arial"/>
          <w:sz w:val="19"/>
          <w:szCs w:val="19"/>
        </w:rPr>
        <w:t>completed a Clinical Trial. We similarly have limited experience with the manufacturing requirements for non-drug products at a commercial scale. Our cGMP manufa</w:t>
      </w:r>
      <w:r>
        <w:rPr>
          <w:rFonts w:ascii="Arial" w:eastAsia="Arial" w:hAnsi="Arial" w:cs="Arial"/>
          <w:sz w:val="19"/>
          <w:szCs w:val="19"/>
        </w:rPr>
        <w:t>cturing process development and scale-up is at an early stage. The actual cost to manufacture and process our product candidates could be greater than we expect and could materially and adversely affect the commercial viability of our product candidates. I</w:t>
      </w:r>
      <w:r>
        <w:rPr>
          <w:rFonts w:ascii="Arial" w:eastAsia="Arial" w:hAnsi="Arial" w:cs="Arial"/>
          <w:sz w:val="19"/>
          <w:szCs w:val="19"/>
        </w:rPr>
        <w:t>n the future, we may develop internal manufacturing capacity in part by expanding our own facilities or building additional facilities. This activity will require substantial additional funds and we would need to invest such funds in creating the proper ma</w:t>
      </w:r>
      <w:r>
        <w:rPr>
          <w:rFonts w:ascii="Arial" w:eastAsia="Arial" w:hAnsi="Arial" w:cs="Arial"/>
          <w:sz w:val="19"/>
          <w:szCs w:val="19"/>
        </w:rPr>
        <w:t xml:space="preserve">nufacturing infrastructure and to hire and train a significant number of qualified employees to staff these facilities. We may not be able to develop cGMP-compliant manufacturing facilities that are adequate to produce materials for additional later-stage </w:t>
      </w:r>
      <w:r>
        <w:rPr>
          <w:rFonts w:ascii="Arial" w:eastAsia="Arial" w:hAnsi="Arial" w:cs="Arial"/>
          <w:sz w:val="19"/>
          <w:szCs w:val="19"/>
        </w:rPr>
        <w:t>Clinical Studies, Clinical Trials, or commercialization, which may materially and adversely affect our business.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77" w:lineRule="exact"/>
        <w:rPr>
          <w:sz w:val="20"/>
          <w:szCs w:val="20"/>
        </w:rPr>
      </w:pPr>
    </w:p>
    <w:p w:rsidR="000728AD" w:rsidRDefault="000561BE">
      <w:pPr>
        <w:ind w:right="-19"/>
        <w:jc w:val="center"/>
        <w:rPr>
          <w:sz w:val="20"/>
          <w:szCs w:val="20"/>
        </w:rPr>
      </w:pPr>
      <w:r>
        <w:rPr>
          <w:rFonts w:ascii="Arial" w:eastAsia="Arial" w:hAnsi="Arial" w:cs="Arial"/>
          <w:sz w:val="18"/>
          <w:szCs w:val="18"/>
        </w:rPr>
        <w:t>88</w:t>
      </w:r>
    </w:p>
    <w:p w:rsidR="000728AD" w:rsidRDefault="000561BE">
      <w:pPr>
        <w:spacing w:line="20" w:lineRule="exact"/>
        <w:rPr>
          <w:sz w:val="20"/>
          <w:szCs w:val="20"/>
        </w:rPr>
      </w:pPr>
      <w:r>
        <w:rPr>
          <w:noProof/>
          <w:sz w:val="20"/>
          <w:szCs w:val="20"/>
        </w:rPr>
        <w:drawing>
          <wp:anchor distT="0" distB="0" distL="114300" distR="114300" simplePos="0" relativeHeight="251698176"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89" w:name="page89"/>
    <w:bookmarkEnd w:id="89"/>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70" w:lineRule="auto"/>
        <w:rPr>
          <w:sz w:val="20"/>
          <w:szCs w:val="20"/>
        </w:rPr>
      </w:pPr>
      <w:r>
        <w:rPr>
          <w:rFonts w:ascii="Arial" w:eastAsia="Arial" w:hAnsi="Arial" w:cs="Arial"/>
          <w:sz w:val="18"/>
          <w:szCs w:val="18"/>
        </w:rPr>
        <w:t>We combine multiple EMMs in novel combinations and ratios in our m</w:t>
      </w:r>
      <w:r>
        <w:rPr>
          <w:rFonts w:ascii="Arial" w:eastAsia="Arial" w:hAnsi="Arial" w:cs="Arial"/>
          <w:sz w:val="18"/>
          <w:szCs w:val="18"/>
        </w:rPr>
        <w:t>anufacturing process for product candidates. These combinations may result in unanticipated manufacturing and product quality issues that we may not be able to resolve without incurring significant expense or delays in our Clinical Studies or Clinical Tria</w:t>
      </w:r>
      <w:r>
        <w:rPr>
          <w:rFonts w:ascii="Arial" w:eastAsia="Arial" w:hAnsi="Arial" w:cs="Arial"/>
          <w:sz w:val="18"/>
          <w:szCs w:val="18"/>
        </w:rPr>
        <w:t>ls, or at all. Furthermore, our manufacturing process may be susceptible to manufacturing issues associated with interruptions in the manufacturing process, contamination, equipment or reagent failure, improper installation or operation of equipment, vendo</w:t>
      </w:r>
      <w:r>
        <w:rPr>
          <w:rFonts w:ascii="Arial" w:eastAsia="Arial" w:hAnsi="Arial" w:cs="Arial"/>
          <w:sz w:val="18"/>
          <w:szCs w:val="18"/>
        </w:rPr>
        <w:t>r or operator error and variability in product characteristics. Even minor deviations from normal manufacturing processes at our third-party manufacturers could result in reduced production yields, lot failures, product defects, product recalls, product li</w:t>
      </w:r>
      <w:r>
        <w:rPr>
          <w:rFonts w:ascii="Arial" w:eastAsia="Arial" w:hAnsi="Arial" w:cs="Arial"/>
          <w:sz w:val="18"/>
          <w:szCs w:val="18"/>
        </w:rPr>
        <w:t>ability claims and other supply disruptions. If microbial, viral or other contaminations are discovered in our product candidates or in the manufacturing facilities in which our product candidates are made, production at such manufacturing facilities may b</w:t>
      </w:r>
      <w:r>
        <w:rPr>
          <w:rFonts w:ascii="Arial" w:eastAsia="Arial" w:hAnsi="Arial" w:cs="Arial"/>
          <w:sz w:val="18"/>
          <w:szCs w:val="18"/>
        </w:rPr>
        <w:t xml:space="preserve">e interrupted for an extended period of time to investigate and remedy the contamination. Further, as product candidates are developed through preclinical studies, Clinical Studies and/or Clinical Trials toward approval and commercialization, it is common </w:t>
      </w:r>
      <w:r>
        <w:rPr>
          <w:rFonts w:ascii="Arial" w:eastAsia="Arial" w:hAnsi="Arial" w:cs="Arial"/>
          <w:sz w:val="18"/>
          <w:szCs w:val="18"/>
        </w:rPr>
        <w:t>that various aspects of the development program, such as manufacturing methods, are altered along the way in an effort to scale-up and optimize processes and results. Such changes carry the risk that they will not achieve these intended objectives, and any</w:t>
      </w:r>
      <w:r>
        <w:rPr>
          <w:rFonts w:ascii="Arial" w:eastAsia="Arial" w:hAnsi="Arial" w:cs="Arial"/>
          <w:sz w:val="18"/>
          <w:szCs w:val="18"/>
        </w:rPr>
        <w:t xml:space="preserve"> of these changes could cause our product candidates to perform differently and affect the results of Clinical Studies or Clinical Trials.</w:t>
      </w:r>
    </w:p>
    <w:p w:rsidR="000728AD" w:rsidRDefault="000728AD">
      <w:pPr>
        <w:spacing w:line="172" w:lineRule="exact"/>
        <w:rPr>
          <w:sz w:val="20"/>
          <w:szCs w:val="20"/>
        </w:rPr>
      </w:pPr>
    </w:p>
    <w:p w:rsidR="000728AD" w:rsidRDefault="000561BE">
      <w:pPr>
        <w:spacing w:line="255" w:lineRule="auto"/>
        <w:rPr>
          <w:sz w:val="20"/>
          <w:szCs w:val="20"/>
        </w:rPr>
      </w:pPr>
      <w:r>
        <w:rPr>
          <w:rFonts w:ascii="Arial" w:eastAsia="Arial" w:hAnsi="Arial" w:cs="Arial"/>
          <w:sz w:val="19"/>
          <w:szCs w:val="19"/>
        </w:rPr>
        <w:t>Although we continue to optimize our manufacturing process for our product candidates, doing so is a difficult and u</w:t>
      </w:r>
      <w:r>
        <w:rPr>
          <w:rFonts w:ascii="Arial" w:eastAsia="Arial" w:hAnsi="Arial" w:cs="Arial"/>
          <w:sz w:val="19"/>
          <w:szCs w:val="19"/>
        </w:rPr>
        <w:t>ncertain task, and there are risks associated with scaling to the level required for advanced Clinical Studies and Clinical Trials or commercialization, including, among others, cost overruns, potential problems with process scale-up, process reproducibili</w:t>
      </w:r>
      <w:r>
        <w:rPr>
          <w:rFonts w:ascii="Arial" w:eastAsia="Arial" w:hAnsi="Arial" w:cs="Arial"/>
          <w:sz w:val="19"/>
          <w:szCs w:val="19"/>
        </w:rPr>
        <w:t xml:space="preserve">ty, stability issues, lot consistency, supplier manufacturing capacity and timely availability of reagents and/or raw materials. We ultimately may not be successful in transferring our production system from our contract manufacturers to any manufacturing </w:t>
      </w:r>
      <w:r>
        <w:rPr>
          <w:rFonts w:ascii="Arial" w:eastAsia="Arial" w:hAnsi="Arial" w:cs="Arial"/>
          <w:sz w:val="19"/>
          <w:szCs w:val="19"/>
        </w:rPr>
        <w:t>facilities we may establish ourselves or other contract manufacturers who can provide cost and process efficiencies, or our contract manufacturer may not have the necessary capabilities to complete the implementation and development process. If we are unab</w:t>
      </w:r>
      <w:r>
        <w:rPr>
          <w:rFonts w:ascii="Arial" w:eastAsia="Arial" w:hAnsi="Arial" w:cs="Arial"/>
          <w:sz w:val="19"/>
          <w:szCs w:val="19"/>
        </w:rPr>
        <w:t>le to adequately validate or scale-up the manufacturing process for our product candidates with each of our current manufacturers, we will need to transfer to other manufacturers and complete the manufacturing validation and scale-up processes, which can b</w:t>
      </w:r>
      <w:r>
        <w:rPr>
          <w:rFonts w:ascii="Arial" w:eastAsia="Arial" w:hAnsi="Arial" w:cs="Arial"/>
          <w:sz w:val="19"/>
          <w:szCs w:val="19"/>
        </w:rPr>
        <w:t>e lengthy. If we are able to adequately validate and scale-up the manufacturing process for our product candidates with a contract manufacturer, we will still need to negotiate with such contract manufacturer an agreement for commercial supply and it is no</w:t>
      </w:r>
      <w:r>
        <w:rPr>
          <w:rFonts w:ascii="Arial" w:eastAsia="Arial" w:hAnsi="Arial" w:cs="Arial"/>
          <w:sz w:val="19"/>
          <w:szCs w:val="19"/>
        </w:rPr>
        <w:t>t certain we will be able to come to agreement on terms acceptable to us. As a result, we may ultimately be unable to reduce the cost of goods for our product candidates to levels that will allow for an attractive return on investment if and when those pro</w:t>
      </w:r>
      <w:r>
        <w:rPr>
          <w:rFonts w:ascii="Arial" w:eastAsia="Arial" w:hAnsi="Arial" w:cs="Arial"/>
          <w:sz w:val="19"/>
          <w:szCs w:val="19"/>
        </w:rPr>
        <w:t>duct candidates are commercialized.</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78" w:lineRule="exact"/>
        <w:rPr>
          <w:sz w:val="20"/>
          <w:szCs w:val="20"/>
        </w:rPr>
      </w:pPr>
    </w:p>
    <w:p w:rsidR="000728AD" w:rsidRDefault="000561BE">
      <w:pPr>
        <w:ind w:right="-19"/>
        <w:jc w:val="center"/>
        <w:rPr>
          <w:sz w:val="20"/>
          <w:szCs w:val="20"/>
        </w:rPr>
      </w:pPr>
      <w:r>
        <w:rPr>
          <w:rFonts w:ascii="Arial" w:eastAsia="Arial" w:hAnsi="Arial" w:cs="Arial"/>
          <w:sz w:val="18"/>
          <w:szCs w:val="18"/>
        </w:rPr>
        <w:t>89</w:t>
      </w:r>
    </w:p>
    <w:p w:rsidR="000728AD" w:rsidRDefault="000561BE">
      <w:pPr>
        <w:spacing w:line="20" w:lineRule="exact"/>
        <w:rPr>
          <w:sz w:val="20"/>
          <w:szCs w:val="20"/>
        </w:rPr>
      </w:pPr>
      <w:r>
        <w:rPr>
          <w:noProof/>
          <w:sz w:val="20"/>
          <w:szCs w:val="20"/>
        </w:rPr>
        <w:drawing>
          <wp:anchor distT="0" distB="0" distL="114300" distR="114300" simplePos="0" relativeHeight="251699200"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59" w:bottom="1440" w:left="320" w:header="0" w:footer="0" w:gutter="0"/>
          <w:cols w:space="720" w:equalWidth="0">
            <w:col w:w="11220"/>
          </w:cols>
        </w:sectPr>
      </w:pPr>
    </w:p>
    <w:bookmarkStart w:id="90" w:name="page90"/>
    <w:bookmarkEnd w:id="90"/>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68" w:lineRule="auto"/>
        <w:rPr>
          <w:sz w:val="20"/>
          <w:szCs w:val="20"/>
        </w:rPr>
      </w:pPr>
      <w:r>
        <w:rPr>
          <w:rFonts w:ascii="Arial" w:eastAsia="Arial" w:hAnsi="Arial" w:cs="Arial"/>
          <w:sz w:val="18"/>
          <w:szCs w:val="18"/>
        </w:rPr>
        <w:t xml:space="preserve">The manufacturing process for any drug product candidate is subject to the FDA and foreign regulatory authority approval process, and </w:t>
      </w:r>
      <w:r>
        <w:rPr>
          <w:rFonts w:ascii="Arial" w:eastAsia="Arial" w:hAnsi="Arial" w:cs="Arial"/>
          <w:sz w:val="18"/>
          <w:szCs w:val="18"/>
        </w:rPr>
        <w:t>extensive oversight of manufacturing facilities and changes to manufacturing processes. Non-drug products that we may develop will also be subject to extensive legal and regulatory requirements, including those with respect to the manufacturing, packaging,</w:t>
      </w:r>
      <w:r>
        <w:rPr>
          <w:rFonts w:ascii="Arial" w:eastAsia="Arial" w:hAnsi="Arial" w:cs="Arial"/>
          <w:sz w:val="18"/>
          <w:szCs w:val="18"/>
        </w:rPr>
        <w:t xml:space="preserve"> labeling, holding, processing and distribution of such products under appropriate cGMPs, as indicated in other risk factor sections herein. As such, we will need to contract with manufacturers who can meet all applicable FDA, foreign or other regulatory a</w:t>
      </w:r>
      <w:r>
        <w:rPr>
          <w:rFonts w:ascii="Arial" w:eastAsia="Arial" w:hAnsi="Arial" w:cs="Arial"/>
          <w:sz w:val="18"/>
          <w:szCs w:val="18"/>
        </w:rPr>
        <w:t>uthority requirements on an ongoing basis, including with respect to quality systems and standards. If we or our CMOs are unable to reliably produce products under conditions and to specifications acceptable to the Company and/or the FDA or comparable fore</w:t>
      </w:r>
      <w:r>
        <w:rPr>
          <w:rFonts w:ascii="Arial" w:eastAsia="Arial" w:hAnsi="Arial" w:cs="Arial"/>
          <w:sz w:val="18"/>
          <w:szCs w:val="18"/>
        </w:rPr>
        <w:t>ign regulatory authorities, we may not obtain or maintain the ability or, in the case of drugs, the requisite approvals to commercialize such products. There is no assurance that our CMOs will be able to manufacture the approved product to specifications a</w:t>
      </w:r>
      <w:r>
        <w:rPr>
          <w:rFonts w:ascii="Arial" w:eastAsia="Arial" w:hAnsi="Arial" w:cs="Arial"/>
          <w:sz w:val="18"/>
          <w:szCs w:val="18"/>
        </w:rPr>
        <w:t>cceptable to us, the FDA, comparable foreign regulatory authorities, even if we obtain regulatory approval for any of our product candidates for therapeutic indications, to produce product in sufficient quantities to meet the requirements for the potential</w:t>
      </w:r>
      <w:r>
        <w:rPr>
          <w:rFonts w:ascii="Arial" w:eastAsia="Arial" w:hAnsi="Arial" w:cs="Arial"/>
          <w:sz w:val="18"/>
          <w:szCs w:val="18"/>
        </w:rPr>
        <w:t xml:space="preserve"> launch of the product or to meet potential future demand. In the case of product candidates for which a therapeutic pathway is pursued, any of these challenges could delay completion of Clinical Trials, require bridging Clinical Trials or the repetition o</w:t>
      </w:r>
      <w:r>
        <w:rPr>
          <w:rFonts w:ascii="Arial" w:eastAsia="Arial" w:hAnsi="Arial" w:cs="Arial"/>
          <w:sz w:val="18"/>
          <w:szCs w:val="18"/>
        </w:rPr>
        <w:t>f one or more Clinical Trials, increase Clinical Trial costs and delay approval of our product candidates. In the case of all product candidates that we choose to commercialize, any of these challenges could delay and/or impair commercialization efforts, i</w:t>
      </w:r>
      <w:r>
        <w:rPr>
          <w:rFonts w:ascii="Arial" w:eastAsia="Arial" w:hAnsi="Arial" w:cs="Arial"/>
          <w:sz w:val="18"/>
          <w:szCs w:val="18"/>
        </w:rPr>
        <w:t>ncrease our cost of goods, and have an adverse effect on our business, financial condition, results of operations and growth prospects. Our future success depends on our ability to manufacture our product candidates on a timely basis with acceptable manufa</w:t>
      </w:r>
      <w:r>
        <w:rPr>
          <w:rFonts w:ascii="Arial" w:eastAsia="Arial" w:hAnsi="Arial" w:cs="Arial"/>
          <w:sz w:val="18"/>
          <w:szCs w:val="18"/>
        </w:rPr>
        <w:t xml:space="preserve">cturing costs, while at the same time maintaining good quality control and complying with applicable regulatory requirements, and an inability to do so could have a material adverse effect on our business, financial condition and results of operations. In </w:t>
      </w:r>
      <w:r>
        <w:rPr>
          <w:rFonts w:ascii="Arial" w:eastAsia="Arial" w:hAnsi="Arial" w:cs="Arial"/>
          <w:sz w:val="18"/>
          <w:szCs w:val="18"/>
        </w:rPr>
        <w:t>addition, we could incur higher manufacturing costs if manufacturing processes or standards change, and we could need to replace, modify, design or build and install equipment, all of which would require additional capital expenditures. Specifically, becau</w:t>
      </w:r>
      <w:r>
        <w:rPr>
          <w:rFonts w:ascii="Arial" w:eastAsia="Arial" w:hAnsi="Arial" w:cs="Arial"/>
          <w:sz w:val="18"/>
          <w:szCs w:val="18"/>
        </w:rPr>
        <w:t>se our product candidates may have a higher cost of goods than other drugs and/or non-drug products, the risk that coverage and reimbursement rates may be inadequate for us to achieve profitability may be greater.</w:t>
      </w:r>
    </w:p>
    <w:p w:rsidR="000728AD" w:rsidRDefault="000728AD">
      <w:pPr>
        <w:spacing w:line="182" w:lineRule="exact"/>
        <w:rPr>
          <w:sz w:val="20"/>
          <w:szCs w:val="20"/>
        </w:rPr>
      </w:pPr>
    </w:p>
    <w:p w:rsidR="000728AD" w:rsidRDefault="000561BE">
      <w:pPr>
        <w:spacing w:line="316" w:lineRule="auto"/>
        <w:ind w:right="160"/>
        <w:rPr>
          <w:sz w:val="20"/>
          <w:szCs w:val="20"/>
        </w:rPr>
      </w:pPr>
      <w:r>
        <w:rPr>
          <w:rFonts w:ascii="Arial" w:eastAsia="Arial" w:hAnsi="Arial" w:cs="Arial"/>
          <w:sz w:val="18"/>
          <w:szCs w:val="18"/>
        </w:rPr>
        <w:t>In addition, we currently handle all batc</w:t>
      </w:r>
      <w:r>
        <w:rPr>
          <w:rFonts w:ascii="Arial" w:eastAsia="Arial" w:hAnsi="Arial" w:cs="Arial"/>
          <w:sz w:val="18"/>
          <w:szCs w:val="18"/>
        </w:rPr>
        <w:t>h release for our product candidates for our preclinical studies and Clinical Studies, but in the future may need to transfer such process to a third party, which would substantially increase the cost of this step of the manufacturing process.</w:t>
      </w:r>
    </w:p>
    <w:p w:rsidR="000728AD" w:rsidRDefault="000728AD">
      <w:pPr>
        <w:spacing w:line="130" w:lineRule="exact"/>
        <w:rPr>
          <w:sz w:val="20"/>
          <w:szCs w:val="20"/>
        </w:rPr>
      </w:pPr>
    </w:p>
    <w:p w:rsidR="000728AD" w:rsidRDefault="000561BE">
      <w:pPr>
        <w:spacing w:line="385" w:lineRule="auto"/>
        <w:ind w:right="120"/>
        <w:rPr>
          <w:sz w:val="20"/>
          <w:szCs w:val="20"/>
        </w:rPr>
      </w:pPr>
      <w:r>
        <w:rPr>
          <w:rFonts w:ascii="Arial" w:eastAsia="Arial" w:hAnsi="Arial" w:cs="Arial"/>
          <w:b/>
          <w:bCs/>
          <w:i/>
          <w:iCs/>
          <w:sz w:val="16"/>
          <w:szCs w:val="16"/>
        </w:rPr>
        <w:t>In addition</w:t>
      </w:r>
      <w:r>
        <w:rPr>
          <w:rFonts w:ascii="Arial" w:eastAsia="Arial" w:hAnsi="Arial" w:cs="Arial"/>
          <w:b/>
          <w:bCs/>
          <w:i/>
          <w:iCs/>
          <w:sz w:val="16"/>
          <w:szCs w:val="16"/>
        </w:rPr>
        <w:t xml:space="preserve"> to raw materials and CMOs, we depend on third parties for clinical product supplies (e.g., clinical labeling and secondary packaging services) and will likely need to do the same for any future commercial supply, including, in some instances, a single sup</w:t>
      </w:r>
      <w:r>
        <w:rPr>
          <w:rFonts w:ascii="Arial" w:eastAsia="Arial" w:hAnsi="Arial" w:cs="Arial"/>
          <w:b/>
          <w:bCs/>
          <w:i/>
          <w:iCs/>
          <w:sz w:val="16"/>
          <w:szCs w:val="16"/>
        </w:rPr>
        <w:t>plier.</w:t>
      </w:r>
    </w:p>
    <w:p w:rsidR="000728AD" w:rsidRDefault="000728AD">
      <w:pPr>
        <w:spacing w:line="85" w:lineRule="exact"/>
        <w:rPr>
          <w:sz w:val="20"/>
          <w:szCs w:val="20"/>
        </w:rPr>
      </w:pPr>
    </w:p>
    <w:p w:rsidR="000728AD" w:rsidRDefault="000561BE">
      <w:pPr>
        <w:spacing w:line="257" w:lineRule="auto"/>
        <w:ind w:right="60"/>
        <w:rPr>
          <w:sz w:val="20"/>
          <w:szCs w:val="20"/>
        </w:rPr>
      </w:pPr>
      <w:r>
        <w:rPr>
          <w:rFonts w:ascii="Arial" w:eastAsia="Arial" w:hAnsi="Arial" w:cs="Arial"/>
          <w:sz w:val="19"/>
          <w:szCs w:val="19"/>
        </w:rPr>
        <w:t>In addition to raw materials and CMOs, we depend on third-party suppliers for labeling secondary packaging and other services needed to produce Clinical Study and Clinical Trial ready supplies of our product candidates and will likely need to do th</w:t>
      </w:r>
      <w:r>
        <w:rPr>
          <w:rFonts w:ascii="Arial" w:eastAsia="Arial" w:hAnsi="Arial" w:cs="Arial"/>
          <w:sz w:val="19"/>
          <w:szCs w:val="19"/>
        </w:rPr>
        <w:t>e same for any future commercial supplies. We could be held responsible for the regulatory compliance of such labeling or packaging activities. These supplies may not always be available to us at the standards we require or on terms acceptable to us, or at</w:t>
      </w:r>
      <w:r>
        <w:rPr>
          <w:rFonts w:ascii="Arial" w:eastAsia="Arial" w:hAnsi="Arial" w:cs="Arial"/>
          <w:sz w:val="19"/>
          <w:szCs w:val="19"/>
        </w:rPr>
        <w:t xml:space="preserve"> all, and we may not be able to locate alternative suppliers in a timely manner, or at all. If we are unable to obtain necessary clinical or commercial supplies, our manufacturing operations and Clinical Studies and Clinical Trials and the clinical studies</w:t>
      </w:r>
      <w:r>
        <w:rPr>
          <w:rFonts w:ascii="Arial" w:eastAsia="Arial" w:hAnsi="Arial" w:cs="Arial"/>
          <w:sz w:val="19"/>
          <w:szCs w:val="19"/>
        </w:rPr>
        <w:t xml:space="preserve"> and trials of our collaborators may be delayed or disrupted and our business and prospects may be materially and adversely affected as a result.</w:t>
      </w:r>
    </w:p>
    <w:p w:rsidR="000728AD" w:rsidRDefault="000728AD">
      <w:pPr>
        <w:spacing w:line="185" w:lineRule="exact"/>
        <w:rPr>
          <w:sz w:val="20"/>
          <w:szCs w:val="20"/>
        </w:rPr>
      </w:pPr>
    </w:p>
    <w:p w:rsidR="000728AD" w:rsidRDefault="000561BE">
      <w:pPr>
        <w:spacing w:line="250" w:lineRule="auto"/>
        <w:ind w:right="140"/>
        <w:rPr>
          <w:sz w:val="20"/>
          <w:szCs w:val="20"/>
        </w:rPr>
      </w:pPr>
      <w:r>
        <w:rPr>
          <w:rFonts w:ascii="Arial" w:eastAsia="Arial" w:hAnsi="Arial" w:cs="Arial"/>
          <w:sz w:val="20"/>
          <w:szCs w:val="20"/>
        </w:rPr>
        <w:t>We may rely on a sole supplier for certain of our supplies. If this sole supplier is unable to supply to us i</w:t>
      </w:r>
      <w:r>
        <w:rPr>
          <w:rFonts w:ascii="Arial" w:eastAsia="Arial" w:hAnsi="Arial" w:cs="Arial"/>
          <w:sz w:val="20"/>
          <w:szCs w:val="20"/>
        </w:rPr>
        <w:t>n the quantities we require, or at all, or otherwise defaults on its supply obligations to us, we may not be able to obtain alternative supplies from other suppliers on acceptable terms, in a timely manner, or at all.</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2" w:lineRule="exact"/>
        <w:rPr>
          <w:sz w:val="20"/>
          <w:szCs w:val="20"/>
        </w:rPr>
      </w:pPr>
    </w:p>
    <w:p w:rsidR="000728AD" w:rsidRDefault="000561BE">
      <w:pPr>
        <w:jc w:val="center"/>
        <w:rPr>
          <w:sz w:val="20"/>
          <w:szCs w:val="20"/>
        </w:rPr>
      </w:pPr>
      <w:r>
        <w:rPr>
          <w:rFonts w:ascii="Arial" w:eastAsia="Arial" w:hAnsi="Arial" w:cs="Arial"/>
          <w:sz w:val="18"/>
          <w:szCs w:val="18"/>
        </w:rPr>
        <w:t>90</w:t>
      </w:r>
    </w:p>
    <w:p w:rsidR="000728AD" w:rsidRDefault="000561BE">
      <w:pPr>
        <w:spacing w:line="20" w:lineRule="exact"/>
        <w:rPr>
          <w:sz w:val="20"/>
          <w:szCs w:val="20"/>
        </w:rPr>
      </w:pPr>
      <w:r>
        <w:rPr>
          <w:noProof/>
          <w:sz w:val="20"/>
          <w:szCs w:val="20"/>
        </w:rPr>
        <w:drawing>
          <wp:anchor distT="0" distB="0" distL="114300" distR="114300" simplePos="0" relativeHeight="251700224"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91" w:name="page91"/>
    <w:bookmarkEnd w:id="91"/>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60" w:lineRule="auto"/>
        <w:ind w:right="40"/>
        <w:rPr>
          <w:sz w:val="20"/>
          <w:szCs w:val="20"/>
        </w:rPr>
      </w:pPr>
      <w:r>
        <w:rPr>
          <w:rFonts w:ascii="Arial" w:eastAsia="Arial" w:hAnsi="Arial" w:cs="Arial"/>
          <w:b/>
          <w:bCs/>
          <w:i/>
          <w:iCs/>
          <w:sz w:val="20"/>
          <w:szCs w:val="20"/>
        </w:rPr>
        <w:t>Our product candidates rely on the availability of specialty raw materials, including significant quantities of amino acids, which may not be available to us on acceptable terms or at all.</w:t>
      </w:r>
    </w:p>
    <w:p w:rsidR="000728AD" w:rsidRDefault="000728AD">
      <w:pPr>
        <w:spacing w:line="177" w:lineRule="exact"/>
        <w:rPr>
          <w:sz w:val="20"/>
          <w:szCs w:val="20"/>
        </w:rPr>
      </w:pPr>
    </w:p>
    <w:p w:rsidR="000728AD" w:rsidRDefault="000561BE">
      <w:pPr>
        <w:spacing w:line="270" w:lineRule="auto"/>
        <w:rPr>
          <w:sz w:val="20"/>
          <w:szCs w:val="20"/>
        </w:rPr>
      </w:pPr>
      <w:r>
        <w:rPr>
          <w:rFonts w:ascii="Arial" w:eastAsia="Arial" w:hAnsi="Arial" w:cs="Arial"/>
          <w:sz w:val="18"/>
          <w:szCs w:val="18"/>
        </w:rPr>
        <w:t>Our product candida</w:t>
      </w:r>
      <w:r>
        <w:rPr>
          <w:rFonts w:ascii="Arial" w:eastAsia="Arial" w:hAnsi="Arial" w:cs="Arial"/>
          <w:sz w:val="18"/>
          <w:szCs w:val="18"/>
        </w:rPr>
        <w:t>tes require certain specialty raw materials, including significant quantities of amino acids, some of which we may obtain from third-party small companies with limited resources and experience to support a commercial product. The suppliers may be ill-equip</w:t>
      </w:r>
      <w:r>
        <w:rPr>
          <w:rFonts w:ascii="Arial" w:eastAsia="Arial" w:hAnsi="Arial" w:cs="Arial"/>
          <w:sz w:val="18"/>
          <w:szCs w:val="18"/>
        </w:rPr>
        <w:t>ped to support our needs, especially in non-routine circumstances like an FDA or foreign regulatory inspection or medical crisis, such as widespread contamination. Additionally, our suppliers may fail inspections or have other compliance issues with regula</w:t>
      </w:r>
      <w:r>
        <w:rPr>
          <w:rFonts w:ascii="Arial" w:eastAsia="Arial" w:hAnsi="Arial" w:cs="Arial"/>
          <w:sz w:val="18"/>
          <w:szCs w:val="18"/>
        </w:rPr>
        <w:t>tory authorities that, even if unrelated to our supply chain and materials, may impact or cause delays in their ability to deliver agreed upon supplies in a timely manner which can have negative impacts on our business plans, including delays in initiating</w:t>
      </w:r>
      <w:r>
        <w:rPr>
          <w:rFonts w:ascii="Arial" w:eastAsia="Arial" w:hAnsi="Arial" w:cs="Arial"/>
          <w:sz w:val="18"/>
          <w:szCs w:val="18"/>
        </w:rPr>
        <w:t xml:space="preserve"> or continuing Clinical Studies or Clinical Trials. We do not currently have supply contracts in place with all of the suppliers that we may need at any point in time in the future, and if needed, may not be able to contract with them on acceptable terms o</w:t>
      </w:r>
      <w:r>
        <w:rPr>
          <w:rFonts w:ascii="Arial" w:eastAsia="Arial" w:hAnsi="Arial" w:cs="Arial"/>
          <w:sz w:val="18"/>
          <w:szCs w:val="18"/>
        </w:rPr>
        <w:t>r at all, in particular for large quantities of pharmaceutical grade raw</w:t>
      </w:r>
    </w:p>
    <w:p w:rsidR="000728AD" w:rsidRDefault="000561BE">
      <w:pPr>
        <w:spacing w:line="260" w:lineRule="auto"/>
        <w:ind w:right="200"/>
        <w:rPr>
          <w:sz w:val="20"/>
          <w:szCs w:val="20"/>
        </w:rPr>
      </w:pPr>
      <w:r>
        <w:rPr>
          <w:rFonts w:ascii="Arial" w:eastAsia="Arial" w:hAnsi="Arial" w:cs="Arial"/>
          <w:sz w:val="20"/>
          <w:szCs w:val="20"/>
        </w:rPr>
        <w:t>materials, including amino acids. Accordingly, we may experience delays in receiving key raw materials to support clinical or commercial manufacturing.</w:t>
      </w:r>
    </w:p>
    <w:p w:rsidR="000728AD" w:rsidRDefault="000728AD">
      <w:pPr>
        <w:spacing w:line="171" w:lineRule="exact"/>
        <w:rPr>
          <w:sz w:val="20"/>
          <w:szCs w:val="20"/>
        </w:rPr>
      </w:pPr>
    </w:p>
    <w:p w:rsidR="000728AD" w:rsidRDefault="000561BE">
      <w:pPr>
        <w:rPr>
          <w:sz w:val="20"/>
          <w:szCs w:val="20"/>
        </w:rPr>
      </w:pPr>
      <w:r>
        <w:rPr>
          <w:rFonts w:ascii="Arial" w:eastAsia="Arial" w:hAnsi="Arial" w:cs="Arial"/>
          <w:b/>
          <w:bCs/>
          <w:sz w:val="20"/>
          <w:szCs w:val="20"/>
        </w:rPr>
        <w:t>Risks Related to Our Common St</w:t>
      </w:r>
      <w:r>
        <w:rPr>
          <w:rFonts w:ascii="Arial" w:eastAsia="Arial" w:hAnsi="Arial" w:cs="Arial"/>
          <w:b/>
          <w:bCs/>
          <w:sz w:val="20"/>
          <w:szCs w:val="20"/>
        </w:rPr>
        <w:t>ock</w:t>
      </w:r>
    </w:p>
    <w:p w:rsidR="000728AD" w:rsidRDefault="000728AD">
      <w:pPr>
        <w:spacing w:line="222" w:lineRule="exact"/>
        <w:rPr>
          <w:sz w:val="20"/>
          <w:szCs w:val="20"/>
        </w:rPr>
      </w:pPr>
    </w:p>
    <w:p w:rsidR="000728AD" w:rsidRDefault="000561BE">
      <w:pPr>
        <w:rPr>
          <w:sz w:val="20"/>
          <w:szCs w:val="20"/>
        </w:rPr>
      </w:pPr>
      <w:r>
        <w:rPr>
          <w:rFonts w:ascii="Arial" w:eastAsia="Arial" w:hAnsi="Arial" w:cs="Arial"/>
          <w:b/>
          <w:bCs/>
          <w:i/>
          <w:iCs/>
          <w:sz w:val="20"/>
          <w:szCs w:val="20"/>
        </w:rPr>
        <w:t>The trading price of our stock is highly volatile.</w:t>
      </w:r>
    </w:p>
    <w:p w:rsidR="000728AD" w:rsidRDefault="000728AD">
      <w:pPr>
        <w:spacing w:line="216" w:lineRule="exact"/>
        <w:rPr>
          <w:sz w:val="20"/>
          <w:szCs w:val="20"/>
        </w:rPr>
      </w:pPr>
    </w:p>
    <w:p w:rsidR="000728AD" w:rsidRDefault="000561BE">
      <w:pPr>
        <w:spacing w:line="291" w:lineRule="auto"/>
        <w:ind w:right="240"/>
        <w:rPr>
          <w:sz w:val="20"/>
          <w:szCs w:val="20"/>
        </w:rPr>
      </w:pPr>
      <w:r>
        <w:rPr>
          <w:rFonts w:ascii="Arial" w:eastAsia="Arial" w:hAnsi="Arial" w:cs="Arial"/>
          <w:sz w:val="18"/>
          <w:szCs w:val="18"/>
        </w:rPr>
        <w:t>Similar to the trading price of stock of other biopharmaceutical companies, the trading price of our common stock is highly volatile and is subject to wide fluctuations in response to various factors</w:t>
      </w:r>
      <w:r>
        <w:rPr>
          <w:rFonts w:ascii="Arial" w:eastAsia="Arial" w:hAnsi="Arial" w:cs="Arial"/>
          <w:sz w:val="18"/>
          <w:szCs w:val="18"/>
        </w:rPr>
        <w:t>, some of which are beyond our control, including limited trading volume. In addition to the factors discussed in this "Risk Factors" section and elsewhere in this Quarterly Report, these factors include:</w:t>
      </w:r>
    </w:p>
    <w:p w:rsidR="000728AD" w:rsidRDefault="000728AD">
      <w:pPr>
        <w:spacing w:line="179" w:lineRule="exact"/>
        <w:rPr>
          <w:sz w:val="20"/>
          <w:szCs w:val="20"/>
        </w:rPr>
      </w:pPr>
    </w:p>
    <w:p w:rsidR="000728AD" w:rsidRDefault="000561BE">
      <w:pPr>
        <w:numPr>
          <w:ilvl w:val="0"/>
          <w:numId w:val="35"/>
        </w:numPr>
        <w:tabs>
          <w:tab w:val="left" w:pos="655"/>
        </w:tabs>
        <w:spacing w:line="238" w:lineRule="auto"/>
        <w:ind w:left="660" w:right="760" w:hanging="328"/>
        <w:rPr>
          <w:rFonts w:ascii="Arial" w:eastAsia="Arial" w:hAnsi="Arial" w:cs="Arial"/>
        </w:rPr>
      </w:pPr>
      <w:r>
        <w:rPr>
          <w:rFonts w:ascii="Arial" w:eastAsia="Arial" w:hAnsi="Arial" w:cs="Arial"/>
          <w:sz w:val="20"/>
          <w:szCs w:val="20"/>
        </w:rPr>
        <w:t xml:space="preserve">any potential impact of COVID-19 on the </w:t>
      </w:r>
      <w:r>
        <w:rPr>
          <w:rFonts w:ascii="Arial" w:eastAsia="Arial" w:hAnsi="Arial" w:cs="Arial"/>
          <w:sz w:val="20"/>
          <w:szCs w:val="20"/>
        </w:rPr>
        <w:t>financial markets generally, the biopharmaceutical industry and our business and operations, including with respect to our ongoing Clinical Studies and Clinical Trials;</w:t>
      </w:r>
    </w:p>
    <w:p w:rsidR="000728AD" w:rsidRDefault="000728AD">
      <w:pPr>
        <w:spacing w:line="169" w:lineRule="exact"/>
        <w:rPr>
          <w:rFonts w:ascii="Arial" w:eastAsia="Arial" w:hAnsi="Arial" w:cs="Arial"/>
        </w:rPr>
      </w:pPr>
    </w:p>
    <w:p w:rsidR="000728AD" w:rsidRDefault="000561BE">
      <w:pPr>
        <w:numPr>
          <w:ilvl w:val="0"/>
          <w:numId w:val="35"/>
        </w:numPr>
        <w:tabs>
          <w:tab w:val="left" w:pos="655"/>
        </w:tabs>
        <w:spacing w:line="238" w:lineRule="auto"/>
        <w:ind w:left="660" w:right="20" w:hanging="328"/>
        <w:rPr>
          <w:rFonts w:ascii="Arial" w:eastAsia="Arial" w:hAnsi="Arial" w:cs="Arial"/>
        </w:rPr>
      </w:pPr>
      <w:r>
        <w:rPr>
          <w:rFonts w:ascii="Arial" w:eastAsia="Arial" w:hAnsi="Arial" w:cs="Arial"/>
          <w:sz w:val="20"/>
          <w:szCs w:val="20"/>
        </w:rPr>
        <w:t>the commencement, enrollment or results of our Clinical Studies, Clinical Trials or ch</w:t>
      </w:r>
      <w:r>
        <w:rPr>
          <w:rFonts w:ascii="Arial" w:eastAsia="Arial" w:hAnsi="Arial" w:cs="Arial"/>
          <w:sz w:val="20"/>
          <w:szCs w:val="20"/>
        </w:rPr>
        <w:t>anges in the development status of our product candidates;</w:t>
      </w:r>
    </w:p>
    <w:p w:rsidR="000728AD" w:rsidRDefault="000728AD">
      <w:pPr>
        <w:spacing w:line="169" w:lineRule="exact"/>
        <w:rPr>
          <w:rFonts w:ascii="Arial" w:eastAsia="Arial" w:hAnsi="Arial" w:cs="Arial"/>
        </w:rPr>
      </w:pPr>
    </w:p>
    <w:p w:rsidR="000728AD" w:rsidRDefault="000561BE">
      <w:pPr>
        <w:numPr>
          <w:ilvl w:val="0"/>
          <w:numId w:val="35"/>
        </w:numPr>
        <w:tabs>
          <w:tab w:val="left" w:pos="655"/>
        </w:tabs>
        <w:spacing w:line="238" w:lineRule="auto"/>
        <w:ind w:left="660" w:right="120" w:hanging="328"/>
        <w:rPr>
          <w:rFonts w:ascii="Arial" w:eastAsia="Arial" w:hAnsi="Arial" w:cs="Arial"/>
        </w:rPr>
      </w:pPr>
      <w:r>
        <w:rPr>
          <w:rFonts w:ascii="Arial" w:eastAsia="Arial" w:hAnsi="Arial" w:cs="Arial"/>
          <w:sz w:val="20"/>
          <w:szCs w:val="20"/>
        </w:rPr>
        <w:t>any delay in our regulatory filings for our product candidates and any adverse development or perceived adverse development with respect to the applicable regulatory authority's review of such fil</w:t>
      </w:r>
      <w:r>
        <w:rPr>
          <w:rFonts w:ascii="Arial" w:eastAsia="Arial" w:hAnsi="Arial" w:cs="Arial"/>
          <w:sz w:val="20"/>
          <w:szCs w:val="20"/>
        </w:rPr>
        <w:t>ings;</w:t>
      </w:r>
    </w:p>
    <w:p w:rsidR="000728AD" w:rsidRDefault="000728AD">
      <w:pPr>
        <w:spacing w:line="169" w:lineRule="exact"/>
        <w:rPr>
          <w:rFonts w:ascii="Arial" w:eastAsia="Arial" w:hAnsi="Arial" w:cs="Arial"/>
        </w:rPr>
      </w:pPr>
    </w:p>
    <w:p w:rsidR="000728AD" w:rsidRDefault="000561BE">
      <w:pPr>
        <w:numPr>
          <w:ilvl w:val="0"/>
          <w:numId w:val="35"/>
        </w:numPr>
        <w:tabs>
          <w:tab w:val="left" w:pos="655"/>
        </w:tabs>
        <w:spacing w:line="238" w:lineRule="auto"/>
        <w:ind w:left="660" w:right="100" w:hanging="328"/>
        <w:rPr>
          <w:rFonts w:ascii="Arial" w:eastAsia="Arial" w:hAnsi="Arial" w:cs="Arial"/>
        </w:rPr>
      </w:pPr>
      <w:r>
        <w:rPr>
          <w:rFonts w:ascii="Arial" w:eastAsia="Arial" w:hAnsi="Arial" w:cs="Arial"/>
          <w:sz w:val="20"/>
          <w:szCs w:val="20"/>
        </w:rPr>
        <w:t>adverse results from or delays in Clinical Studies or Clinical Trials of our product candidates, including as a result of clinical holds, safety events, enrollment or study or trial protocol amendments;</w:t>
      </w:r>
    </w:p>
    <w:p w:rsidR="000728AD" w:rsidRDefault="000728AD">
      <w:pPr>
        <w:spacing w:line="169" w:lineRule="exact"/>
        <w:rPr>
          <w:rFonts w:ascii="Arial" w:eastAsia="Arial" w:hAnsi="Arial" w:cs="Arial"/>
        </w:rPr>
      </w:pPr>
    </w:p>
    <w:p w:rsidR="000728AD" w:rsidRDefault="000561BE">
      <w:pPr>
        <w:numPr>
          <w:ilvl w:val="0"/>
          <w:numId w:val="35"/>
        </w:numPr>
        <w:tabs>
          <w:tab w:val="left" w:pos="655"/>
        </w:tabs>
        <w:spacing w:line="238" w:lineRule="auto"/>
        <w:ind w:left="660" w:right="180" w:hanging="328"/>
        <w:rPr>
          <w:rFonts w:ascii="Arial" w:eastAsia="Arial" w:hAnsi="Arial" w:cs="Arial"/>
        </w:rPr>
      </w:pPr>
      <w:r>
        <w:rPr>
          <w:rFonts w:ascii="Arial" w:eastAsia="Arial" w:hAnsi="Arial" w:cs="Arial"/>
          <w:sz w:val="20"/>
          <w:szCs w:val="20"/>
        </w:rPr>
        <w:t xml:space="preserve">our decision to initiate a Clinical Study or </w:t>
      </w:r>
      <w:r>
        <w:rPr>
          <w:rFonts w:ascii="Arial" w:eastAsia="Arial" w:hAnsi="Arial" w:cs="Arial"/>
          <w:sz w:val="20"/>
          <w:szCs w:val="20"/>
        </w:rPr>
        <w:t>Clinical Trial, not to initiate a Clinical Study or Clinical Trial or to terminate an existing Clinical Study or Clinical Trial, or being required to do so by any regulatory authority;</w:t>
      </w:r>
    </w:p>
    <w:p w:rsidR="000728AD" w:rsidRDefault="000728AD">
      <w:pPr>
        <w:spacing w:line="169" w:lineRule="exact"/>
        <w:rPr>
          <w:rFonts w:ascii="Arial" w:eastAsia="Arial" w:hAnsi="Arial" w:cs="Arial"/>
        </w:rPr>
      </w:pPr>
    </w:p>
    <w:p w:rsidR="000728AD" w:rsidRDefault="000561BE">
      <w:pPr>
        <w:numPr>
          <w:ilvl w:val="0"/>
          <w:numId w:val="35"/>
        </w:numPr>
        <w:tabs>
          <w:tab w:val="left" w:pos="655"/>
        </w:tabs>
        <w:spacing w:line="306" w:lineRule="auto"/>
        <w:ind w:left="660" w:right="80" w:hanging="328"/>
        <w:rPr>
          <w:rFonts w:ascii="Arial" w:eastAsia="Arial" w:hAnsi="Arial" w:cs="Arial"/>
          <w:sz w:val="18"/>
          <w:szCs w:val="18"/>
        </w:rPr>
      </w:pPr>
      <w:r>
        <w:rPr>
          <w:rFonts w:ascii="Arial" w:eastAsia="Arial" w:hAnsi="Arial" w:cs="Arial"/>
          <w:sz w:val="17"/>
          <w:szCs w:val="17"/>
        </w:rPr>
        <w:t xml:space="preserve">adverse regulatory decisions, including the FDA's </w:t>
      </w:r>
      <w:r>
        <w:rPr>
          <w:rFonts w:ascii="Arial" w:eastAsia="Arial" w:hAnsi="Arial" w:cs="Arial"/>
          <w:sz w:val="17"/>
          <w:szCs w:val="17"/>
        </w:rPr>
        <w:t>disagreeing with our interpretation and application of applicable rules and regulations and any government actions that may arise from such disagreement and our failure to receive regulatory approval of our product candidates for therapeutic indications or</w:t>
      </w:r>
      <w:r>
        <w:rPr>
          <w:rFonts w:ascii="Arial" w:eastAsia="Arial" w:hAnsi="Arial" w:cs="Arial"/>
          <w:sz w:val="17"/>
          <w:szCs w:val="17"/>
        </w:rPr>
        <w:t xml:space="preserve"> to proceed on alternate regulatory pathways to market for our product candidates;</w:t>
      </w:r>
    </w:p>
    <w:p w:rsidR="000728AD" w:rsidRDefault="000728AD">
      <w:pPr>
        <w:spacing w:line="115" w:lineRule="exact"/>
        <w:rPr>
          <w:rFonts w:ascii="Arial" w:eastAsia="Arial" w:hAnsi="Arial" w:cs="Arial"/>
          <w:sz w:val="18"/>
          <w:szCs w:val="18"/>
        </w:rPr>
      </w:pPr>
    </w:p>
    <w:p w:rsidR="000728AD" w:rsidRDefault="000561BE">
      <w:pPr>
        <w:numPr>
          <w:ilvl w:val="0"/>
          <w:numId w:val="35"/>
        </w:numPr>
        <w:tabs>
          <w:tab w:val="left" w:pos="655"/>
        </w:tabs>
        <w:spacing w:line="238" w:lineRule="auto"/>
        <w:ind w:left="660" w:right="140" w:hanging="328"/>
        <w:rPr>
          <w:rFonts w:ascii="Arial" w:eastAsia="Arial" w:hAnsi="Arial" w:cs="Arial"/>
        </w:rPr>
      </w:pPr>
      <w:r>
        <w:rPr>
          <w:rFonts w:ascii="Arial" w:eastAsia="Arial" w:hAnsi="Arial" w:cs="Arial"/>
          <w:sz w:val="20"/>
          <w:szCs w:val="20"/>
        </w:rPr>
        <w:t>changes in laws or regulations applicable to our products, including, but not limited to, Clinical Trial requirements for approvals of drugs or marketing of non-drug produc</w:t>
      </w:r>
      <w:r>
        <w:rPr>
          <w:rFonts w:ascii="Arial" w:eastAsia="Arial" w:hAnsi="Arial" w:cs="Arial"/>
          <w:sz w:val="20"/>
          <w:szCs w:val="20"/>
        </w:rPr>
        <w:t>ts;</w:t>
      </w:r>
    </w:p>
    <w:p w:rsidR="000728AD" w:rsidRDefault="000728AD">
      <w:pPr>
        <w:spacing w:line="166" w:lineRule="exact"/>
        <w:rPr>
          <w:rFonts w:ascii="Arial" w:eastAsia="Arial" w:hAnsi="Arial" w:cs="Arial"/>
        </w:rPr>
      </w:pPr>
    </w:p>
    <w:p w:rsidR="000728AD" w:rsidRDefault="000561BE">
      <w:pPr>
        <w:numPr>
          <w:ilvl w:val="0"/>
          <w:numId w:val="35"/>
        </w:numPr>
        <w:tabs>
          <w:tab w:val="left" w:pos="660"/>
        </w:tabs>
        <w:ind w:left="660" w:hanging="328"/>
        <w:rPr>
          <w:rFonts w:ascii="Arial" w:eastAsia="Arial" w:hAnsi="Arial" w:cs="Arial"/>
        </w:rPr>
      </w:pPr>
      <w:r>
        <w:rPr>
          <w:rFonts w:ascii="Arial" w:eastAsia="Arial" w:hAnsi="Arial" w:cs="Arial"/>
          <w:sz w:val="20"/>
          <w:szCs w:val="20"/>
        </w:rPr>
        <w:t>adverse developments concerning our manufacturers;</w:t>
      </w:r>
    </w:p>
    <w:p w:rsidR="000728AD" w:rsidRDefault="000728AD">
      <w:pPr>
        <w:spacing w:line="165" w:lineRule="exact"/>
        <w:rPr>
          <w:rFonts w:ascii="Arial" w:eastAsia="Arial" w:hAnsi="Arial" w:cs="Arial"/>
        </w:rPr>
      </w:pPr>
    </w:p>
    <w:p w:rsidR="000728AD" w:rsidRDefault="000561BE">
      <w:pPr>
        <w:numPr>
          <w:ilvl w:val="0"/>
          <w:numId w:val="35"/>
        </w:numPr>
        <w:tabs>
          <w:tab w:val="left" w:pos="660"/>
        </w:tabs>
        <w:ind w:left="660" w:hanging="328"/>
        <w:rPr>
          <w:rFonts w:ascii="Arial" w:eastAsia="Arial" w:hAnsi="Arial" w:cs="Arial"/>
        </w:rPr>
      </w:pPr>
      <w:r>
        <w:rPr>
          <w:rFonts w:ascii="Arial" w:eastAsia="Arial" w:hAnsi="Arial" w:cs="Arial"/>
          <w:sz w:val="20"/>
          <w:szCs w:val="20"/>
        </w:rPr>
        <w:t>our inability to obtain adequate product supply for any approved product or inability to do so at acceptable prices;</w:t>
      </w:r>
    </w:p>
    <w:p w:rsidR="000728AD" w:rsidRDefault="000728AD">
      <w:pPr>
        <w:spacing w:line="165" w:lineRule="exact"/>
        <w:rPr>
          <w:rFonts w:ascii="Arial" w:eastAsia="Arial" w:hAnsi="Arial" w:cs="Arial"/>
        </w:rPr>
      </w:pPr>
    </w:p>
    <w:p w:rsidR="000728AD" w:rsidRDefault="000561BE">
      <w:pPr>
        <w:numPr>
          <w:ilvl w:val="0"/>
          <w:numId w:val="35"/>
        </w:numPr>
        <w:tabs>
          <w:tab w:val="left" w:pos="660"/>
        </w:tabs>
        <w:ind w:left="660" w:hanging="328"/>
        <w:rPr>
          <w:rFonts w:ascii="Arial" w:eastAsia="Arial" w:hAnsi="Arial" w:cs="Arial"/>
        </w:rPr>
      </w:pPr>
      <w:r>
        <w:rPr>
          <w:rFonts w:ascii="Arial" w:eastAsia="Arial" w:hAnsi="Arial" w:cs="Arial"/>
          <w:sz w:val="20"/>
          <w:szCs w:val="20"/>
        </w:rPr>
        <w:t>our inability to establish collaborations, if needed;</w:t>
      </w:r>
    </w:p>
    <w:p w:rsidR="000728AD" w:rsidRDefault="000728AD">
      <w:pPr>
        <w:spacing w:line="165" w:lineRule="exact"/>
        <w:rPr>
          <w:rFonts w:ascii="Arial" w:eastAsia="Arial" w:hAnsi="Arial" w:cs="Arial"/>
        </w:rPr>
      </w:pPr>
    </w:p>
    <w:p w:rsidR="000728AD" w:rsidRDefault="000561BE">
      <w:pPr>
        <w:numPr>
          <w:ilvl w:val="0"/>
          <w:numId w:val="35"/>
        </w:numPr>
        <w:tabs>
          <w:tab w:val="left" w:pos="660"/>
        </w:tabs>
        <w:ind w:left="660" w:hanging="328"/>
        <w:rPr>
          <w:rFonts w:ascii="Arial" w:eastAsia="Arial" w:hAnsi="Arial" w:cs="Arial"/>
        </w:rPr>
      </w:pPr>
      <w:r>
        <w:rPr>
          <w:rFonts w:ascii="Arial" w:eastAsia="Arial" w:hAnsi="Arial" w:cs="Arial"/>
          <w:sz w:val="20"/>
          <w:szCs w:val="20"/>
        </w:rPr>
        <w:t>our failure to commerciali</w:t>
      </w:r>
      <w:r>
        <w:rPr>
          <w:rFonts w:ascii="Arial" w:eastAsia="Arial" w:hAnsi="Arial" w:cs="Arial"/>
          <w:sz w:val="20"/>
          <w:szCs w:val="20"/>
        </w:rPr>
        <w:t>ze our product candidates;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92" w:lineRule="exact"/>
        <w:rPr>
          <w:sz w:val="20"/>
          <w:szCs w:val="20"/>
        </w:rPr>
      </w:pPr>
    </w:p>
    <w:p w:rsidR="000728AD" w:rsidRDefault="000561BE">
      <w:pPr>
        <w:ind w:right="-79"/>
        <w:jc w:val="center"/>
        <w:rPr>
          <w:sz w:val="20"/>
          <w:szCs w:val="20"/>
        </w:rPr>
      </w:pPr>
      <w:r>
        <w:rPr>
          <w:rFonts w:ascii="Arial" w:eastAsia="Arial" w:hAnsi="Arial" w:cs="Arial"/>
          <w:sz w:val="18"/>
          <w:szCs w:val="18"/>
        </w:rPr>
        <w:t>91</w:t>
      </w:r>
    </w:p>
    <w:p w:rsidR="000728AD" w:rsidRDefault="000561BE">
      <w:pPr>
        <w:spacing w:line="20" w:lineRule="exact"/>
        <w:rPr>
          <w:sz w:val="20"/>
          <w:szCs w:val="20"/>
        </w:rPr>
      </w:pPr>
      <w:r>
        <w:rPr>
          <w:noProof/>
          <w:sz w:val="20"/>
          <w:szCs w:val="20"/>
        </w:rPr>
        <w:drawing>
          <wp:anchor distT="0" distB="0" distL="114300" distR="114300" simplePos="0" relativeHeight="251701248"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419" w:bottom="1440" w:left="320" w:header="0" w:footer="0" w:gutter="0"/>
          <w:cols w:space="720" w:equalWidth="0">
            <w:col w:w="11160"/>
          </w:cols>
        </w:sectPr>
      </w:pPr>
    </w:p>
    <w:bookmarkStart w:id="92" w:name="page92"/>
    <w:bookmarkEnd w:id="92"/>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25" w:lineRule="exact"/>
        <w:rPr>
          <w:sz w:val="20"/>
          <w:szCs w:val="20"/>
        </w:rPr>
      </w:pPr>
    </w:p>
    <w:p w:rsidR="000728AD" w:rsidRDefault="000561BE">
      <w:pPr>
        <w:numPr>
          <w:ilvl w:val="0"/>
          <w:numId w:val="36"/>
        </w:numPr>
        <w:tabs>
          <w:tab w:val="left" w:pos="660"/>
        </w:tabs>
        <w:ind w:left="660" w:hanging="328"/>
        <w:rPr>
          <w:rFonts w:ascii="Arial" w:eastAsia="Arial" w:hAnsi="Arial" w:cs="Arial"/>
        </w:rPr>
      </w:pPr>
      <w:r>
        <w:rPr>
          <w:rFonts w:ascii="Arial" w:eastAsia="Arial" w:hAnsi="Arial" w:cs="Arial"/>
          <w:sz w:val="20"/>
          <w:szCs w:val="20"/>
        </w:rPr>
        <w:t>additions or departures of key scientific or management personnel;</w:t>
      </w:r>
    </w:p>
    <w:p w:rsidR="000728AD" w:rsidRDefault="000728AD">
      <w:pPr>
        <w:spacing w:line="165" w:lineRule="exact"/>
        <w:rPr>
          <w:rFonts w:ascii="Arial" w:eastAsia="Arial" w:hAnsi="Arial" w:cs="Arial"/>
        </w:rPr>
      </w:pPr>
    </w:p>
    <w:p w:rsidR="000728AD" w:rsidRDefault="000561BE">
      <w:pPr>
        <w:numPr>
          <w:ilvl w:val="0"/>
          <w:numId w:val="36"/>
        </w:numPr>
        <w:tabs>
          <w:tab w:val="left" w:pos="660"/>
        </w:tabs>
        <w:ind w:left="660" w:hanging="328"/>
        <w:rPr>
          <w:rFonts w:ascii="Arial" w:eastAsia="Arial" w:hAnsi="Arial" w:cs="Arial"/>
        </w:rPr>
      </w:pPr>
      <w:r>
        <w:rPr>
          <w:rFonts w:ascii="Arial" w:eastAsia="Arial" w:hAnsi="Arial" w:cs="Arial"/>
          <w:sz w:val="20"/>
          <w:szCs w:val="20"/>
        </w:rPr>
        <w:t xml:space="preserve">unanticipated serious safety concerns related to the use of our product </w:t>
      </w:r>
      <w:r>
        <w:rPr>
          <w:rFonts w:ascii="Arial" w:eastAsia="Arial" w:hAnsi="Arial" w:cs="Arial"/>
          <w:sz w:val="20"/>
          <w:szCs w:val="20"/>
        </w:rPr>
        <w:t>candidates;</w:t>
      </w:r>
    </w:p>
    <w:p w:rsidR="000728AD" w:rsidRDefault="000728AD">
      <w:pPr>
        <w:spacing w:line="165" w:lineRule="exact"/>
        <w:rPr>
          <w:rFonts w:ascii="Arial" w:eastAsia="Arial" w:hAnsi="Arial" w:cs="Arial"/>
        </w:rPr>
      </w:pPr>
    </w:p>
    <w:p w:rsidR="000728AD" w:rsidRDefault="000561BE">
      <w:pPr>
        <w:numPr>
          <w:ilvl w:val="0"/>
          <w:numId w:val="36"/>
        </w:numPr>
        <w:tabs>
          <w:tab w:val="left" w:pos="660"/>
        </w:tabs>
        <w:ind w:left="660" w:hanging="328"/>
        <w:rPr>
          <w:rFonts w:ascii="Arial" w:eastAsia="Arial" w:hAnsi="Arial" w:cs="Arial"/>
        </w:rPr>
      </w:pPr>
      <w:r>
        <w:rPr>
          <w:rFonts w:ascii="Arial" w:eastAsia="Arial" w:hAnsi="Arial" w:cs="Arial"/>
          <w:sz w:val="20"/>
          <w:szCs w:val="20"/>
        </w:rPr>
        <w:t>introduction of new products or services by our competitors;</w:t>
      </w:r>
    </w:p>
    <w:p w:rsidR="000728AD" w:rsidRDefault="000728AD">
      <w:pPr>
        <w:spacing w:line="168" w:lineRule="exact"/>
        <w:rPr>
          <w:rFonts w:ascii="Arial" w:eastAsia="Arial" w:hAnsi="Arial" w:cs="Arial"/>
        </w:rPr>
      </w:pPr>
    </w:p>
    <w:p w:rsidR="000728AD" w:rsidRDefault="000561BE">
      <w:pPr>
        <w:numPr>
          <w:ilvl w:val="0"/>
          <w:numId w:val="36"/>
        </w:numPr>
        <w:tabs>
          <w:tab w:val="left" w:pos="660"/>
        </w:tabs>
        <w:ind w:left="660" w:hanging="328"/>
        <w:rPr>
          <w:rFonts w:ascii="Arial" w:eastAsia="Arial" w:hAnsi="Arial" w:cs="Arial"/>
          <w:sz w:val="19"/>
          <w:szCs w:val="19"/>
        </w:rPr>
      </w:pPr>
      <w:r>
        <w:rPr>
          <w:rFonts w:ascii="Arial" w:eastAsia="Arial" w:hAnsi="Arial" w:cs="Arial"/>
          <w:sz w:val="18"/>
          <w:szCs w:val="18"/>
        </w:rPr>
        <w:t>announcements of significant acquisitions, strategic partnerships, joint ventures or capital commitments by us or our competitors;</w:t>
      </w:r>
    </w:p>
    <w:p w:rsidR="000728AD" w:rsidRDefault="000728AD">
      <w:pPr>
        <w:spacing w:line="197" w:lineRule="exact"/>
        <w:rPr>
          <w:rFonts w:ascii="Arial" w:eastAsia="Arial" w:hAnsi="Arial" w:cs="Arial"/>
          <w:sz w:val="19"/>
          <w:szCs w:val="19"/>
        </w:rPr>
      </w:pPr>
    </w:p>
    <w:p w:rsidR="000728AD" w:rsidRDefault="000561BE">
      <w:pPr>
        <w:numPr>
          <w:ilvl w:val="0"/>
          <w:numId w:val="36"/>
        </w:numPr>
        <w:tabs>
          <w:tab w:val="left" w:pos="660"/>
        </w:tabs>
        <w:ind w:left="660" w:hanging="328"/>
        <w:rPr>
          <w:rFonts w:ascii="Arial" w:eastAsia="Arial" w:hAnsi="Arial" w:cs="Arial"/>
        </w:rPr>
      </w:pPr>
      <w:r>
        <w:rPr>
          <w:rFonts w:ascii="Arial" w:eastAsia="Arial" w:hAnsi="Arial" w:cs="Arial"/>
          <w:sz w:val="20"/>
          <w:szCs w:val="20"/>
        </w:rPr>
        <w:t xml:space="preserve">our ability to effectively manage our </w:t>
      </w:r>
      <w:r>
        <w:rPr>
          <w:rFonts w:ascii="Arial" w:eastAsia="Arial" w:hAnsi="Arial" w:cs="Arial"/>
          <w:sz w:val="20"/>
          <w:szCs w:val="20"/>
        </w:rPr>
        <w:t>growth;</w:t>
      </w:r>
    </w:p>
    <w:p w:rsidR="000728AD" w:rsidRDefault="000728AD">
      <w:pPr>
        <w:spacing w:line="165" w:lineRule="exact"/>
        <w:rPr>
          <w:rFonts w:ascii="Arial" w:eastAsia="Arial" w:hAnsi="Arial" w:cs="Arial"/>
        </w:rPr>
      </w:pPr>
    </w:p>
    <w:p w:rsidR="000728AD" w:rsidRDefault="000561BE">
      <w:pPr>
        <w:numPr>
          <w:ilvl w:val="0"/>
          <w:numId w:val="36"/>
        </w:numPr>
        <w:tabs>
          <w:tab w:val="left" w:pos="660"/>
        </w:tabs>
        <w:ind w:left="660" w:hanging="328"/>
        <w:rPr>
          <w:rFonts w:ascii="Arial" w:eastAsia="Arial" w:hAnsi="Arial" w:cs="Arial"/>
        </w:rPr>
      </w:pPr>
      <w:r>
        <w:rPr>
          <w:rFonts w:ascii="Arial" w:eastAsia="Arial" w:hAnsi="Arial" w:cs="Arial"/>
          <w:sz w:val="20"/>
          <w:szCs w:val="20"/>
        </w:rPr>
        <w:t>the size and growth of our initial target markets;</w:t>
      </w:r>
    </w:p>
    <w:p w:rsidR="000728AD" w:rsidRDefault="000728AD">
      <w:pPr>
        <w:spacing w:line="165" w:lineRule="exact"/>
        <w:rPr>
          <w:rFonts w:ascii="Arial" w:eastAsia="Arial" w:hAnsi="Arial" w:cs="Arial"/>
        </w:rPr>
      </w:pPr>
    </w:p>
    <w:p w:rsidR="000728AD" w:rsidRDefault="000561BE">
      <w:pPr>
        <w:numPr>
          <w:ilvl w:val="0"/>
          <w:numId w:val="36"/>
        </w:numPr>
        <w:tabs>
          <w:tab w:val="left" w:pos="660"/>
        </w:tabs>
        <w:ind w:left="660" w:hanging="328"/>
        <w:rPr>
          <w:rFonts w:ascii="Arial" w:eastAsia="Arial" w:hAnsi="Arial" w:cs="Arial"/>
        </w:rPr>
      </w:pPr>
      <w:r>
        <w:rPr>
          <w:rFonts w:ascii="Arial" w:eastAsia="Arial" w:hAnsi="Arial" w:cs="Arial"/>
          <w:sz w:val="20"/>
          <w:szCs w:val="20"/>
        </w:rPr>
        <w:t>actual or anticipated variations in quarterly or annual operating results;</w:t>
      </w:r>
    </w:p>
    <w:p w:rsidR="000728AD" w:rsidRDefault="000728AD">
      <w:pPr>
        <w:spacing w:line="165" w:lineRule="exact"/>
        <w:rPr>
          <w:rFonts w:ascii="Arial" w:eastAsia="Arial" w:hAnsi="Arial" w:cs="Arial"/>
        </w:rPr>
      </w:pPr>
    </w:p>
    <w:p w:rsidR="000728AD" w:rsidRDefault="000561BE">
      <w:pPr>
        <w:numPr>
          <w:ilvl w:val="0"/>
          <w:numId w:val="36"/>
        </w:numPr>
        <w:tabs>
          <w:tab w:val="left" w:pos="660"/>
        </w:tabs>
        <w:ind w:left="660" w:hanging="328"/>
        <w:rPr>
          <w:rFonts w:ascii="Arial" w:eastAsia="Arial" w:hAnsi="Arial" w:cs="Arial"/>
        </w:rPr>
      </w:pPr>
      <w:r>
        <w:rPr>
          <w:rFonts w:ascii="Arial" w:eastAsia="Arial" w:hAnsi="Arial" w:cs="Arial"/>
          <w:sz w:val="20"/>
          <w:szCs w:val="20"/>
        </w:rPr>
        <w:t>our cash position;</w:t>
      </w:r>
    </w:p>
    <w:p w:rsidR="000728AD" w:rsidRDefault="000728AD">
      <w:pPr>
        <w:spacing w:line="168" w:lineRule="exact"/>
        <w:rPr>
          <w:rFonts w:ascii="Arial" w:eastAsia="Arial" w:hAnsi="Arial" w:cs="Arial"/>
        </w:rPr>
      </w:pPr>
    </w:p>
    <w:p w:rsidR="000728AD" w:rsidRDefault="000561BE">
      <w:pPr>
        <w:numPr>
          <w:ilvl w:val="0"/>
          <w:numId w:val="36"/>
        </w:numPr>
        <w:tabs>
          <w:tab w:val="left" w:pos="660"/>
        </w:tabs>
        <w:ind w:left="660" w:hanging="328"/>
        <w:rPr>
          <w:rFonts w:ascii="Arial" w:eastAsia="Arial" w:hAnsi="Arial" w:cs="Arial"/>
          <w:sz w:val="19"/>
          <w:szCs w:val="19"/>
        </w:rPr>
      </w:pPr>
      <w:r>
        <w:rPr>
          <w:rFonts w:ascii="Arial" w:eastAsia="Arial" w:hAnsi="Arial" w:cs="Arial"/>
          <w:sz w:val="18"/>
          <w:szCs w:val="18"/>
        </w:rPr>
        <w:t>our failure to meet the estimates and projections of the investment community or that we may otherw</w:t>
      </w:r>
      <w:r>
        <w:rPr>
          <w:rFonts w:ascii="Arial" w:eastAsia="Arial" w:hAnsi="Arial" w:cs="Arial"/>
          <w:sz w:val="18"/>
          <w:szCs w:val="18"/>
        </w:rPr>
        <w:t>ise provide to the public;</w:t>
      </w:r>
    </w:p>
    <w:p w:rsidR="000728AD" w:rsidRDefault="000728AD">
      <w:pPr>
        <w:spacing w:line="200" w:lineRule="exact"/>
        <w:rPr>
          <w:rFonts w:ascii="Arial" w:eastAsia="Arial" w:hAnsi="Arial" w:cs="Arial"/>
          <w:sz w:val="19"/>
          <w:szCs w:val="19"/>
        </w:rPr>
      </w:pPr>
    </w:p>
    <w:p w:rsidR="000728AD" w:rsidRDefault="000561BE">
      <w:pPr>
        <w:numPr>
          <w:ilvl w:val="0"/>
          <w:numId w:val="36"/>
        </w:numPr>
        <w:tabs>
          <w:tab w:val="left" w:pos="655"/>
        </w:tabs>
        <w:spacing w:line="238" w:lineRule="auto"/>
        <w:ind w:left="660" w:hanging="328"/>
        <w:rPr>
          <w:rFonts w:ascii="Arial" w:eastAsia="Arial" w:hAnsi="Arial" w:cs="Arial"/>
        </w:rPr>
      </w:pPr>
      <w:r>
        <w:rPr>
          <w:rFonts w:ascii="Arial" w:eastAsia="Arial" w:hAnsi="Arial" w:cs="Arial"/>
          <w:sz w:val="20"/>
          <w:szCs w:val="20"/>
        </w:rPr>
        <w:t>publication of research reports about us or our industry or positive or negative recommendations or withdrawal of research coverage by securities analysts;</w:t>
      </w:r>
    </w:p>
    <w:p w:rsidR="000728AD" w:rsidRDefault="000728AD">
      <w:pPr>
        <w:spacing w:line="166" w:lineRule="exact"/>
        <w:rPr>
          <w:rFonts w:ascii="Arial" w:eastAsia="Arial" w:hAnsi="Arial" w:cs="Arial"/>
        </w:rPr>
      </w:pPr>
    </w:p>
    <w:p w:rsidR="000728AD" w:rsidRDefault="000561BE">
      <w:pPr>
        <w:numPr>
          <w:ilvl w:val="0"/>
          <w:numId w:val="36"/>
        </w:numPr>
        <w:tabs>
          <w:tab w:val="left" w:pos="660"/>
        </w:tabs>
        <w:ind w:left="660" w:hanging="328"/>
        <w:rPr>
          <w:rFonts w:ascii="Arial" w:eastAsia="Arial" w:hAnsi="Arial" w:cs="Arial"/>
        </w:rPr>
      </w:pPr>
      <w:r>
        <w:rPr>
          <w:rFonts w:ascii="Arial" w:eastAsia="Arial" w:hAnsi="Arial" w:cs="Arial"/>
          <w:sz w:val="20"/>
          <w:szCs w:val="20"/>
        </w:rPr>
        <w:t>changes in the market valuations of similar companies;</w:t>
      </w:r>
    </w:p>
    <w:p w:rsidR="000728AD" w:rsidRDefault="000728AD">
      <w:pPr>
        <w:spacing w:line="165" w:lineRule="exact"/>
        <w:rPr>
          <w:rFonts w:ascii="Arial" w:eastAsia="Arial" w:hAnsi="Arial" w:cs="Arial"/>
        </w:rPr>
      </w:pPr>
    </w:p>
    <w:p w:rsidR="000728AD" w:rsidRDefault="000561BE">
      <w:pPr>
        <w:numPr>
          <w:ilvl w:val="0"/>
          <w:numId w:val="36"/>
        </w:numPr>
        <w:tabs>
          <w:tab w:val="left" w:pos="660"/>
        </w:tabs>
        <w:ind w:left="660" w:hanging="328"/>
        <w:rPr>
          <w:rFonts w:ascii="Arial" w:eastAsia="Arial" w:hAnsi="Arial" w:cs="Arial"/>
        </w:rPr>
      </w:pPr>
      <w:r>
        <w:rPr>
          <w:rFonts w:ascii="Arial" w:eastAsia="Arial" w:hAnsi="Arial" w:cs="Arial"/>
          <w:sz w:val="20"/>
          <w:szCs w:val="20"/>
        </w:rPr>
        <w:t xml:space="preserve">overall </w:t>
      </w:r>
      <w:r>
        <w:rPr>
          <w:rFonts w:ascii="Arial" w:eastAsia="Arial" w:hAnsi="Arial" w:cs="Arial"/>
          <w:sz w:val="20"/>
          <w:szCs w:val="20"/>
        </w:rPr>
        <w:t>performance of the equity markets;</w:t>
      </w:r>
    </w:p>
    <w:p w:rsidR="000728AD" w:rsidRDefault="000728AD">
      <w:pPr>
        <w:spacing w:line="165" w:lineRule="exact"/>
        <w:rPr>
          <w:rFonts w:ascii="Arial" w:eastAsia="Arial" w:hAnsi="Arial" w:cs="Arial"/>
        </w:rPr>
      </w:pPr>
    </w:p>
    <w:p w:rsidR="000728AD" w:rsidRDefault="000561BE">
      <w:pPr>
        <w:numPr>
          <w:ilvl w:val="0"/>
          <w:numId w:val="36"/>
        </w:numPr>
        <w:tabs>
          <w:tab w:val="left" w:pos="660"/>
        </w:tabs>
        <w:ind w:left="660" w:hanging="328"/>
        <w:rPr>
          <w:rFonts w:ascii="Arial" w:eastAsia="Arial" w:hAnsi="Arial" w:cs="Arial"/>
        </w:rPr>
      </w:pPr>
      <w:r>
        <w:rPr>
          <w:rFonts w:ascii="Arial" w:eastAsia="Arial" w:hAnsi="Arial" w:cs="Arial"/>
          <w:sz w:val="20"/>
          <w:szCs w:val="20"/>
        </w:rPr>
        <w:t>sales of our common stock by us or our stockholders in the future;</w:t>
      </w:r>
    </w:p>
    <w:p w:rsidR="000728AD" w:rsidRDefault="000728AD">
      <w:pPr>
        <w:spacing w:line="165" w:lineRule="exact"/>
        <w:rPr>
          <w:rFonts w:ascii="Arial" w:eastAsia="Arial" w:hAnsi="Arial" w:cs="Arial"/>
        </w:rPr>
      </w:pPr>
    </w:p>
    <w:p w:rsidR="000728AD" w:rsidRDefault="000561BE">
      <w:pPr>
        <w:numPr>
          <w:ilvl w:val="0"/>
          <w:numId w:val="36"/>
        </w:numPr>
        <w:tabs>
          <w:tab w:val="left" w:pos="660"/>
        </w:tabs>
        <w:ind w:left="660" w:hanging="328"/>
        <w:rPr>
          <w:rFonts w:ascii="Arial" w:eastAsia="Arial" w:hAnsi="Arial" w:cs="Arial"/>
        </w:rPr>
      </w:pPr>
      <w:r>
        <w:rPr>
          <w:rFonts w:ascii="Arial" w:eastAsia="Arial" w:hAnsi="Arial" w:cs="Arial"/>
          <w:sz w:val="20"/>
          <w:szCs w:val="20"/>
        </w:rPr>
        <w:t>trading volume of our common stock;</w:t>
      </w:r>
    </w:p>
    <w:p w:rsidR="000728AD" w:rsidRDefault="000728AD">
      <w:pPr>
        <w:spacing w:line="165" w:lineRule="exact"/>
        <w:rPr>
          <w:rFonts w:ascii="Arial" w:eastAsia="Arial" w:hAnsi="Arial" w:cs="Arial"/>
        </w:rPr>
      </w:pPr>
    </w:p>
    <w:p w:rsidR="000728AD" w:rsidRDefault="000561BE">
      <w:pPr>
        <w:numPr>
          <w:ilvl w:val="0"/>
          <w:numId w:val="36"/>
        </w:numPr>
        <w:tabs>
          <w:tab w:val="left" w:pos="660"/>
        </w:tabs>
        <w:ind w:left="660" w:hanging="328"/>
        <w:rPr>
          <w:rFonts w:ascii="Arial" w:eastAsia="Arial" w:hAnsi="Arial" w:cs="Arial"/>
        </w:rPr>
      </w:pPr>
      <w:r>
        <w:rPr>
          <w:rFonts w:ascii="Arial" w:eastAsia="Arial" w:hAnsi="Arial" w:cs="Arial"/>
          <w:sz w:val="20"/>
          <w:szCs w:val="20"/>
        </w:rPr>
        <w:t>adoption of new accounting standards;</w:t>
      </w:r>
    </w:p>
    <w:p w:rsidR="000728AD" w:rsidRDefault="000728AD">
      <w:pPr>
        <w:spacing w:line="165" w:lineRule="exact"/>
        <w:rPr>
          <w:rFonts w:ascii="Arial" w:eastAsia="Arial" w:hAnsi="Arial" w:cs="Arial"/>
        </w:rPr>
      </w:pPr>
    </w:p>
    <w:p w:rsidR="000728AD" w:rsidRDefault="000561BE">
      <w:pPr>
        <w:numPr>
          <w:ilvl w:val="0"/>
          <w:numId w:val="36"/>
        </w:numPr>
        <w:tabs>
          <w:tab w:val="left" w:pos="660"/>
        </w:tabs>
        <w:ind w:left="660" w:hanging="328"/>
        <w:rPr>
          <w:rFonts w:ascii="Arial" w:eastAsia="Arial" w:hAnsi="Arial" w:cs="Arial"/>
        </w:rPr>
      </w:pPr>
      <w:r>
        <w:rPr>
          <w:rFonts w:ascii="Arial" w:eastAsia="Arial" w:hAnsi="Arial" w:cs="Arial"/>
          <w:sz w:val="20"/>
          <w:szCs w:val="20"/>
        </w:rPr>
        <w:t>ineffectiveness of our internal controls;</w:t>
      </w:r>
    </w:p>
    <w:p w:rsidR="000728AD" w:rsidRDefault="000728AD">
      <w:pPr>
        <w:spacing w:line="168" w:lineRule="exact"/>
        <w:rPr>
          <w:rFonts w:ascii="Arial" w:eastAsia="Arial" w:hAnsi="Arial" w:cs="Arial"/>
        </w:rPr>
      </w:pPr>
    </w:p>
    <w:p w:rsidR="000728AD" w:rsidRDefault="000561BE">
      <w:pPr>
        <w:numPr>
          <w:ilvl w:val="0"/>
          <w:numId w:val="36"/>
        </w:numPr>
        <w:tabs>
          <w:tab w:val="left" w:pos="655"/>
        </w:tabs>
        <w:spacing w:line="238" w:lineRule="auto"/>
        <w:ind w:left="660" w:right="340" w:hanging="328"/>
        <w:rPr>
          <w:rFonts w:ascii="Arial" w:eastAsia="Arial" w:hAnsi="Arial" w:cs="Arial"/>
        </w:rPr>
      </w:pPr>
      <w:r>
        <w:rPr>
          <w:rFonts w:ascii="Arial" w:eastAsia="Arial" w:hAnsi="Arial" w:cs="Arial"/>
          <w:sz w:val="20"/>
          <w:szCs w:val="20"/>
        </w:rPr>
        <w:t>disputes or other developments re</w:t>
      </w:r>
      <w:r>
        <w:rPr>
          <w:rFonts w:ascii="Arial" w:eastAsia="Arial" w:hAnsi="Arial" w:cs="Arial"/>
          <w:sz w:val="20"/>
          <w:szCs w:val="20"/>
        </w:rPr>
        <w:t>lating to proprietary rights, including patents, litigation matters and our ability to obtain patent protection for our technologies;</w:t>
      </w:r>
    </w:p>
    <w:p w:rsidR="000728AD" w:rsidRDefault="000728AD">
      <w:pPr>
        <w:spacing w:line="166" w:lineRule="exact"/>
        <w:rPr>
          <w:rFonts w:ascii="Arial" w:eastAsia="Arial" w:hAnsi="Arial" w:cs="Arial"/>
        </w:rPr>
      </w:pPr>
    </w:p>
    <w:p w:rsidR="000728AD" w:rsidRDefault="000561BE">
      <w:pPr>
        <w:numPr>
          <w:ilvl w:val="0"/>
          <w:numId w:val="36"/>
        </w:numPr>
        <w:tabs>
          <w:tab w:val="left" w:pos="660"/>
        </w:tabs>
        <w:ind w:left="660" w:hanging="328"/>
        <w:rPr>
          <w:rFonts w:ascii="Arial" w:eastAsia="Arial" w:hAnsi="Arial" w:cs="Arial"/>
        </w:rPr>
      </w:pPr>
      <w:r>
        <w:rPr>
          <w:rFonts w:ascii="Arial" w:eastAsia="Arial" w:hAnsi="Arial" w:cs="Arial"/>
          <w:sz w:val="20"/>
          <w:szCs w:val="20"/>
        </w:rPr>
        <w:t>significant lawsuits, including patent or stockholder litigation;</w:t>
      </w:r>
    </w:p>
    <w:p w:rsidR="000728AD" w:rsidRDefault="000728AD">
      <w:pPr>
        <w:spacing w:line="165" w:lineRule="exact"/>
        <w:rPr>
          <w:rFonts w:ascii="Arial" w:eastAsia="Arial" w:hAnsi="Arial" w:cs="Arial"/>
        </w:rPr>
      </w:pPr>
    </w:p>
    <w:p w:rsidR="000728AD" w:rsidRDefault="000561BE">
      <w:pPr>
        <w:numPr>
          <w:ilvl w:val="0"/>
          <w:numId w:val="36"/>
        </w:numPr>
        <w:tabs>
          <w:tab w:val="left" w:pos="660"/>
        </w:tabs>
        <w:ind w:left="660" w:hanging="328"/>
        <w:rPr>
          <w:rFonts w:ascii="Arial" w:eastAsia="Arial" w:hAnsi="Arial" w:cs="Arial"/>
        </w:rPr>
      </w:pPr>
      <w:r>
        <w:rPr>
          <w:rFonts w:ascii="Arial" w:eastAsia="Arial" w:hAnsi="Arial" w:cs="Arial"/>
          <w:sz w:val="20"/>
          <w:szCs w:val="20"/>
        </w:rPr>
        <w:t>general political and economic conditions; and</w:t>
      </w:r>
    </w:p>
    <w:p w:rsidR="000728AD" w:rsidRDefault="000728AD">
      <w:pPr>
        <w:spacing w:line="165" w:lineRule="exact"/>
        <w:rPr>
          <w:rFonts w:ascii="Arial" w:eastAsia="Arial" w:hAnsi="Arial" w:cs="Arial"/>
        </w:rPr>
      </w:pPr>
    </w:p>
    <w:p w:rsidR="000728AD" w:rsidRDefault="000561BE">
      <w:pPr>
        <w:numPr>
          <w:ilvl w:val="0"/>
          <w:numId w:val="36"/>
        </w:numPr>
        <w:tabs>
          <w:tab w:val="left" w:pos="660"/>
        </w:tabs>
        <w:ind w:left="660" w:hanging="328"/>
        <w:rPr>
          <w:rFonts w:ascii="Arial" w:eastAsia="Arial" w:hAnsi="Arial" w:cs="Arial"/>
        </w:rPr>
      </w:pPr>
      <w:r>
        <w:rPr>
          <w:rFonts w:ascii="Arial" w:eastAsia="Arial" w:hAnsi="Arial" w:cs="Arial"/>
          <w:sz w:val="20"/>
          <w:szCs w:val="20"/>
        </w:rPr>
        <w:t>other events or factors, many of which are beyond our control.</w:t>
      </w:r>
    </w:p>
    <w:p w:rsidR="000728AD" w:rsidRDefault="000728AD">
      <w:pPr>
        <w:spacing w:line="195" w:lineRule="exact"/>
        <w:rPr>
          <w:sz w:val="20"/>
          <w:szCs w:val="20"/>
        </w:rPr>
      </w:pPr>
    </w:p>
    <w:p w:rsidR="000728AD" w:rsidRDefault="000561BE">
      <w:pPr>
        <w:spacing w:line="273" w:lineRule="auto"/>
        <w:ind w:right="40"/>
        <w:rPr>
          <w:sz w:val="20"/>
          <w:szCs w:val="20"/>
        </w:rPr>
      </w:pPr>
      <w:r>
        <w:rPr>
          <w:rFonts w:ascii="Arial" w:eastAsia="Arial" w:hAnsi="Arial" w:cs="Arial"/>
          <w:sz w:val="18"/>
          <w:szCs w:val="18"/>
        </w:rPr>
        <w:t>In addition, the stock market in general, and the market for healthcare companies in particular, has experienced extreme price and volume fluctuations that have often been unrelated or disprop</w:t>
      </w:r>
      <w:r>
        <w:rPr>
          <w:rFonts w:ascii="Arial" w:eastAsia="Arial" w:hAnsi="Arial" w:cs="Arial"/>
          <w:sz w:val="18"/>
          <w:szCs w:val="18"/>
        </w:rPr>
        <w:t>ortionate to the operating performance of these companies. Broad market and industry factors may negatively affect the market price of our common stock, regardless of our actual operating performance. If the market price of our common stock does not increa</w:t>
      </w:r>
      <w:r>
        <w:rPr>
          <w:rFonts w:ascii="Arial" w:eastAsia="Arial" w:hAnsi="Arial" w:cs="Arial"/>
          <w:sz w:val="18"/>
          <w:szCs w:val="18"/>
        </w:rPr>
        <w:t>se, you may not realize any return on your investment in us and may lose some or all of your investment. Additionally, your ownership in our stock may be significantly diluted if we raise capital through equity issuances in private or public financings. In</w:t>
      </w:r>
      <w:r>
        <w:rPr>
          <w:rFonts w:ascii="Arial" w:eastAsia="Arial" w:hAnsi="Arial" w:cs="Arial"/>
          <w:sz w:val="18"/>
          <w:szCs w:val="18"/>
        </w:rPr>
        <w:t xml:space="preserve"> the past, securities class action litigation has often been instituted against companies following periods of volatility in the market price of a company's securities. This type of litigation, if instituted, could result in substantial costs and a diversi</w:t>
      </w:r>
      <w:r>
        <w:rPr>
          <w:rFonts w:ascii="Arial" w:eastAsia="Arial" w:hAnsi="Arial" w:cs="Arial"/>
          <w:sz w:val="18"/>
          <w:szCs w:val="18"/>
        </w:rPr>
        <w:t>on of management's attention and resources, which would harm our business, operating results or financial condition.</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65" w:lineRule="exact"/>
        <w:rPr>
          <w:sz w:val="20"/>
          <w:szCs w:val="20"/>
        </w:rPr>
      </w:pPr>
    </w:p>
    <w:p w:rsidR="000728AD" w:rsidRDefault="000561BE">
      <w:pPr>
        <w:ind w:right="-119"/>
        <w:jc w:val="center"/>
        <w:rPr>
          <w:sz w:val="20"/>
          <w:szCs w:val="20"/>
        </w:rPr>
      </w:pPr>
      <w:r>
        <w:rPr>
          <w:rFonts w:ascii="Arial" w:eastAsia="Arial" w:hAnsi="Arial" w:cs="Arial"/>
          <w:sz w:val="18"/>
          <w:szCs w:val="18"/>
        </w:rPr>
        <w:t>92</w:t>
      </w:r>
    </w:p>
    <w:p w:rsidR="000728AD" w:rsidRDefault="000561BE">
      <w:pPr>
        <w:spacing w:line="20" w:lineRule="exact"/>
        <w:rPr>
          <w:sz w:val="20"/>
          <w:szCs w:val="20"/>
        </w:rPr>
      </w:pPr>
      <w:r>
        <w:rPr>
          <w:noProof/>
          <w:sz w:val="20"/>
          <w:szCs w:val="20"/>
        </w:rPr>
        <w:drawing>
          <wp:anchor distT="0" distB="0" distL="114300" distR="114300" simplePos="0" relativeHeight="251702272"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459" w:bottom="1440" w:left="320" w:header="0" w:footer="0" w:gutter="0"/>
          <w:cols w:space="720" w:equalWidth="0">
            <w:col w:w="11120"/>
          </w:cols>
        </w:sectPr>
      </w:pPr>
    </w:p>
    <w:bookmarkStart w:id="93" w:name="page93"/>
    <w:bookmarkEnd w:id="93"/>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60" w:lineRule="auto"/>
        <w:ind w:right="380"/>
        <w:rPr>
          <w:sz w:val="20"/>
          <w:szCs w:val="20"/>
        </w:rPr>
      </w:pPr>
      <w:r>
        <w:rPr>
          <w:rFonts w:ascii="Arial" w:eastAsia="Arial" w:hAnsi="Arial" w:cs="Arial"/>
          <w:b/>
          <w:bCs/>
          <w:i/>
          <w:iCs/>
          <w:sz w:val="20"/>
          <w:szCs w:val="20"/>
        </w:rPr>
        <w:t xml:space="preserve">An active trading market for our common stock may not be </w:t>
      </w:r>
      <w:r>
        <w:rPr>
          <w:rFonts w:ascii="Arial" w:eastAsia="Arial" w:hAnsi="Arial" w:cs="Arial"/>
          <w:b/>
          <w:bCs/>
          <w:i/>
          <w:iCs/>
          <w:sz w:val="20"/>
          <w:szCs w:val="20"/>
        </w:rPr>
        <w:t>sustainable, and you may not be able to resell your shares at or above the purchase price.</w:t>
      </w:r>
    </w:p>
    <w:p w:rsidR="000728AD" w:rsidRDefault="000728AD">
      <w:pPr>
        <w:spacing w:line="177" w:lineRule="exact"/>
        <w:rPr>
          <w:sz w:val="20"/>
          <w:szCs w:val="20"/>
        </w:rPr>
      </w:pPr>
    </w:p>
    <w:p w:rsidR="000728AD" w:rsidRDefault="000561BE">
      <w:pPr>
        <w:spacing w:line="274" w:lineRule="auto"/>
        <w:rPr>
          <w:sz w:val="20"/>
          <w:szCs w:val="20"/>
        </w:rPr>
      </w:pPr>
      <w:r>
        <w:rPr>
          <w:rFonts w:ascii="Arial" w:eastAsia="Arial" w:hAnsi="Arial" w:cs="Arial"/>
          <w:sz w:val="18"/>
          <w:szCs w:val="18"/>
        </w:rPr>
        <w:t xml:space="preserve">In May 2019, we closed our initial public offering. Prior to that offering, there was no public market for our common stock. Although we have completed our initial </w:t>
      </w:r>
      <w:r>
        <w:rPr>
          <w:rFonts w:ascii="Arial" w:eastAsia="Arial" w:hAnsi="Arial" w:cs="Arial"/>
          <w:sz w:val="18"/>
          <w:szCs w:val="18"/>
        </w:rPr>
        <w:t>public offering and shares of our common stock are listed on The Nasdaq Global Market, an active trading market for our shares may not be sustained. You may not be able to sell your shares quickly or at the market price if trading in shares of our common s</w:t>
      </w:r>
      <w:r>
        <w:rPr>
          <w:rFonts w:ascii="Arial" w:eastAsia="Arial" w:hAnsi="Arial" w:cs="Arial"/>
          <w:sz w:val="18"/>
          <w:szCs w:val="18"/>
        </w:rPr>
        <w:t>tock is not active. As a result of these and other factors, it may be difficult for our stockholders to resell their shares of our common stock at or above the prices at which they acquired their shares or sell their shares at the time they would like to s</w:t>
      </w:r>
      <w:r>
        <w:rPr>
          <w:rFonts w:ascii="Arial" w:eastAsia="Arial" w:hAnsi="Arial" w:cs="Arial"/>
          <w:sz w:val="18"/>
          <w:szCs w:val="18"/>
        </w:rPr>
        <w:t>ell. Further, an inactive market may also impair our ability to raise capital by selling shares of our common stock and may impair our ability to enter into strategic partnerships or acquire companies or products by using our shares of common stock as cons</w:t>
      </w:r>
      <w:r>
        <w:rPr>
          <w:rFonts w:ascii="Arial" w:eastAsia="Arial" w:hAnsi="Arial" w:cs="Arial"/>
          <w:sz w:val="18"/>
          <w:szCs w:val="18"/>
        </w:rPr>
        <w:t>ideration.</w:t>
      </w:r>
    </w:p>
    <w:p w:rsidR="000728AD" w:rsidRDefault="000728AD">
      <w:pPr>
        <w:spacing w:line="168" w:lineRule="exact"/>
        <w:rPr>
          <w:sz w:val="20"/>
          <w:szCs w:val="20"/>
        </w:rPr>
      </w:pPr>
    </w:p>
    <w:p w:rsidR="000728AD" w:rsidRDefault="000561BE">
      <w:pPr>
        <w:rPr>
          <w:sz w:val="20"/>
          <w:szCs w:val="20"/>
        </w:rPr>
      </w:pPr>
      <w:r>
        <w:rPr>
          <w:rFonts w:ascii="Arial" w:eastAsia="Arial" w:hAnsi="Arial" w:cs="Arial"/>
          <w:b/>
          <w:bCs/>
          <w:i/>
          <w:iCs/>
          <w:sz w:val="20"/>
          <w:szCs w:val="20"/>
        </w:rPr>
        <w:t>We do not intend to pay dividends on our common stock so any returns will be limited to the value of our stock.</w:t>
      </w:r>
    </w:p>
    <w:p w:rsidR="000728AD" w:rsidRDefault="000728AD">
      <w:pPr>
        <w:spacing w:line="216" w:lineRule="exact"/>
        <w:rPr>
          <w:sz w:val="20"/>
          <w:szCs w:val="20"/>
        </w:rPr>
      </w:pPr>
    </w:p>
    <w:p w:rsidR="000728AD" w:rsidRDefault="000561BE">
      <w:pPr>
        <w:spacing w:line="278" w:lineRule="auto"/>
        <w:rPr>
          <w:sz w:val="20"/>
          <w:szCs w:val="20"/>
        </w:rPr>
      </w:pPr>
      <w:r>
        <w:rPr>
          <w:rFonts w:ascii="Arial" w:eastAsia="Arial" w:hAnsi="Arial" w:cs="Arial"/>
          <w:sz w:val="18"/>
          <w:szCs w:val="18"/>
        </w:rPr>
        <w:t xml:space="preserve">We currently anticipate that we will retain future earnings for the development, operation and expansion of our business and do </w:t>
      </w:r>
      <w:r>
        <w:rPr>
          <w:rFonts w:ascii="Arial" w:eastAsia="Arial" w:hAnsi="Arial" w:cs="Arial"/>
          <w:sz w:val="18"/>
          <w:szCs w:val="18"/>
        </w:rPr>
        <w:t>not anticipate declaring or paying any cash dividends for the foreseeable future. In addition, our ability to pay cash dividends is currently restricted by the terms of our loan and security agreement with SLR Investment Corp., formerly known as Solar Capi</w:t>
      </w:r>
      <w:r>
        <w:rPr>
          <w:rFonts w:ascii="Arial" w:eastAsia="Arial" w:hAnsi="Arial" w:cs="Arial"/>
          <w:sz w:val="18"/>
          <w:szCs w:val="18"/>
        </w:rPr>
        <w:t xml:space="preserve">tal Ltd., and future debt or other financing arrangements may contain terms prohibiting or limiting the amount of dividends that may be declared or paid on our common stock. Any return to stockholders will therefore be limited in the foreseeable future to </w:t>
      </w:r>
      <w:r>
        <w:rPr>
          <w:rFonts w:ascii="Arial" w:eastAsia="Arial" w:hAnsi="Arial" w:cs="Arial"/>
          <w:sz w:val="18"/>
          <w:szCs w:val="18"/>
        </w:rPr>
        <w:t>the appreciation of their stock.</w:t>
      </w:r>
    </w:p>
    <w:p w:rsidR="000728AD" w:rsidRDefault="000728AD">
      <w:pPr>
        <w:spacing w:line="165" w:lineRule="exact"/>
        <w:rPr>
          <w:sz w:val="20"/>
          <w:szCs w:val="20"/>
        </w:rPr>
      </w:pPr>
    </w:p>
    <w:p w:rsidR="000728AD" w:rsidRDefault="000561BE">
      <w:pPr>
        <w:spacing w:line="260" w:lineRule="auto"/>
        <w:ind w:right="180"/>
        <w:rPr>
          <w:sz w:val="20"/>
          <w:szCs w:val="20"/>
        </w:rPr>
      </w:pPr>
      <w:r>
        <w:rPr>
          <w:rFonts w:ascii="Arial" w:eastAsia="Arial" w:hAnsi="Arial" w:cs="Arial"/>
          <w:b/>
          <w:bCs/>
          <w:i/>
          <w:iCs/>
          <w:sz w:val="20"/>
          <w:szCs w:val="20"/>
        </w:rPr>
        <w:t>Our principal stockholders and management own a significant percentage of our stock and will be able to exert significant control over matters subject to stockholder approval.</w:t>
      </w:r>
    </w:p>
    <w:p w:rsidR="000728AD" w:rsidRDefault="000728AD">
      <w:pPr>
        <w:spacing w:line="177" w:lineRule="exact"/>
        <w:rPr>
          <w:sz w:val="20"/>
          <w:szCs w:val="20"/>
        </w:rPr>
      </w:pPr>
    </w:p>
    <w:p w:rsidR="000728AD" w:rsidRDefault="000561BE">
      <w:pPr>
        <w:spacing w:line="243" w:lineRule="auto"/>
        <w:ind w:right="40"/>
        <w:rPr>
          <w:sz w:val="20"/>
          <w:szCs w:val="20"/>
        </w:rPr>
      </w:pPr>
      <w:r>
        <w:rPr>
          <w:rFonts w:ascii="Arial" w:eastAsia="Arial" w:hAnsi="Arial" w:cs="Arial"/>
          <w:sz w:val="20"/>
          <w:szCs w:val="20"/>
        </w:rPr>
        <w:t xml:space="preserve">As of June 30, 2021, our executive officers, </w:t>
      </w:r>
      <w:r>
        <w:rPr>
          <w:rFonts w:ascii="Arial" w:eastAsia="Arial" w:hAnsi="Arial" w:cs="Arial"/>
          <w:sz w:val="20"/>
          <w:szCs w:val="20"/>
        </w:rPr>
        <w:t>directors and their affiliates and 5% stockholders held, in the aggregate, approximately 73.3% of our outstanding voting stock. Therefore, these stockholders have the ability to influence us through this ownership position. These stockholders may be able t</w:t>
      </w:r>
      <w:r>
        <w:rPr>
          <w:rFonts w:ascii="Arial" w:eastAsia="Arial" w:hAnsi="Arial" w:cs="Arial"/>
          <w:sz w:val="20"/>
          <w:szCs w:val="20"/>
        </w:rPr>
        <w:t>o determine all matters requiring stockholder approval. For example, these stockholders may be able to control elections of directors, amendments of our organizational documents or approval of any merger, sale of assets or other major corporate transaction</w:t>
      </w:r>
      <w:r>
        <w:rPr>
          <w:rFonts w:ascii="Arial" w:eastAsia="Arial" w:hAnsi="Arial" w:cs="Arial"/>
          <w:sz w:val="20"/>
          <w:szCs w:val="20"/>
        </w:rPr>
        <w:t>. This may prevent or discourage unsolicited acquisition proposals or offers for our common stock that stockholders may feel are otherwise in their best interests.</w:t>
      </w:r>
    </w:p>
    <w:p w:rsidR="000728AD" w:rsidRDefault="000728AD">
      <w:pPr>
        <w:spacing w:line="196" w:lineRule="exact"/>
        <w:rPr>
          <w:sz w:val="20"/>
          <w:szCs w:val="20"/>
        </w:rPr>
      </w:pPr>
    </w:p>
    <w:p w:rsidR="000728AD" w:rsidRDefault="000561BE">
      <w:pPr>
        <w:spacing w:line="260" w:lineRule="auto"/>
        <w:ind w:right="800"/>
        <w:rPr>
          <w:sz w:val="20"/>
          <w:szCs w:val="20"/>
        </w:rPr>
      </w:pPr>
      <w:r>
        <w:rPr>
          <w:rFonts w:ascii="Arial" w:eastAsia="Arial" w:hAnsi="Arial" w:cs="Arial"/>
          <w:b/>
          <w:bCs/>
          <w:i/>
          <w:iCs/>
          <w:sz w:val="20"/>
          <w:szCs w:val="20"/>
        </w:rPr>
        <w:t xml:space="preserve">We are an emerging growth company as well as a smaller reporting company, and we cannot be </w:t>
      </w:r>
      <w:r>
        <w:rPr>
          <w:rFonts w:ascii="Arial" w:eastAsia="Arial" w:hAnsi="Arial" w:cs="Arial"/>
          <w:b/>
          <w:bCs/>
          <w:i/>
          <w:iCs/>
          <w:sz w:val="20"/>
          <w:szCs w:val="20"/>
        </w:rPr>
        <w:t>certain if the reduced reporting requirements applicable to us will make our common stock less attractive to investors.</w:t>
      </w:r>
    </w:p>
    <w:p w:rsidR="000728AD" w:rsidRDefault="000728AD">
      <w:pPr>
        <w:spacing w:line="177" w:lineRule="exact"/>
        <w:rPr>
          <w:sz w:val="20"/>
          <w:szCs w:val="20"/>
        </w:rPr>
      </w:pPr>
    </w:p>
    <w:p w:rsidR="000728AD" w:rsidRDefault="000561BE">
      <w:pPr>
        <w:spacing w:line="254" w:lineRule="auto"/>
        <w:ind w:right="20"/>
        <w:rPr>
          <w:sz w:val="20"/>
          <w:szCs w:val="20"/>
        </w:rPr>
      </w:pPr>
      <w:r>
        <w:rPr>
          <w:rFonts w:ascii="Arial" w:eastAsia="Arial" w:hAnsi="Arial" w:cs="Arial"/>
          <w:sz w:val="19"/>
          <w:szCs w:val="19"/>
        </w:rPr>
        <w:t>We are an emerging growth company, as defined in the JOBS Act, enacted in April 2012. For as long as we continue to be an emerging grow</w:t>
      </w:r>
      <w:r>
        <w:rPr>
          <w:rFonts w:ascii="Arial" w:eastAsia="Arial" w:hAnsi="Arial" w:cs="Arial"/>
          <w:sz w:val="19"/>
          <w:szCs w:val="19"/>
        </w:rPr>
        <w:t>th company, we may take advantage of exemptions from various reporting requirements that are applicable to other public companies that are not emerging growth companies, including not being required to comply with the auditor attestation requirements of Se</w:t>
      </w:r>
      <w:r>
        <w:rPr>
          <w:rFonts w:ascii="Arial" w:eastAsia="Arial" w:hAnsi="Arial" w:cs="Arial"/>
          <w:sz w:val="19"/>
          <w:szCs w:val="19"/>
        </w:rPr>
        <w:t>ction 404 of the Sarbanes-Oxley Act of 2002, as amended, or the Sarbanes-Oxley Act, reduced disclosure obligations regarding executive compensation in our periodic reports and proxy statements and exemptions from the requirements of holding nonbinding advi</w:t>
      </w:r>
      <w:r>
        <w:rPr>
          <w:rFonts w:ascii="Arial" w:eastAsia="Arial" w:hAnsi="Arial" w:cs="Arial"/>
          <w:sz w:val="19"/>
          <w:szCs w:val="19"/>
        </w:rPr>
        <w:t>sory votes on executive compensation and stockholder approval of any golden parachute payments not previously approved. We could be an emerging growth company for up to five years following the year in which we completed our IPO, although circumstances cou</w:t>
      </w:r>
      <w:r>
        <w:rPr>
          <w:rFonts w:ascii="Arial" w:eastAsia="Arial" w:hAnsi="Arial" w:cs="Arial"/>
          <w:sz w:val="19"/>
          <w:szCs w:val="19"/>
        </w:rPr>
        <w:t>ld cause us to lose that status earlier. We will remain an emerging growth company until the earlier of (1) the last day of the fiscal year (a) following the fifth anniversary of the completion of our IPO; (b) in which we have total annual gross revenue of</w:t>
      </w:r>
      <w:r>
        <w:rPr>
          <w:rFonts w:ascii="Arial" w:eastAsia="Arial" w:hAnsi="Arial" w:cs="Arial"/>
          <w:sz w:val="19"/>
          <w:szCs w:val="19"/>
        </w:rPr>
        <w:t xml:space="preserve"> at least $1.07 billion; or (c) in which we are deemed to be a large accelerated filer, which requires the market value of our common stock that is held by non-affiliates to exceed $700 million as of the prior June 30; and (2) the date on which we have iss</w:t>
      </w:r>
      <w:r>
        <w:rPr>
          <w:rFonts w:ascii="Arial" w:eastAsia="Arial" w:hAnsi="Arial" w:cs="Arial"/>
          <w:sz w:val="19"/>
          <w:szCs w:val="19"/>
        </w:rPr>
        <w:t>ued more than $1.0 billion in non-convertible debt during the prior three-year period. We cannot predict if investors will find our common stock less attractive because we may rely on these exemptions. If some investors find our common stock less attractiv</w:t>
      </w:r>
      <w:r>
        <w:rPr>
          <w:rFonts w:ascii="Arial" w:eastAsia="Arial" w:hAnsi="Arial" w:cs="Arial"/>
          <w:sz w:val="19"/>
          <w:szCs w:val="19"/>
        </w:rPr>
        <w:t>e as a result, there may be a less active trading market for our common stock and our stock price may be more volatile.</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8" w:lineRule="exact"/>
        <w:rPr>
          <w:sz w:val="20"/>
          <w:szCs w:val="20"/>
        </w:rPr>
      </w:pPr>
    </w:p>
    <w:p w:rsidR="000728AD" w:rsidRDefault="000561BE">
      <w:pPr>
        <w:ind w:right="-39"/>
        <w:jc w:val="center"/>
        <w:rPr>
          <w:sz w:val="20"/>
          <w:szCs w:val="20"/>
        </w:rPr>
      </w:pPr>
      <w:r>
        <w:rPr>
          <w:rFonts w:ascii="Arial" w:eastAsia="Arial" w:hAnsi="Arial" w:cs="Arial"/>
          <w:sz w:val="18"/>
          <w:szCs w:val="18"/>
        </w:rPr>
        <w:t>93</w:t>
      </w:r>
    </w:p>
    <w:p w:rsidR="000728AD" w:rsidRDefault="000561BE">
      <w:pPr>
        <w:spacing w:line="20" w:lineRule="exact"/>
        <w:rPr>
          <w:sz w:val="20"/>
          <w:szCs w:val="20"/>
        </w:rPr>
      </w:pPr>
      <w:r>
        <w:rPr>
          <w:noProof/>
          <w:sz w:val="20"/>
          <w:szCs w:val="20"/>
        </w:rPr>
        <w:drawing>
          <wp:anchor distT="0" distB="0" distL="114300" distR="114300" simplePos="0" relativeHeight="251703296"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79" w:bottom="1440" w:left="320" w:header="0" w:footer="0" w:gutter="0"/>
          <w:cols w:space="720" w:equalWidth="0">
            <w:col w:w="11200"/>
          </w:cols>
        </w:sectPr>
      </w:pPr>
    </w:p>
    <w:bookmarkStart w:id="94" w:name="page94"/>
    <w:bookmarkEnd w:id="94"/>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42" w:lineRule="auto"/>
        <w:ind w:right="60"/>
        <w:rPr>
          <w:sz w:val="20"/>
          <w:szCs w:val="20"/>
        </w:rPr>
      </w:pPr>
      <w:r>
        <w:rPr>
          <w:rFonts w:ascii="Arial" w:eastAsia="Arial" w:hAnsi="Arial" w:cs="Arial"/>
          <w:sz w:val="20"/>
          <w:szCs w:val="20"/>
        </w:rPr>
        <w:t xml:space="preserve">Under the JOBS Act, emerging growth companies can also </w:t>
      </w:r>
      <w:r>
        <w:rPr>
          <w:rFonts w:ascii="Arial" w:eastAsia="Arial" w:hAnsi="Arial" w:cs="Arial"/>
          <w:sz w:val="20"/>
          <w:szCs w:val="20"/>
        </w:rPr>
        <w:t>delay adopting new or revised accounting standards until such time as those standards apply to private companies. We have elected not to "opt out" of such extended transition period, which means that when a standard is issued or revised and it has differen</w:t>
      </w:r>
      <w:r>
        <w:rPr>
          <w:rFonts w:ascii="Arial" w:eastAsia="Arial" w:hAnsi="Arial" w:cs="Arial"/>
          <w:sz w:val="20"/>
          <w:szCs w:val="20"/>
        </w:rPr>
        <w:t>t application dates for public or private companies, we may adopt the new or revised standard at the time private companies adopt the new or revised standard and may do so until such time that we either (i) irrevocably elect to "opt out" of such extended t</w:t>
      </w:r>
      <w:r>
        <w:rPr>
          <w:rFonts w:ascii="Arial" w:eastAsia="Arial" w:hAnsi="Arial" w:cs="Arial"/>
          <w:sz w:val="20"/>
          <w:szCs w:val="20"/>
        </w:rPr>
        <w:t>ransition period or (ii) no longer qualify as an emerging growth company. This may make comparison of our financial statements with the financial statements of another public company that is not an emerging growth company, or an emerging growth company tha</w:t>
      </w:r>
      <w:r>
        <w:rPr>
          <w:rFonts w:ascii="Arial" w:eastAsia="Arial" w:hAnsi="Arial" w:cs="Arial"/>
          <w:sz w:val="20"/>
          <w:szCs w:val="20"/>
        </w:rPr>
        <w:t>t has opted out of using the extended transition period, difficult or impossible because of the potential differences in accounting standards used.</w:t>
      </w:r>
    </w:p>
    <w:p w:rsidR="000728AD" w:rsidRDefault="000728AD">
      <w:pPr>
        <w:spacing w:line="197" w:lineRule="exact"/>
        <w:rPr>
          <w:sz w:val="20"/>
          <w:szCs w:val="20"/>
        </w:rPr>
      </w:pPr>
    </w:p>
    <w:p w:rsidR="000728AD" w:rsidRDefault="000561BE">
      <w:pPr>
        <w:spacing w:line="260" w:lineRule="auto"/>
        <w:ind w:right="360"/>
        <w:rPr>
          <w:sz w:val="20"/>
          <w:szCs w:val="20"/>
        </w:rPr>
      </w:pPr>
      <w:r>
        <w:rPr>
          <w:rFonts w:ascii="Arial" w:eastAsia="Arial" w:hAnsi="Arial" w:cs="Arial"/>
          <w:b/>
          <w:bCs/>
          <w:i/>
          <w:iCs/>
          <w:sz w:val="20"/>
          <w:szCs w:val="20"/>
        </w:rPr>
        <w:t xml:space="preserve">We will incur significant increased costs as a result of operating as a public company, and our management </w:t>
      </w:r>
      <w:r>
        <w:rPr>
          <w:rFonts w:ascii="Arial" w:eastAsia="Arial" w:hAnsi="Arial" w:cs="Arial"/>
          <w:b/>
          <w:bCs/>
          <w:i/>
          <w:iCs/>
          <w:sz w:val="20"/>
          <w:szCs w:val="20"/>
        </w:rPr>
        <w:t>will be required to devote substantial time to public company compliance initiatives.</w:t>
      </w:r>
    </w:p>
    <w:p w:rsidR="000728AD" w:rsidRDefault="000728AD">
      <w:pPr>
        <w:spacing w:line="177" w:lineRule="exact"/>
        <w:rPr>
          <w:sz w:val="20"/>
          <w:szCs w:val="20"/>
        </w:rPr>
      </w:pPr>
    </w:p>
    <w:p w:rsidR="000728AD" w:rsidRDefault="000561BE">
      <w:pPr>
        <w:spacing w:line="255" w:lineRule="auto"/>
        <w:rPr>
          <w:sz w:val="20"/>
          <w:szCs w:val="20"/>
        </w:rPr>
      </w:pPr>
      <w:r>
        <w:rPr>
          <w:rFonts w:ascii="Arial" w:eastAsia="Arial" w:hAnsi="Arial" w:cs="Arial"/>
          <w:sz w:val="19"/>
          <w:szCs w:val="19"/>
        </w:rPr>
        <w:t>As a public company, we will incur significant legal, accounting and other expenses that we did not incur as a private company. We are subject to the reporting requireme</w:t>
      </w:r>
      <w:r>
        <w:rPr>
          <w:rFonts w:ascii="Arial" w:eastAsia="Arial" w:hAnsi="Arial" w:cs="Arial"/>
          <w:sz w:val="19"/>
          <w:szCs w:val="19"/>
        </w:rPr>
        <w:t>nts of the Exchange Act, as amended, which requires, among other things, that we file with the SEC, annual, quarterly and current reports with respect to our business and financial condition. In addition, the Sarbanes-Oxley Act, as well as rules subsequent</w:t>
      </w:r>
      <w:r>
        <w:rPr>
          <w:rFonts w:ascii="Arial" w:eastAsia="Arial" w:hAnsi="Arial" w:cs="Arial"/>
          <w:sz w:val="19"/>
          <w:szCs w:val="19"/>
        </w:rPr>
        <w:t xml:space="preserve">ly adopted by the SEC and The Nasdaq Global Market to implement provisions of the Sarbanes-Oxley Act, impose significant requirements on public companies, including requiring establishment and maintenance of effective disclosure and financial controls and </w:t>
      </w:r>
      <w:r>
        <w:rPr>
          <w:rFonts w:ascii="Arial" w:eastAsia="Arial" w:hAnsi="Arial" w:cs="Arial"/>
          <w:sz w:val="19"/>
          <w:szCs w:val="19"/>
        </w:rPr>
        <w:t>changes in corporate governance practices. Further, in July 2010, the Dodd-Frank Wall Street Reform and Consumer Protection Act, or the Dodd-Frank Act, was enacted. There are significant corporate governance and executive compensation related provisions in</w:t>
      </w:r>
      <w:r>
        <w:rPr>
          <w:rFonts w:ascii="Arial" w:eastAsia="Arial" w:hAnsi="Arial" w:cs="Arial"/>
          <w:sz w:val="19"/>
          <w:szCs w:val="19"/>
        </w:rPr>
        <w:t xml:space="preserve"> the Dodd-Frank Act that require the SEC to adopt additional rules and regulations in these areas, such as "say on pay" and proxy access. The rules and regulations applicable to public companies have substantially increased and may further increase our leg</w:t>
      </w:r>
      <w:r>
        <w:rPr>
          <w:rFonts w:ascii="Arial" w:eastAsia="Arial" w:hAnsi="Arial" w:cs="Arial"/>
          <w:sz w:val="19"/>
          <w:szCs w:val="19"/>
        </w:rPr>
        <w:t>al and financial compliance costs and to make some activities more time-consuming and costly.</w:t>
      </w:r>
    </w:p>
    <w:p w:rsidR="000728AD" w:rsidRDefault="000728AD">
      <w:pPr>
        <w:spacing w:line="190" w:lineRule="exact"/>
        <w:rPr>
          <w:sz w:val="20"/>
          <w:szCs w:val="20"/>
        </w:rPr>
      </w:pPr>
    </w:p>
    <w:p w:rsidR="000728AD" w:rsidRDefault="000561BE">
      <w:pPr>
        <w:spacing w:line="260" w:lineRule="auto"/>
        <w:ind w:right="560"/>
        <w:rPr>
          <w:sz w:val="20"/>
          <w:szCs w:val="20"/>
        </w:rPr>
      </w:pPr>
      <w:r>
        <w:rPr>
          <w:rFonts w:ascii="Arial" w:eastAsia="Arial" w:hAnsi="Arial" w:cs="Arial"/>
          <w:b/>
          <w:bCs/>
          <w:i/>
          <w:iCs/>
          <w:sz w:val="20"/>
          <w:szCs w:val="20"/>
        </w:rPr>
        <w:t>Our operating results may fluctuate significantly, which makes our future operating results difficult to predict and could cause our operating results to fall be</w:t>
      </w:r>
      <w:r>
        <w:rPr>
          <w:rFonts w:ascii="Arial" w:eastAsia="Arial" w:hAnsi="Arial" w:cs="Arial"/>
          <w:b/>
          <w:bCs/>
          <w:i/>
          <w:iCs/>
          <w:sz w:val="20"/>
          <w:szCs w:val="20"/>
        </w:rPr>
        <w:t>low expectations or our guidance.</w:t>
      </w:r>
    </w:p>
    <w:p w:rsidR="000728AD" w:rsidRDefault="000728AD">
      <w:pPr>
        <w:spacing w:line="177" w:lineRule="exact"/>
        <w:rPr>
          <w:sz w:val="20"/>
          <w:szCs w:val="20"/>
        </w:rPr>
      </w:pPr>
    </w:p>
    <w:p w:rsidR="000728AD" w:rsidRDefault="000561BE">
      <w:pPr>
        <w:spacing w:line="243" w:lineRule="auto"/>
        <w:ind w:right="160"/>
        <w:rPr>
          <w:sz w:val="20"/>
          <w:szCs w:val="20"/>
        </w:rPr>
      </w:pPr>
      <w:r>
        <w:rPr>
          <w:rFonts w:ascii="Arial" w:eastAsia="Arial" w:hAnsi="Arial" w:cs="Arial"/>
          <w:sz w:val="20"/>
          <w:szCs w:val="20"/>
        </w:rPr>
        <w:t xml:space="preserve">Our quarterly and annual operating results may fluctuate significantly in the future, which makes it difficult for us to predict our future operating results. From time to time, we may enter into license or collaboration </w:t>
      </w:r>
      <w:r>
        <w:rPr>
          <w:rFonts w:ascii="Arial" w:eastAsia="Arial" w:hAnsi="Arial" w:cs="Arial"/>
          <w:sz w:val="20"/>
          <w:szCs w:val="20"/>
        </w:rPr>
        <w:t>agreements with other companies that include development funding and significant upfront and milestone payments and/or royalties, which may become an important source of our revenue. Accordingly, our revenue may depend on development funding and the achiev</w:t>
      </w:r>
      <w:r>
        <w:rPr>
          <w:rFonts w:ascii="Arial" w:eastAsia="Arial" w:hAnsi="Arial" w:cs="Arial"/>
          <w:sz w:val="20"/>
          <w:szCs w:val="20"/>
        </w:rPr>
        <w:t xml:space="preserve">ement of development and clinical milestones under current and any potential future license and collaboration agreements and sales of our products, if approved. These upfront and milestone payments may vary significantly from period to period and any such </w:t>
      </w:r>
      <w:r>
        <w:rPr>
          <w:rFonts w:ascii="Arial" w:eastAsia="Arial" w:hAnsi="Arial" w:cs="Arial"/>
          <w:sz w:val="20"/>
          <w:szCs w:val="20"/>
        </w:rPr>
        <w:t>variance could cause a significant fluctuation in our operating results from one period to the next.</w:t>
      </w:r>
    </w:p>
    <w:p w:rsidR="000728AD" w:rsidRDefault="000728AD">
      <w:pPr>
        <w:spacing w:line="193" w:lineRule="exact"/>
        <w:rPr>
          <w:sz w:val="20"/>
          <w:szCs w:val="20"/>
        </w:rPr>
      </w:pPr>
    </w:p>
    <w:p w:rsidR="000728AD" w:rsidRDefault="000561BE">
      <w:pPr>
        <w:spacing w:line="282" w:lineRule="auto"/>
        <w:ind w:right="60"/>
        <w:rPr>
          <w:sz w:val="20"/>
          <w:szCs w:val="20"/>
        </w:rPr>
      </w:pPr>
      <w:r>
        <w:rPr>
          <w:rFonts w:ascii="Arial" w:eastAsia="Arial" w:hAnsi="Arial" w:cs="Arial"/>
          <w:sz w:val="18"/>
          <w:szCs w:val="18"/>
        </w:rPr>
        <w:t xml:space="preserve">In addition, we measure compensation cost for stock-based awards made to employees, directors and non-employee consultants based on the fair value of the </w:t>
      </w:r>
      <w:r>
        <w:rPr>
          <w:rFonts w:ascii="Arial" w:eastAsia="Arial" w:hAnsi="Arial" w:cs="Arial"/>
          <w:sz w:val="18"/>
          <w:szCs w:val="18"/>
        </w:rPr>
        <w:t>award on either the grant date or service completion date, and we recognize the cost as an expense over the recipient's service period. Because the variables that we use as a basis for valuing stock-based awards change over time, including our underlying s</w:t>
      </w:r>
      <w:r>
        <w:rPr>
          <w:rFonts w:ascii="Arial" w:eastAsia="Arial" w:hAnsi="Arial" w:cs="Arial"/>
          <w:sz w:val="18"/>
          <w:szCs w:val="18"/>
        </w:rPr>
        <w:t>tock price and stock price volatility, the magnitude of the expense that we must recognize may vary significantly.</w:t>
      </w:r>
    </w:p>
    <w:p w:rsidR="000728AD" w:rsidRDefault="000728AD">
      <w:pPr>
        <w:spacing w:line="161" w:lineRule="exact"/>
        <w:rPr>
          <w:sz w:val="20"/>
          <w:szCs w:val="20"/>
        </w:rPr>
      </w:pPr>
    </w:p>
    <w:p w:rsidR="000728AD" w:rsidRDefault="000561BE">
      <w:pPr>
        <w:spacing w:line="260" w:lineRule="auto"/>
        <w:ind w:right="540"/>
        <w:rPr>
          <w:sz w:val="20"/>
          <w:szCs w:val="20"/>
        </w:rPr>
      </w:pPr>
      <w:r>
        <w:rPr>
          <w:rFonts w:ascii="Arial" w:eastAsia="Arial" w:hAnsi="Arial" w:cs="Arial"/>
          <w:sz w:val="20"/>
          <w:szCs w:val="20"/>
        </w:rPr>
        <w:t>Furthermore, our operating results may fluctuate due to a variety of other factors, many of which are outside of our control and may be diff</w:t>
      </w:r>
      <w:r>
        <w:rPr>
          <w:rFonts w:ascii="Arial" w:eastAsia="Arial" w:hAnsi="Arial" w:cs="Arial"/>
          <w:sz w:val="20"/>
          <w:szCs w:val="20"/>
        </w:rPr>
        <w:t>icult to predict, including the following:</w:t>
      </w:r>
    </w:p>
    <w:p w:rsidR="000728AD" w:rsidRDefault="000728AD">
      <w:pPr>
        <w:spacing w:line="204" w:lineRule="exact"/>
        <w:rPr>
          <w:sz w:val="20"/>
          <w:szCs w:val="20"/>
        </w:rPr>
      </w:pPr>
    </w:p>
    <w:p w:rsidR="000728AD" w:rsidRDefault="000561BE">
      <w:pPr>
        <w:numPr>
          <w:ilvl w:val="0"/>
          <w:numId w:val="37"/>
        </w:numPr>
        <w:tabs>
          <w:tab w:val="left" w:pos="655"/>
        </w:tabs>
        <w:spacing w:line="238" w:lineRule="auto"/>
        <w:ind w:left="660" w:right="180" w:hanging="328"/>
        <w:rPr>
          <w:rFonts w:ascii="Arial" w:eastAsia="Arial" w:hAnsi="Arial" w:cs="Arial"/>
        </w:rPr>
      </w:pPr>
      <w:r>
        <w:rPr>
          <w:rFonts w:ascii="Arial" w:eastAsia="Arial" w:hAnsi="Arial" w:cs="Arial"/>
          <w:sz w:val="20"/>
          <w:szCs w:val="20"/>
        </w:rPr>
        <w:t>any potential impact of COVID-19 on our business and operations, including with respect to our supply chain, Clinical Studies and Clinical Trials;</w:t>
      </w:r>
    </w:p>
    <w:p w:rsidR="000728AD" w:rsidRDefault="000728AD">
      <w:pPr>
        <w:spacing w:line="169" w:lineRule="exact"/>
        <w:rPr>
          <w:rFonts w:ascii="Arial" w:eastAsia="Arial" w:hAnsi="Arial" w:cs="Arial"/>
        </w:rPr>
      </w:pPr>
    </w:p>
    <w:p w:rsidR="000728AD" w:rsidRDefault="000561BE">
      <w:pPr>
        <w:numPr>
          <w:ilvl w:val="0"/>
          <w:numId w:val="37"/>
        </w:numPr>
        <w:tabs>
          <w:tab w:val="left" w:pos="655"/>
        </w:tabs>
        <w:spacing w:line="238" w:lineRule="auto"/>
        <w:ind w:left="660" w:right="140" w:hanging="328"/>
        <w:rPr>
          <w:rFonts w:ascii="Arial" w:eastAsia="Arial" w:hAnsi="Arial" w:cs="Arial"/>
        </w:rPr>
      </w:pPr>
      <w:r>
        <w:rPr>
          <w:rFonts w:ascii="Arial" w:eastAsia="Arial" w:hAnsi="Arial" w:cs="Arial"/>
          <w:sz w:val="20"/>
          <w:szCs w:val="20"/>
        </w:rPr>
        <w:t xml:space="preserve">the timing and cost of, and level of investment in, </w:t>
      </w:r>
      <w:r>
        <w:rPr>
          <w:rFonts w:ascii="Arial" w:eastAsia="Arial" w:hAnsi="Arial" w:cs="Arial"/>
          <w:sz w:val="20"/>
          <w:szCs w:val="20"/>
        </w:rPr>
        <w:t>research and development activities relating to our current and any future product candidates, which will change from time to time;</w:t>
      </w:r>
    </w:p>
    <w:p w:rsidR="000728AD" w:rsidRDefault="000728AD">
      <w:pPr>
        <w:spacing w:line="166" w:lineRule="exact"/>
        <w:rPr>
          <w:rFonts w:ascii="Arial" w:eastAsia="Arial" w:hAnsi="Arial" w:cs="Arial"/>
        </w:rPr>
      </w:pPr>
    </w:p>
    <w:p w:rsidR="000728AD" w:rsidRDefault="000561BE">
      <w:pPr>
        <w:numPr>
          <w:ilvl w:val="0"/>
          <w:numId w:val="37"/>
        </w:numPr>
        <w:tabs>
          <w:tab w:val="left" w:pos="660"/>
        </w:tabs>
        <w:ind w:left="660" w:hanging="328"/>
        <w:rPr>
          <w:rFonts w:ascii="Arial" w:eastAsia="Arial" w:hAnsi="Arial" w:cs="Arial"/>
        </w:rPr>
      </w:pPr>
      <w:r>
        <w:rPr>
          <w:rFonts w:ascii="Arial" w:eastAsia="Arial" w:hAnsi="Arial" w:cs="Arial"/>
          <w:sz w:val="20"/>
          <w:szCs w:val="20"/>
        </w:rPr>
        <w:t>our ability to enroll subjects in Clinical Studies or Clinical Trials and the timing of enrollment;</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92" w:lineRule="exact"/>
        <w:rPr>
          <w:sz w:val="20"/>
          <w:szCs w:val="20"/>
        </w:rPr>
      </w:pPr>
    </w:p>
    <w:p w:rsidR="000728AD" w:rsidRDefault="000561BE">
      <w:pPr>
        <w:ind w:right="-19"/>
        <w:jc w:val="center"/>
        <w:rPr>
          <w:sz w:val="20"/>
          <w:szCs w:val="20"/>
        </w:rPr>
      </w:pPr>
      <w:r>
        <w:rPr>
          <w:rFonts w:ascii="Arial" w:eastAsia="Arial" w:hAnsi="Arial" w:cs="Arial"/>
          <w:sz w:val="18"/>
          <w:szCs w:val="18"/>
        </w:rPr>
        <w:t>94</w:t>
      </w:r>
    </w:p>
    <w:p w:rsidR="000728AD" w:rsidRDefault="000561BE">
      <w:pPr>
        <w:spacing w:line="20" w:lineRule="exact"/>
        <w:rPr>
          <w:sz w:val="20"/>
          <w:szCs w:val="20"/>
        </w:rPr>
      </w:pPr>
      <w:r>
        <w:rPr>
          <w:noProof/>
          <w:sz w:val="20"/>
          <w:szCs w:val="20"/>
        </w:rPr>
        <w:drawing>
          <wp:anchor distT="0" distB="0" distL="114300" distR="114300" simplePos="0" relativeHeight="251704320"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59" w:bottom="1440" w:left="320" w:header="0" w:footer="0" w:gutter="0"/>
          <w:cols w:space="720" w:equalWidth="0">
            <w:col w:w="11220"/>
          </w:cols>
        </w:sectPr>
      </w:pPr>
    </w:p>
    <w:bookmarkStart w:id="95" w:name="page95"/>
    <w:bookmarkEnd w:id="95"/>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28" w:lineRule="exact"/>
        <w:rPr>
          <w:sz w:val="20"/>
          <w:szCs w:val="20"/>
        </w:rPr>
      </w:pPr>
    </w:p>
    <w:p w:rsidR="000728AD" w:rsidRDefault="000561BE">
      <w:pPr>
        <w:numPr>
          <w:ilvl w:val="0"/>
          <w:numId w:val="38"/>
        </w:numPr>
        <w:tabs>
          <w:tab w:val="left" w:pos="655"/>
        </w:tabs>
        <w:spacing w:line="238" w:lineRule="auto"/>
        <w:ind w:left="660" w:right="660" w:hanging="328"/>
        <w:rPr>
          <w:rFonts w:ascii="Arial" w:eastAsia="Arial" w:hAnsi="Arial" w:cs="Arial"/>
        </w:rPr>
      </w:pPr>
      <w:r>
        <w:rPr>
          <w:rFonts w:ascii="Arial" w:eastAsia="Arial" w:hAnsi="Arial" w:cs="Arial"/>
          <w:sz w:val="20"/>
          <w:szCs w:val="20"/>
        </w:rPr>
        <w:t>the cost of manufacturing our current and any future product candidates, which may vary depending on FDA guidelines and requirements, the quantity of production and the terms of our agre</w:t>
      </w:r>
      <w:r>
        <w:rPr>
          <w:rFonts w:ascii="Arial" w:eastAsia="Arial" w:hAnsi="Arial" w:cs="Arial"/>
          <w:sz w:val="20"/>
          <w:szCs w:val="20"/>
        </w:rPr>
        <w:t>ements with manufacturers;</w:t>
      </w:r>
    </w:p>
    <w:p w:rsidR="000728AD" w:rsidRDefault="000728AD">
      <w:pPr>
        <w:spacing w:line="169" w:lineRule="exact"/>
        <w:rPr>
          <w:rFonts w:ascii="Arial" w:eastAsia="Arial" w:hAnsi="Arial" w:cs="Arial"/>
        </w:rPr>
      </w:pPr>
    </w:p>
    <w:p w:rsidR="000728AD" w:rsidRDefault="000561BE">
      <w:pPr>
        <w:numPr>
          <w:ilvl w:val="0"/>
          <w:numId w:val="38"/>
        </w:numPr>
        <w:tabs>
          <w:tab w:val="left" w:pos="660"/>
        </w:tabs>
        <w:ind w:left="660" w:hanging="328"/>
        <w:rPr>
          <w:rFonts w:ascii="Arial" w:eastAsia="Arial" w:hAnsi="Arial" w:cs="Arial"/>
          <w:sz w:val="19"/>
          <w:szCs w:val="19"/>
        </w:rPr>
      </w:pPr>
      <w:r>
        <w:rPr>
          <w:rFonts w:ascii="Arial" w:eastAsia="Arial" w:hAnsi="Arial" w:cs="Arial"/>
          <w:sz w:val="18"/>
          <w:szCs w:val="18"/>
        </w:rPr>
        <w:t>expenditures that we may incur to acquire or develop additional product candidates we develop as therapeutics and technologies;</w:t>
      </w:r>
    </w:p>
    <w:p w:rsidR="000728AD" w:rsidRDefault="000728AD">
      <w:pPr>
        <w:spacing w:line="200" w:lineRule="exact"/>
        <w:rPr>
          <w:rFonts w:ascii="Arial" w:eastAsia="Arial" w:hAnsi="Arial" w:cs="Arial"/>
          <w:sz w:val="19"/>
          <w:szCs w:val="19"/>
        </w:rPr>
      </w:pPr>
    </w:p>
    <w:p w:rsidR="000728AD" w:rsidRDefault="000561BE">
      <w:pPr>
        <w:numPr>
          <w:ilvl w:val="0"/>
          <w:numId w:val="38"/>
        </w:numPr>
        <w:tabs>
          <w:tab w:val="left" w:pos="655"/>
        </w:tabs>
        <w:spacing w:line="238" w:lineRule="auto"/>
        <w:ind w:left="660" w:right="40" w:hanging="328"/>
        <w:rPr>
          <w:rFonts w:ascii="Arial" w:eastAsia="Arial" w:hAnsi="Arial" w:cs="Arial"/>
        </w:rPr>
      </w:pPr>
      <w:r>
        <w:rPr>
          <w:rFonts w:ascii="Arial" w:eastAsia="Arial" w:hAnsi="Arial" w:cs="Arial"/>
          <w:sz w:val="20"/>
          <w:szCs w:val="20"/>
        </w:rPr>
        <w:t xml:space="preserve">the timing and outcomes of any Clinical Trials for product candidates and any other future </w:t>
      </w:r>
      <w:r>
        <w:rPr>
          <w:rFonts w:ascii="Arial" w:eastAsia="Arial" w:hAnsi="Arial" w:cs="Arial"/>
          <w:sz w:val="20"/>
          <w:szCs w:val="20"/>
        </w:rPr>
        <w:t>product candidates or competing product candidates;</w:t>
      </w:r>
    </w:p>
    <w:p w:rsidR="000728AD" w:rsidRDefault="000728AD">
      <w:pPr>
        <w:spacing w:line="169" w:lineRule="exact"/>
        <w:rPr>
          <w:rFonts w:ascii="Arial" w:eastAsia="Arial" w:hAnsi="Arial" w:cs="Arial"/>
        </w:rPr>
      </w:pPr>
    </w:p>
    <w:p w:rsidR="000728AD" w:rsidRDefault="000561BE">
      <w:pPr>
        <w:numPr>
          <w:ilvl w:val="0"/>
          <w:numId w:val="38"/>
        </w:numPr>
        <w:tabs>
          <w:tab w:val="left" w:pos="655"/>
        </w:tabs>
        <w:spacing w:line="238" w:lineRule="auto"/>
        <w:ind w:left="660" w:right="320" w:hanging="328"/>
        <w:rPr>
          <w:rFonts w:ascii="Arial" w:eastAsia="Arial" w:hAnsi="Arial" w:cs="Arial"/>
        </w:rPr>
      </w:pPr>
      <w:r>
        <w:rPr>
          <w:rFonts w:ascii="Arial" w:eastAsia="Arial" w:hAnsi="Arial" w:cs="Arial"/>
          <w:sz w:val="20"/>
          <w:szCs w:val="20"/>
        </w:rPr>
        <w:t>competition from existing and potential future products that compete with our current product candidates and any other future product candidates, and changes in the competitive landscape of our industry,</w:t>
      </w:r>
      <w:r>
        <w:rPr>
          <w:rFonts w:ascii="Arial" w:eastAsia="Arial" w:hAnsi="Arial" w:cs="Arial"/>
          <w:sz w:val="20"/>
          <w:szCs w:val="20"/>
        </w:rPr>
        <w:t xml:space="preserve"> including consolidation among our competitors or partners;</w:t>
      </w:r>
    </w:p>
    <w:p w:rsidR="000728AD" w:rsidRDefault="000728AD">
      <w:pPr>
        <w:spacing w:line="170" w:lineRule="exact"/>
        <w:rPr>
          <w:rFonts w:ascii="Arial" w:eastAsia="Arial" w:hAnsi="Arial" w:cs="Arial"/>
        </w:rPr>
      </w:pPr>
    </w:p>
    <w:p w:rsidR="000728AD" w:rsidRDefault="000561BE">
      <w:pPr>
        <w:numPr>
          <w:ilvl w:val="0"/>
          <w:numId w:val="38"/>
        </w:numPr>
        <w:tabs>
          <w:tab w:val="left" w:pos="655"/>
        </w:tabs>
        <w:spacing w:line="238" w:lineRule="auto"/>
        <w:ind w:left="660" w:right="420" w:hanging="328"/>
        <w:rPr>
          <w:rFonts w:ascii="Arial" w:eastAsia="Arial" w:hAnsi="Arial" w:cs="Arial"/>
        </w:rPr>
      </w:pPr>
      <w:r>
        <w:rPr>
          <w:rFonts w:ascii="Arial" w:eastAsia="Arial" w:hAnsi="Arial" w:cs="Arial"/>
          <w:sz w:val="20"/>
          <w:szCs w:val="20"/>
        </w:rPr>
        <w:t>any delays in regulatory review or approval or commercialization of our current product candidates or any other future product candidates;</w:t>
      </w:r>
    </w:p>
    <w:p w:rsidR="000728AD" w:rsidRDefault="000728AD">
      <w:pPr>
        <w:spacing w:line="169" w:lineRule="exact"/>
        <w:rPr>
          <w:rFonts w:ascii="Arial" w:eastAsia="Arial" w:hAnsi="Arial" w:cs="Arial"/>
        </w:rPr>
      </w:pPr>
    </w:p>
    <w:p w:rsidR="000728AD" w:rsidRDefault="000561BE">
      <w:pPr>
        <w:numPr>
          <w:ilvl w:val="0"/>
          <w:numId w:val="38"/>
        </w:numPr>
        <w:tabs>
          <w:tab w:val="left" w:pos="655"/>
        </w:tabs>
        <w:spacing w:line="238" w:lineRule="auto"/>
        <w:ind w:left="660" w:right="260" w:hanging="328"/>
        <w:rPr>
          <w:rFonts w:ascii="Arial" w:eastAsia="Arial" w:hAnsi="Arial" w:cs="Arial"/>
        </w:rPr>
      </w:pPr>
      <w:r>
        <w:rPr>
          <w:rFonts w:ascii="Arial" w:eastAsia="Arial" w:hAnsi="Arial" w:cs="Arial"/>
          <w:sz w:val="20"/>
          <w:szCs w:val="20"/>
        </w:rPr>
        <w:t xml:space="preserve">the level of demand for our current product candidates </w:t>
      </w:r>
      <w:r>
        <w:rPr>
          <w:rFonts w:ascii="Arial" w:eastAsia="Arial" w:hAnsi="Arial" w:cs="Arial"/>
          <w:sz w:val="20"/>
          <w:szCs w:val="20"/>
        </w:rPr>
        <w:t>and any other future product candidates, if approved, which may fluctuate significantly and be difficult to predict;</w:t>
      </w:r>
    </w:p>
    <w:p w:rsidR="000728AD" w:rsidRDefault="000728AD">
      <w:pPr>
        <w:spacing w:line="169" w:lineRule="exact"/>
        <w:rPr>
          <w:rFonts w:ascii="Arial" w:eastAsia="Arial" w:hAnsi="Arial" w:cs="Arial"/>
        </w:rPr>
      </w:pPr>
    </w:p>
    <w:p w:rsidR="000728AD" w:rsidRDefault="000561BE">
      <w:pPr>
        <w:numPr>
          <w:ilvl w:val="0"/>
          <w:numId w:val="38"/>
        </w:numPr>
        <w:tabs>
          <w:tab w:val="left" w:pos="655"/>
        </w:tabs>
        <w:spacing w:line="238" w:lineRule="auto"/>
        <w:ind w:left="660" w:right="120" w:hanging="328"/>
        <w:rPr>
          <w:rFonts w:ascii="Arial" w:eastAsia="Arial" w:hAnsi="Arial" w:cs="Arial"/>
        </w:rPr>
      </w:pPr>
      <w:r>
        <w:rPr>
          <w:rFonts w:ascii="Arial" w:eastAsia="Arial" w:hAnsi="Arial" w:cs="Arial"/>
          <w:sz w:val="20"/>
          <w:szCs w:val="20"/>
        </w:rPr>
        <w:t>the risk/benefit profile, cost and reimbursement policies with respect to our products, if approved, and existing and potential future pro</w:t>
      </w:r>
      <w:r>
        <w:rPr>
          <w:rFonts w:ascii="Arial" w:eastAsia="Arial" w:hAnsi="Arial" w:cs="Arial"/>
          <w:sz w:val="20"/>
          <w:szCs w:val="20"/>
        </w:rPr>
        <w:t>ducts that compete with our current product candidates and any other future product candidates;</w:t>
      </w:r>
    </w:p>
    <w:p w:rsidR="000728AD" w:rsidRDefault="000728AD">
      <w:pPr>
        <w:spacing w:line="169" w:lineRule="exact"/>
        <w:rPr>
          <w:rFonts w:ascii="Arial" w:eastAsia="Arial" w:hAnsi="Arial" w:cs="Arial"/>
        </w:rPr>
      </w:pPr>
    </w:p>
    <w:p w:rsidR="000728AD" w:rsidRDefault="000561BE">
      <w:pPr>
        <w:numPr>
          <w:ilvl w:val="0"/>
          <w:numId w:val="38"/>
        </w:numPr>
        <w:tabs>
          <w:tab w:val="left" w:pos="655"/>
        </w:tabs>
        <w:spacing w:line="238" w:lineRule="auto"/>
        <w:ind w:left="660" w:right="20" w:hanging="328"/>
        <w:rPr>
          <w:rFonts w:ascii="Arial" w:eastAsia="Arial" w:hAnsi="Arial" w:cs="Arial"/>
        </w:rPr>
      </w:pPr>
      <w:r>
        <w:rPr>
          <w:rFonts w:ascii="Arial" w:eastAsia="Arial" w:hAnsi="Arial" w:cs="Arial"/>
          <w:sz w:val="20"/>
          <w:szCs w:val="20"/>
        </w:rPr>
        <w:t xml:space="preserve">our ability to commercialize our current product candidates and any other future product candidates inside and outside of the United States, either </w:t>
      </w:r>
      <w:r>
        <w:rPr>
          <w:rFonts w:ascii="Arial" w:eastAsia="Arial" w:hAnsi="Arial" w:cs="Arial"/>
          <w:sz w:val="20"/>
          <w:szCs w:val="20"/>
        </w:rPr>
        <w:t>independently or working with third parties;</w:t>
      </w:r>
    </w:p>
    <w:p w:rsidR="000728AD" w:rsidRDefault="000728AD">
      <w:pPr>
        <w:spacing w:line="166" w:lineRule="exact"/>
        <w:rPr>
          <w:rFonts w:ascii="Arial" w:eastAsia="Arial" w:hAnsi="Arial" w:cs="Arial"/>
        </w:rPr>
      </w:pPr>
    </w:p>
    <w:p w:rsidR="000728AD" w:rsidRDefault="000561BE">
      <w:pPr>
        <w:numPr>
          <w:ilvl w:val="0"/>
          <w:numId w:val="38"/>
        </w:numPr>
        <w:tabs>
          <w:tab w:val="left" w:pos="660"/>
        </w:tabs>
        <w:ind w:left="660" w:hanging="328"/>
        <w:rPr>
          <w:rFonts w:ascii="Arial" w:eastAsia="Arial" w:hAnsi="Arial" w:cs="Arial"/>
        </w:rPr>
      </w:pPr>
      <w:r>
        <w:rPr>
          <w:rFonts w:ascii="Arial" w:eastAsia="Arial" w:hAnsi="Arial" w:cs="Arial"/>
          <w:sz w:val="20"/>
          <w:szCs w:val="20"/>
        </w:rPr>
        <w:t>our ability to adequately support future growth;</w:t>
      </w:r>
    </w:p>
    <w:p w:rsidR="000728AD" w:rsidRDefault="000728AD">
      <w:pPr>
        <w:spacing w:line="165" w:lineRule="exact"/>
        <w:rPr>
          <w:rFonts w:ascii="Arial" w:eastAsia="Arial" w:hAnsi="Arial" w:cs="Arial"/>
        </w:rPr>
      </w:pPr>
    </w:p>
    <w:p w:rsidR="000728AD" w:rsidRDefault="000561BE">
      <w:pPr>
        <w:numPr>
          <w:ilvl w:val="0"/>
          <w:numId w:val="38"/>
        </w:numPr>
        <w:tabs>
          <w:tab w:val="left" w:pos="660"/>
        </w:tabs>
        <w:ind w:left="660" w:hanging="328"/>
        <w:rPr>
          <w:rFonts w:ascii="Arial" w:eastAsia="Arial" w:hAnsi="Arial" w:cs="Arial"/>
        </w:rPr>
      </w:pPr>
      <w:r>
        <w:rPr>
          <w:rFonts w:ascii="Arial" w:eastAsia="Arial" w:hAnsi="Arial" w:cs="Arial"/>
          <w:sz w:val="20"/>
          <w:szCs w:val="20"/>
        </w:rPr>
        <w:t>potential unforeseen business disruptions that increase our costs or expenses;</w:t>
      </w:r>
    </w:p>
    <w:p w:rsidR="000728AD" w:rsidRDefault="000728AD">
      <w:pPr>
        <w:spacing w:line="165" w:lineRule="exact"/>
        <w:rPr>
          <w:rFonts w:ascii="Arial" w:eastAsia="Arial" w:hAnsi="Arial" w:cs="Arial"/>
        </w:rPr>
      </w:pPr>
    </w:p>
    <w:p w:rsidR="000728AD" w:rsidRDefault="000561BE">
      <w:pPr>
        <w:numPr>
          <w:ilvl w:val="0"/>
          <w:numId w:val="38"/>
        </w:numPr>
        <w:tabs>
          <w:tab w:val="left" w:pos="660"/>
        </w:tabs>
        <w:ind w:left="660" w:hanging="328"/>
        <w:rPr>
          <w:rFonts w:ascii="Arial" w:eastAsia="Arial" w:hAnsi="Arial" w:cs="Arial"/>
        </w:rPr>
      </w:pPr>
      <w:r>
        <w:rPr>
          <w:rFonts w:ascii="Arial" w:eastAsia="Arial" w:hAnsi="Arial" w:cs="Arial"/>
          <w:sz w:val="20"/>
          <w:szCs w:val="20"/>
        </w:rPr>
        <w:t>future accounting pronouncements or changes in our accounting policies; and</w:t>
      </w:r>
    </w:p>
    <w:p w:rsidR="000728AD" w:rsidRDefault="000728AD">
      <w:pPr>
        <w:spacing w:line="165" w:lineRule="exact"/>
        <w:rPr>
          <w:rFonts w:ascii="Arial" w:eastAsia="Arial" w:hAnsi="Arial" w:cs="Arial"/>
        </w:rPr>
      </w:pPr>
    </w:p>
    <w:p w:rsidR="000728AD" w:rsidRDefault="000561BE">
      <w:pPr>
        <w:numPr>
          <w:ilvl w:val="0"/>
          <w:numId w:val="38"/>
        </w:numPr>
        <w:tabs>
          <w:tab w:val="left" w:pos="660"/>
        </w:tabs>
        <w:ind w:left="660" w:hanging="328"/>
        <w:rPr>
          <w:rFonts w:ascii="Arial" w:eastAsia="Arial" w:hAnsi="Arial" w:cs="Arial"/>
        </w:rPr>
      </w:pPr>
      <w:r>
        <w:rPr>
          <w:rFonts w:ascii="Arial" w:eastAsia="Arial" w:hAnsi="Arial" w:cs="Arial"/>
          <w:sz w:val="20"/>
          <w:szCs w:val="20"/>
        </w:rPr>
        <w:t>the</w:t>
      </w:r>
      <w:r>
        <w:rPr>
          <w:rFonts w:ascii="Arial" w:eastAsia="Arial" w:hAnsi="Arial" w:cs="Arial"/>
          <w:sz w:val="20"/>
          <w:szCs w:val="20"/>
        </w:rPr>
        <w:t xml:space="preserve"> changing and volatile global economic environment.</w:t>
      </w:r>
    </w:p>
    <w:p w:rsidR="000728AD" w:rsidRDefault="000728AD">
      <w:pPr>
        <w:spacing w:line="195" w:lineRule="exact"/>
        <w:rPr>
          <w:sz w:val="20"/>
          <w:szCs w:val="20"/>
        </w:rPr>
      </w:pPr>
    </w:p>
    <w:p w:rsidR="000728AD" w:rsidRDefault="000561BE">
      <w:pPr>
        <w:spacing w:line="257" w:lineRule="auto"/>
        <w:rPr>
          <w:sz w:val="20"/>
          <w:szCs w:val="20"/>
        </w:rPr>
      </w:pPr>
      <w:r>
        <w:rPr>
          <w:rFonts w:ascii="Arial" w:eastAsia="Arial" w:hAnsi="Arial" w:cs="Arial"/>
          <w:sz w:val="19"/>
          <w:szCs w:val="19"/>
        </w:rPr>
        <w:t>The cumulative effect of these factors could result in large fluctuations and unpredictability in our quarterly and annual operating results. As a result, comparing our operating results on a period-to-p</w:t>
      </w:r>
      <w:r>
        <w:rPr>
          <w:rFonts w:ascii="Arial" w:eastAsia="Arial" w:hAnsi="Arial" w:cs="Arial"/>
          <w:sz w:val="19"/>
          <w:szCs w:val="19"/>
        </w:rPr>
        <w:t>eriod basis may not be meaningful. Investors should not rely on our past results as an indication of our future performance. This variability and unpredictability could also result in our failing to meet the expectations of industry or financial analysts o</w:t>
      </w:r>
      <w:r>
        <w:rPr>
          <w:rFonts w:ascii="Arial" w:eastAsia="Arial" w:hAnsi="Arial" w:cs="Arial"/>
          <w:sz w:val="19"/>
          <w:szCs w:val="19"/>
        </w:rPr>
        <w:t>r investors for any period. If our revenue or operating results fall below the expectations of analysts or investors or below any forecasts we may provide to the market, or if the forecasts we provide to the market are below the expectations of analysts or</w:t>
      </w:r>
      <w:r>
        <w:rPr>
          <w:rFonts w:ascii="Arial" w:eastAsia="Arial" w:hAnsi="Arial" w:cs="Arial"/>
          <w:sz w:val="19"/>
          <w:szCs w:val="19"/>
        </w:rPr>
        <w:t xml:space="preserve"> investors, the price of our common stock could decline substantially. Such a stock price decline could occur even when we have met any previously publicly stated revenue and/or earnings guidance we may provide.</w:t>
      </w:r>
    </w:p>
    <w:p w:rsidR="000728AD" w:rsidRDefault="000728AD">
      <w:pPr>
        <w:spacing w:line="185" w:lineRule="exact"/>
        <w:rPr>
          <w:sz w:val="20"/>
          <w:szCs w:val="20"/>
        </w:rPr>
      </w:pPr>
    </w:p>
    <w:p w:rsidR="000728AD" w:rsidRDefault="000561BE">
      <w:pPr>
        <w:spacing w:line="250" w:lineRule="auto"/>
        <w:ind w:right="140"/>
        <w:rPr>
          <w:sz w:val="20"/>
          <w:szCs w:val="20"/>
        </w:rPr>
      </w:pPr>
      <w:r>
        <w:rPr>
          <w:rFonts w:ascii="Arial" w:eastAsia="Arial" w:hAnsi="Arial" w:cs="Arial"/>
          <w:b/>
          <w:bCs/>
          <w:i/>
          <w:iCs/>
          <w:sz w:val="20"/>
          <w:szCs w:val="20"/>
        </w:rPr>
        <w:t xml:space="preserve">Anti-takeover provisions under our </w:t>
      </w:r>
      <w:r>
        <w:rPr>
          <w:rFonts w:ascii="Arial" w:eastAsia="Arial" w:hAnsi="Arial" w:cs="Arial"/>
          <w:b/>
          <w:bCs/>
          <w:i/>
          <w:iCs/>
          <w:sz w:val="20"/>
          <w:szCs w:val="20"/>
        </w:rPr>
        <w:t>charter documents and Delaware law could delay or prevent a change of control, which could limit the market price of our common stock and may prevent or frustrate attempts by our stockholders to replace or remove our current management.</w:t>
      </w:r>
    </w:p>
    <w:p w:rsidR="000728AD" w:rsidRDefault="000728AD">
      <w:pPr>
        <w:spacing w:line="186" w:lineRule="exact"/>
        <w:rPr>
          <w:sz w:val="20"/>
          <w:szCs w:val="20"/>
        </w:rPr>
      </w:pPr>
    </w:p>
    <w:p w:rsidR="000728AD" w:rsidRDefault="000561BE">
      <w:pPr>
        <w:spacing w:line="385" w:lineRule="auto"/>
        <w:ind w:right="20"/>
        <w:rPr>
          <w:sz w:val="20"/>
          <w:szCs w:val="20"/>
        </w:rPr>
      </w:pPr>
      <w:r>
        <w:rPr>
          <w:rFonts w:ascii="Arial" w:eastAsia="Arial" w:hAnsi="Arial" w:cs="Arial"/>
          <w:sz w:val="16"/>
          <w:szCs w:val="16"/>
        </w:rPr>
        <w:t>Our restated certi</w:t>
      </w:r>
      <w:r>
        <w:rPr>
          <w:rFonts w:ascii="Arial" w:eastAsia="Arial" w:hAnsi="Arial" w:cs="Arial"/>
          <w:sz w:val="16"/>
          <w:szCs w:val="16"/>
        </w:rPr>
        <w:t>ficate of incorporation and amended and restated bylaws contain provisions that could delay or prevent a change of control of our company or changes in our board of directors that our stockholders might consider favorable. Some of these provisions include:</w:t>
      </w:r>
    </w:p>
    <w:p w:rsidR="000728AD" w:rsidRDefault="000728AD">
      <w:pPr>
        <w:spacing w:line="112" w:lineRule="exact"/>
        <w:rPr>
          <w:sz w:val="20"/>
          <w:szCs w:val="20"/>
        </w:rPr>
      </w:pPr>
    </w:p>
    <w:p w:rsidR="000728AD" w:rsidRDefault="000561BE">
      <w:pPr>
        <w:numPr>
          <w:ilvl w:val="0"/>
          <w:numId w:val="39"/>
        </w:numPr>
        <w:tabs>
          <w:tab w:val="left" w:pos="655"/>
        </w:tabs>
        <w:spacing w:line="238" w:lineRule="auto"/>
        <w:ind w:left="660" w:right="380" w:hanging="328"/>
        <w:rPr>
          <w:rFonts w:ascii="Arial" w:eastAsia="Arial" w:hAnsi="Arial" w:cs="Arial"/>
        </w:rPr>
      </w:pPr>
      <w:r>
        <w:rPr>
          <w:rFonts w:ascii="Arial" w:eastAsia="Arial" w:hAnsi="Arial" w:cs="Arial"/>
          <w:sz w:val="20"/>
          <w:szCs w:val="20"/>
        </w:rPr>
        <w:t>a board of directors divided into three classes serving staggered three-year terms, such that not all members of the board will be elected at one time;</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93" w:lineRule="exact"/>
        <w:rPr>
          <w:sz w:val="20"/>
          <w:szCs w:val="20"/>
        </w:rPr>
      </w:pPr>
    </w:p>
    <w:p w:rsidR="000728AD" w:rsidRDefault="000561BE">
      <w:pPr>
        <w:ind w:right="-139"/>
        <w:jc w:val="center"/>
        <w:rPr>
          <w:sz w:val="20"/>
          <w:szCs w:val="20"/>
        </w:rPr>
      </w:pPr>
      <w:r>
        <w:rPr>
          <w:rFonts w:ascii="Arial" w:eastAsia="Arial" w:hAnsi="Arial" w:cs="Arial"/>
          <w:sz w:val="18"/>
          <w:szCs w:val="18"/>
        </w:rPr>
        <w:t>95</w:t>
      </w:r>
    </w:p>
    <w:p w:rsidR="000728AD" w:rsidRDefault="000561BE">
      <w:pPr>
        <w:spacing w:line="20" w:lineRule="exact"/>
        <w:rPr>
          <w:sz w:val="20"/>
          <w:szCs w:val="20"/>
        </w:rPr>
      </w:pPr>
      <w:r>
        <w:rPr>
          <w:noProof/>
          <w:sz w:val="20"/>
          <w:szCs w:val="20"/>
        </w:rPr>
        <w:drawing>
          <wp:anchor distT="0" distB="0" distL="114300" distR="114300" simplePos="0" relativeHeight="251705344"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459" w:bottom="1440" w:left="320" w:header="0" w:footer="0" w:gutter="0"/>
          <w:cols w:space="720" w:equalWidth="0">
            <w:col w:w="11120"/>
          </w:cols>
        </w:sectPr>
      </w:pPr>
    </w:p>
    <w:bookmarkStart w:id="96" w:name="page96"/>
    <w:bookmarkEnd w:id="96"/>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28" w:lineRule="exact"/>
        <w:rPr>
          <w:sz w:val="20"/>
          <w:szCs w:val="20"/>
        </w:rPr>
      </w:pPr>
    </w:p>
    <w:p w:rsidR="000728AD" w:rsidRDefault="000561BE">
      <w:pPr>
        <w:numPr>
          <w:ilvl w:val="0"/>
          <w:numId w:val="40"/>
        </w:numPr>
        <w:tabs>
          <w:tab w:val="left" w:pos="655"/>
        </w:tabs>
        <w:spacing w:line="238" w:lineRule="auto"/>
        <w:ind w:left="660" w:right="160" w:hanging="328"/>
        <w:rPr>
          <w:rFonts w:ascii="Arial" w:eastAsia="Arial" w:hAnsi="Arial" w:cs="Arial"/>
        </w:rPr>
      </w:pPr>
      <w:r>
        <w:rPr>
          <w:rFonts w:ascii="Arial" w:eastAsia="Arial" w:hAnsi="Arial" w:cs="Arial"/>
          <w:sz w:val="20"/>
          <w:szCs w:val="20"/>
        </w:rPr>
        <w:t xml:space="preserve">a prohibition on </w:t>
      </w:r>
      <w:r>
        <w:rPr>
          <w:rFonts w:ascii="Arial" w:eastAsia="Arial" w:hAnsi="Arial" w:cs="Arial"/>
          <w:sz w:val="20"/>
          <w:szCs w:val="20"/>
        </w:rPr>
        <w:t>stockholder action through written consent, which requires that all stockholder actions be taken at a meeting of our stockholders;</w:t>
      </w:r>
    </w:p>
    <w:p w:rsidR="000728AD" w:rsidRDefault="000728AD">
      <w:pPr>
        <w:spacing w:line="169" w:lineRule="exact"/>
        <w:rPr>
          <w:rFonts w:ascii="Arial" w:eastAsia="Arial" w:hAnsi="Arial" w:cs="Arial"/>
        </w:rPr>
      </w:pPr>
    </w:p>
    <w:p w:rsidR="000728AD" w:rsidRDefault="000561BE">
      <w:pPr>
        <w:numPr>
          <w:ilvl w:val="0"/>
          <w:numId w:val="40"/>
        </w:numPr>
        <w:tabs>
          <w:tab w:val="left" w:pos="660"/>
        </w:tabs>
        <w:ind w:left="660" w:hanging="328"/>
        <w:rPr>
          <w:rFonts w:ascii="Arial" w:eastAsia="Arial" w:hAnsi="Arial" w:cs="Arial"/>
          <w:sz w:val="21"/>
          <w:szCs w:val="21"/>
        </w:rPr>
      </w:pPr>
      <w:r>
        <w:rPr>
          <w:rFonts w:ascii="Arial" w:eastAsia="Arial" w:hAnsi="Arial" w:cs="Arial"/>
          <w:sz w:val="19"/>
          <w:szCs w:val="19"/>
        </w:rPr>
        <w:t>a requirement that special meetings of stockholders be called only by a majority of the total number of authorized directors</w:t>
      </w:r>
      <w:r>
        <w:rPr>
          <w:rFonts w:ascii="Arial" w:eastAsia="Arial" w:hAnsi="Arial" w:cs="Arial"/>
          <w:sz w:val="19"/>
          <w:szCs w:val="19"/>
        </w:rPr>
        <w:t>;</w:t>
      </w:r>
    </w:p>
    <w:p w:rsidR="000728AD" w:rsidRDefault="000728AD">
      <w:pPr>
        <w:spacing w:line="174" w:lineRule="exact"/>
        <w:rPr>
          <w:rFonts w:ascii="Arial" w:eastAsia="Arial" w:hAnsi="Arial" w:cs="Arial"/>
          <w:sz w:val="21"/>
          <w:szCs w:val="21"/>
        </w:rPr>
      </w:pPr>
    </w:p>
    <w:p w:rsidR="000728AD" w:rsidRDefault="000561BE">
      <w:pPr>
        <w:numPr>
          <w:ilvl w:val="0"/>
          <w:numId w:val="40"/>
        </w:numPr>
        <w:tabs>
          <w:tab w:val="left" w:pos="660"/>
        </w:tabs>
        <w:ind w:left="660" w:hanging="328"/>
        <w:rPr>
          <w:rFonts w:ascii="Arial" w:eastAsia="Arial" w:hAnsi="Arial" w:cs="Arial"/>
        </w:rPr>
      </w:pPr>
      <w:r>
        <w:rPr>
          <w:rFonts w:ascii="Arial" w:eastAsia="Arial" w:hAnsi="Arial" w:cs="Arial"/>
          <w:sz w:val="20"/>
          <w:szCs w:val="20"/>
        </w:rPr>
        <w:t>advance notice requirements for stockholder proposals and nominations for election to our board of directors;</w:t>
      </w:r>
    </w:p>
    <w:p w:rsidR="000728AD" w:rsidRDefault="000728AD">
      <w:pPr>
        <w:spacing w:line="168" w:lineRule="exact"/>
        <w:rPr>
          <w:rFonts w:ascii="Arial" w:eastAsia="Arial" w:hAnsi="Arial" w:cs="Arial"/>
        </w:rPr>
      </w:pPr>
    </w:p>
    <w:p w:rsidR="000728AD" w:rsidRDefault="000561BE">
      <w:pPr>
        <w:numPr>
          <w:ilvl w:val="0"/>
          <w:numId w:val="40"/>
        </w:numPr>
        <w:tabs>
          <w:tab w:val="left" w:pos="655"/>
        </w:tabs>
        <w:spacing w:line="238" w:lineRule="auto"/>
        <w:ind w:left="660" w:right="80" w:hanging="328"/>
        <w:rPr>
          <w:rFonts w:ascii="Arial" w:eastAsia="Arial" w:hAnsi="Arial" w:cs="Arial"/>
        </w:rPr>
      </w:pPr>
      <w:r>
        <w:rPr>
          <w:rFonts w:ascii="Arial" w:eastAsia="Arial" w:hAnsi="Arial" w:cs="Arial"/>
          <w:sz w:val="20"/>
          <w:szCs w:val="20"/>
        </w:rPr>
        <w:t xml:space="preserve">a requirement that no member of our board of directors may be removed from office by our stockholders except for cause and, in </w:t>
      </w:r>
      <w:r>
        <w:rPr>
          <w:rFonts w:ascii="Arial" w:eastAsia="Arial" w:hAnsi="Arial" w:cs="Arial"/>
          <w:sz w:val="20"/>
          <w:szCs w:val="20"/>
        </w:rPr>
        <w:t>addition to any other vote required by law, upon the approval of not less than two-thirds of all outstanding shares of our voting stock then entitled to vote in the election of directors;</w:t>
      </w:r>
    </w:p>
    <w:p w:rsidR="000728AD" w:rsidRDefault="000728AD">
      <w:pPr>
        <w:spacing w:line="170" w:lineRule="exact"/>
        <w:rPr>
          <w:rFonts w:ascii="Arial" w:eastAsia="Arial" w:hAnsi="Arial" w:cs="Arial"/>
        </w:rPr>
      </w:pPr>
    </w:p>
    <w:p w:rsidR="000728AD" w:rsidRDefault="000561BE">
      <w:pPr>
        <w:numPr>
          <w:ilvl w:val="0"/>
          <w:numId w:val="40"/>
        </w:numPr>
        <w:tabs>
          <w:tab w:val="left" w:pos="655"/>
        </w:tabs>
        <w:spacing w:line="238" w:lineRule="auto"/>
        <w:ind w:left="660" w:right="900" w:hanging="328"/>
        <w:rPr>
          <w:rFonts w:ascii="Arial" w:eastAsia="Arial" w:hAnsi="Arial" w:cs="Arial"/>
        </w:rPr>
      </w:pPr>
      <w:r>
        <w:rPr>
          <w:rFonts w:ascii="Arial" w:eastAsia="Arial" w:hAnsi="Arial" w:cs="Arial"/>
          <w:sz w:val="20"/>
          <w:szCs w:val="20"/>
        </w:rPr>
        <w:t>a requirement of approval of not less than two-thirds of all outsta</w:t>
      </w:r>
      <w:r>
        <w:rPr>
          <w:rFonts w:ascii="Arial" w:eastAsia="Arial" w:hAnsi="Arial" w:cs="Arial"/>
          <w:sz w:val="20"/>
          <w:szCs w:val="20"/>
        </w:rPr>
        <w:t>nding shares of our voting stock to amend any bylaws by stockholder action or to amend specific provisions of our certificate of incorporation; and</w:t>
      </w:r>
    </w:p>
    <w:p w:rsidR="000728AD" w:rsidRDefault="000728AD">
      <w:pPr>
        <w:spacing w:line="169" w:lineRule="exact"/>
        <w:rPr>
          <w:rFonts w:ascii="Arial" w:eastAsia="Arial" w:hAnsi="Arial" w:cs="Arial"/>
        </w:rPr>
      </w:pPr>
    </w:p>
    <w:p w:rsidR="000728AD" w:rsidRDefault="000561BE">
      <w:pPr>
        <w:numPr>
          <w:ilvl w:val="0"/>
          <w:numId w:val="40"/>
        </w:numPr>
        <w:tabs>
          <w:tab w:val="left" w:pos="655"/>
        </w:tabs>
        <w:spacing w:line="261" w:lineRule="auto"/>
        <w:ind w:left="660" w:right="420" w:hanging="328"/>
        <w:rPr>
          <w:rFonts w:ascii="Arial" w:eastAsia="Arial" w:hAnsi="Arial" w:cs="Arial"/>
          <w:sz w:val="21"/>
          <w:szCs w:val="21"/>
        </w:rPr>
      </w:pPr>
      <w:r>
        <w:rPr>
          <w:rFonts w:ascii="Arial" w:eastAsia="Arial" w:hAnsi="Arial" w:cs="Arial"/>
          <w:sz w:val="19"/>
          <w:szCs w:val="19"/>
        </w:rPr>
        <w:t>the authority of the board of directors to issue preferred stock on terms determined by the board of direct</w:t>
      </w:r>
      <w:r>
        <w:rPr>
          <w:rFonts w:ascii="Arial" w:eastAsia="Arial" w:hAnsi="Arial" w:cs="Arial"/>
          <w:sz w:val="19"/>
          <w:szCs w:val="19"/>
        </w:rPr>
        <w:t>ors without stockholder approval and which preferred stock may include rights superior to the rights of the holders of common stock.</w:t>
      </w:r>
    </w:p>
    <w:p w:rsidR="000728AD" w:rsidRDefault="000728AD">
      <w:pPr>
        <w:spacing w:line="175" w:lineRule="exact"/>
        <w:rPr>
          <w:sz w:val="20"/>
          <w:szCs w:val="20"/>
        </w:rPr>
      </w:pPr>
    </w:p>
    <w:p w:rsidR="000728AD" w:rsidRDefault="000561BE">
      <w:pPr>
        <w:spacing w:line="257" w:lineRule="auto"/>
        <w:ind w:right="40"/>
        <w:rPr>
          <w:sz w:val="20"/>
          <w:szCs w:val="20"/>
        </w:rPr>
      </w:pPr>
      <w:r>
        <w:rPr>
          <w:rFonts w:ascii="Arial" w:eastAsia="Arial" w:hAnsi="Arial" w:cs="Arial"/>
          <w:sz w:val="19"/>
          <w:szCs w:val="19"/>
        </w:rPr>
        <w:t>In addition, because we are incorporated in Delaware, we are governed by the provisions of Section 203 of the Delaware Gen</w:t>
      </w:r>
      <w:r>
        <w:rPr>
          <w:rFonts w:ascii="Arial" w:eastAsia="Arial" w:hAnsi="Arial" w:cs="Arial"/>
          <w:sz w:val="19"/>
          <w:szCs w:val="19"/>
        </w:rPr>
        <w:t>eral Corporation Law, which may prohibit certain business combinations with stockholders owning 15% or more of our outstanding voting stock. These anti-takeover provisions and other provisions in our restated certificate of incorporation and amended and re</w:t>
      </w:r>
      <w:r>
        <w:rPr>
          <w:rFonts w:ascii="Arial" w:eastAsia="Arial" w:hAnsi="Arial" w:cs="Arial"/>
          <w:sz w:val="19"/>
          <w:szCs w:val="19"/>
        </w:rPr>
        <w:t>stated bylaws could make it more difficult for stockholders or potential acquirers to obtain control of our board of directors or initiate actions that are opposed by the then-current board of directors and could also delay or impede a merger, tender offer</w:t>
      </w:r>
      <w:r>
        <w:rPr>
          <w:rFonts w:ascii="Arial" w:eastAsia="Arial" w:hAnsi="Arial" w:cs="Arial"/>
          <w:sz w:val="19"/>
          <w:szCs w:val="19"/>
        </w:rPr>
        <w:t xml:space="preserve"> or proxy contest involving our company. These provisions could also discourage proxy contests and make it more difficult for you and other stockholders to elect directors of your choosing or cause us to take other corporate actions you desire. Any delay o</w:t>
      </w:r>
      <w:r>
        <w:rPr>
          <w:rFonts w:ascii="Arial" w:eastAsia="Arial" w:hAnsi="Arial" w:cs="Arial"/>
          <w:sz w:val="19"/>
          <w:szCs w:val="19"/>
        </w:rPr>
        <w:t>r prevention of a change of control transaction or changes in our board of directors could cause the market price of our common stock to decline.</w:t>
      </w:r>
    </w:p>
    <w:p w:rsidR="000728AD" w:rsidRDefault="000728AD">
      <w:pPr>
        <w:spacing w:line="180" w:lineRule="exact"/>
        <w:rPr>
          <w:sz w:val="20"/>
          <w:szCs w:val="20"/>
        </w:rPr>
      </w:pPr>
    </w:p>
    <w:p w:rsidR="000728AD" w:rsidRDefault="000561BE">
      <w:pPr>
        <w:spacing w:line="260" w:lineRule="auto"/>
        <w:ind w:right="460"/>
        <w:rPr>
          <w:sz w:val="20"/>
          <w:szCs w:val="20"/>
        </w:rPr>
      </w:pPr>
      <w:r>
        <w:rPr>
          <w:rFonts w:ascii="Arial" w:eastAsia="Arial" w:hAnsi="Arial" w:cs="Arial"/>
          <w:b/>
          <w:bCs/>
          <w:i/>
          <w:iCs/>
          <w:sz w:val="20"/>
          <w:szCs w:val="20"/>
        </w:rPr>
        <w:t>If securities or industry analysts publish inaccurate or unfavorable research about our business, our stock p</w:t>
      </w:r>
      <w:r>
        <w:rPr>
          <w:rFonts w:ascii="Arial" w:eastAsia="Arial" w:hAnsi="Arial" w:cs="Arial"/>
          <w:b/>
          <w:bCs/>
          <w:i/>
          <w:iCs/>
          <w:sz w:val="20"/>
          <w:szCs w:val="20"/>
        </w:rPr>
        <w:t>rice and trading volume could decline.</w:t>
      </w:r>
    </w:p>
    <w:p w:rsidR="000728AD" w:rsidRDefault="000728AD">
      <w:pPr>
        <w:spacing w:line="177" w:lineRule="exact"/>
        <w:rPr>
          <w:sz w:val="20"/>
          <w:szCs w:val="20"/>
        </w:rPr>
      </w:pPr>
    </w:p>
    <w:p w:rsidR="000728AD" w:rsidRDefault="000561BE">
      <w:pPr>
        <w:spacing w:line="244" w:lineRule="auto"/>
        <w:ind w:right="320"/>
        <w:rPr>
          <w:sz w:val="20"/>
          <w:szCs w:val="20"/>
        </w:rPr>
      </w:pPr>
      <w:r>
        <w:rPr>
          <w:rFonts w:ascii="Arial" w:eastAsia="Arial" w:hAnsi="Arial" w:cs="Arial"/>
          <w:sz w:val="20"/>
          <w:szCs w:val="20"/>
        </w:rPr>
        <w:t>The trading market for our common stock and its development will depend in part on the research and reports that securities or industry analysts publish about us or our business. If one or more of the analysts who co</w:t>
      </w:r>
      <w:r>
        <w:rPr>
          <w:rFonts w:ascii="Arial" w:eastAsia="Arial" w:hAnsi="Arial" w:cs="Arial"/>
          <w:sz w:val="20"/>
          <w:szCs w:val="20"/>
        </w:rPr>
        <w:t>ver us downgrades our stock or publishes inaccurate or unfavorable research about our business, our stock price may decline. If one or more of these analysts ceases coverage of our company or fails to publish reports on us regularly, demand for our stock c</w:t>
      </w:r>
      <w:r>
        <w:rPr>
          <w:rFonts w:ascii="Arial" w:eastAsia="Arial" w:hAnsi="Arial" w:cs="Arial"/>
          <w:sz w:val="20"/>
          <w:szCs w:val="20"/>
        </w:rPr>
        <w:t>ould decrease, which might cause our stock price and trading volume to decline.</w:t>
      </w:r>
    </w:p>
    <w:p w:rsidR="000728AD" w:rsidRDefault="000728AD">
      <w:pPr>
        <w:spacing w:line="194" w:lineRule="exact"/>
        <w:rPr>
          <w:sz w:val="20"/>
          <w:szCs w:val="20"/>
        </w:rPr>
      </w:pPr>
    </w:p>
    <w:p w:rsidR="000728AD" w:rsidRDefault="000561BE">
      <w:pPr>
        <w:spacing w:line="250" w:lineRule="auto"/>
        <w:ind w:right="200"/>
        <w:jc w:val="both"/>
        <w:rPr>
          <w:sz w:val="20"/>
          <w:szCs w:val="20"/>
        </w:rPr>
      </w:pPr>
      <w:r>
        <w:rPr>
          <w:rFonts w:ascii="Arial" w:eastAsia="Arial" w:hAnsi="Arial" w:cs="Arial"/>
          <w:b/>
          <w:bCs/>
          <w:i/>
          <w:iCs/>
          <w:sz w:val="20"/>
          <w:szCs w:val="20"/>
        </w:rPr>
        <w:t xml:space="preserve">If we fail to maintain proper and effective internal control over financial reporting, our ability to produce accurate and timely financial statements could be </w:t>
      </w:r>
      <w:r>
        <w:rPr>
          <w:rFonts w:ascii="Arial" w:eastAsia="Arial" w:hAnsi="Arial" w:cs="Arial"/>
          <w:b/>
          <w:bCs/>
          <w:i/>
          <w:iCs/>
          <w:sz w:val="20"/>
          <w:szCs w:val="20"/>
        </w:rPr>
        <w:t>impaired, investors may lose confidence in our financial reporting and the trading price of our common stock may decline.</w:t>
      </w:r>
    </w:p>
    <w:p w:rsidR="000728AD" w:rsidRDefault="000728AD">
      <w:pPr>
        <w:spacing w:line="186" w:lineRule="exact"/>
        <w:rPr>
          <w:sz w:val="20"/>
          <w:szCs w:val="20"/>
        </w:rPr>
      </w:pPr>
    </w:p>
    <w:p w:rsidR="000728AD" w:rsidRDefault="000561BE">
      <w:pPr>
        <w:spacing w:line="276" w:lineRule="auto"/>
        <w:rPr>
          <w:sz w:val="20"/>
          <w:szCs w:val="20"/>
        </w:rPr>
      </w:pPr>
      <w:r>
        <w:rPr>
          <w:rFonts w:ascii="Arial" w:eastAsia="Arial" w:hAnsi="Arial" w:cs="Arial"/>
          <w:sz w:val="18"/>
          <w:szCs w:val="18"/>
        </w:rPr>
        <w:t>Pursuant to Section 404 of Sarbanes-Oxley, our management is required to report upon the effectiveness of our internal control over f</w:t>
      </w:r>
      <w:r>
        <w:rPr>
          <w:rFonts w:ascii="Arial" w:eastAsia="Arial" w:hAnsi="Arial" w:cs="Arial"/>
          <w:sz w:val="18"/>
          <w:szCs w:val="18"/>
        </w:rPr>
        <w:t>inancial reporting. When we lose our status as an "emerging growth company," our independent registered public accounting firm will be required to attest to the effectiveness of our internal control over financial reporting. The rules governing the standar</w:t>
      </w:r>
      <w:r>
        <w:rPr>
          <w:rFonts w:ascii="Arial" w:eastAsia="Arial" w:hAnsi="Arial" w:cs="Arial"/>
          <w:sz w:val="18"/>
          <w:szCs w:val="18"/>
        </w:rPr>
        <w:t xml:space="preserve">ds that must be met for management to assess our internal control over financial reporting are complex and require significant documentation, testing and possible remediation. To comply with the requirements of being a reporting company under the Exchange </w:t>
      </w:r>
      <w:r>
        <w:rPr>
          <w:rFonts w:ascii="Arial" w:eastAsia="Arial" w:hAnsi="Arial" w:cs="Arial"/>
          <w:sz w:val="18"/>
          <w:szCs w:val="18"/>
        </w:rPr>
        <w:t>Act, we may need to implement additional financial and management controls, reporting systems and procedures and may need to hire additional accounting and finance staff.</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61" w:lineRule="exact"/>
        <w:rPr>
          <w:sz w:val="20"/>
          <w:szCs w:val="20"/>
        </w:rPr>
      </w:pPr>
    </w:p>
    <w:p w:rsidR="000728AD" w:rsidRDefault="000561BE">
      <w:pPr>
        <w:ind w:right="-19"/>
        <w:jc w:val="center"/>
        <w:rPr>
          <w:sz w:val="20"/>
          <w:szCs w:val="20"/>
        </w:rPr>
      </w:pPr>
      <w:r>
        <w:rPr>
          <w:rFonts w:ascii="Arial" w:eastAsia="Arial" w:hAnsi="Arial" w:cs="Arial"/>
          <w:sz w:val="18"/>
          <w:szCs w:val="18"/>
        </w:rPr>
        <w:t>96</w:t>
      </w:r>
    </w:p>
    <w:p w:rsidR="000728AD" w:rsidRDefault="000561BE">
      <w:pPr>
        <w:spacing w:line="20" w:lineRule="exact"/>
        <w:rPr>
          <w:sz w:val="20"/>
          <w:szCs w:val="20"/>
        </w:rPr>
      </w:pPr>
      <w:r>
        <w:rPr>
          <w:noProof/>
          <w:sz w:val="20"/>
          <w:szCs w:val="20"/>
        </w:rPr>
        <w:drawing>
          <wp:anchor distT="0" distB="0" distL="114300" distR="114300" simplePos="0" relativeHeight="251706368"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59" w:bottom="1440" w:left="320" w:header="0" w:footer="0" w:gutter="0"/>
          <w:cols w:space="720" w:equalWidth="0">
            <w:col w:w="11220"/>
          </w:cols>
        </w:sectPr>
      </w:pPr>
    </w:p>
    <w:bookmarkStart w:id="97" w:name="page97"/>
    <w:bookmarkEnd w:id="97"/>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273" w:lineRule="auto"/>
        <w:ind w:right="60"/>
        <w:rPr>
          <w:sz w:val="20"/>
          <w:szCs w:val="20"/>
        </w:rPr>
      </w:pPr>
      <w:r>
        <w:rPr>
          <w:rFonts w:ascii="Arial" w:eastAsia="Arial" w:hAnsi="Arial" w:cs="Arial"/>
          <w:sz w:val="18"/>
          <w:szCs w:val="18"/>
        </w:rPr>
        <w:t xml:space="preserve">We </w:t>
      </w:r>
      <w:r>
        <w:rPr>
          <w:rFonts w:ascii="Arial" w:eastAsia="Arial" w:hAnsi="Arial" w:cs="Arial"/>
          <w:sz w:val="18"/>
          <w:szCs w:val="18"/>
        </w:rPr>
        <w:t>cannot assure you that there will not be material weaknesses or significant deficiencies in our internal control over financial reporting in the future. Any failure to maintain internal control over financial reporting could severely inhibit our ability to</w:t>
      </w:r>
      <w:r>
        <w:rPr>
          <w:rFonts w:ascii="Arial" w:eastAsia="Arial" w:hAnsi="Arial" w:cs="Arial"/>
          <w:sz w:val="18"/>
          <w:szCs w:val="18"/>
        </w:rPr>
        <w:t xml:space="preserve"> accurately report our financial condition, results of operations or cash flows. If we are unable to conclude that our internal control over financial reporting is effective, or if our independent registered public accounting firm determines we have a mate</w:t>
      </w:r>
      <w:r>
        <w:rPr>
          <w:rFonts w:ascii="Arial" w:eastAsia="Arial" w:hAnsi="Arial" w:cs="Arial"/>
          <w:sz w:val="18"/>
          <w:szCs w:val="18"/>
        </w:rPr>
        <w:t>rial weakness or significant deficiency in our internal control over financial reporting, investors may lose confidence in the accuracy and completeness of our financial reports, the market price of our common stock could decline, and we could be subject t</w:t>
      </w:r>
      <w:r>
        <w:rPr>
          <w:rFonts w:ascii="Arial" w:eastAsia="Arial" w:hAnsi="Arial" w:cs="Arial"/>
          <w:sz w:val="18"/>
          <w:szCs w:val="18"/>
        </w:rPr>
        <w:t>o sanctions or investigations by The Nasdaq Global Market, the SEC or other regulatory authorities. Failure to remedy any material weakness in our internal control over financial reporting, or to implement or maintain other effective control systems requir</w:t>
      </w:r>
      <w:r>
        <w:rPr>
          <w:rFonts w:ascii="Arial" w:eastAsia="Arial" w:hAnsi="Arial" w:cs="Arial"/>
          <w:sz w:val="18"/>
          <w:szCs w:val="18"/>
        </w:rPr>
        <w:t>ed of public companies, could also restrict our future access to the capital markets.</w:t>
      </w:r>
    </w:p>
    <w:p w:rsidR="000728AD" w:rsidRDefault="000728AD">
      <w:pPr>
        <w:spacing w:line="168" w:lineRule="exact"/>
        <w:rPr>
          <w:sz w:val="20"/>
          <w:szCs w:val="20"/>
        </w:rPr>
      </w:pPr>
    </w:p>
    <w:p w:rsidR="000728AD" w:rsidRDefault="000561BE">
      <w:pPr>
        <w:spacing w:line="260" w:lineRule="auto"/>
        <w:rPr>
          <w:sz w:val="20"/>
          <w:szCs w:val="20"/>
        </w:rPr>
      </w:pPr>
      <w:r>
        <w:rPr>
          <w:rFonts w:ascii="Arial" w:eastAsia="Arial" w:hAnsi="Arial" w:cs="Arial"/>
          <w:b/>
          <w:bCs/>
          <w:i/>
          <w:iCs/>
          <w:sz w:val="20"/>
          <w:szCs w:val="20"/>
        </w:rPr>
        <w:t>If we engage in future acquisitions or strategic partnerships, this may increase our capital requirements, dilute our stockholders, cause us to incur debt or assume cont</w:t>
      </w:r>
      <w:r>
        <w:rPr>
          <w:rFonts w:ascii="Arial" w:eastAsia="Arial" w:hAnsi="Arial" w:cs="Arial"/>
          <w:b/>
          <w:bCs/>
          <w:i/>
          <w:iCs/>
          <w:sz w:val="20"/>
          <w:szCs w:val="20"/>
        </w:rPr>
        <w:t>ingent liabilities and subject us to other risks.</w:t>
      </w:r>
    </w:p>
    <w:p w:rsidR="000728AD" w:rsidRDefault="000728AD">
      <w:pPr>
        <w:spacing w:line="177" w:lineRule="exact"/>
        <w:rPr>
          <w:sz w:val="20"/>
          <w:szCs w:val="20"/>
        </w:rPr>
      </w:pPr>
    </w:p>
    <w:p w:rsidR="000728AD" w:rsidRDefault="000561BE">
      <w:pPr>
        <w:spacing w:line="250" w:lineRule="auto"/>
        <w:ind w:right="480"/>
        <w:rPr>
          <w:sz w:val="20"/>
          <w:szCs w:val="20"/>
        </w:rPr>
      </w:pPr>
      <w:r>
        <w:rPr>
          <w:rFonts w:ascii="Arial" w:eastAsia="Arial" w:hAnsi="Arial" w:cs="Arial"/>
          <w:sz w:val="20"/>
          <w:szCs w:val="20"/>
        </w:rPr>
        <w:t>We may evaluate various acquisition opportunities and strategic partnerships, including licensing or acquiring complementary products, intellectual property rights, technologies or businesses. Any potentia</w:t>
      </w:r>
      <w:r>
        <w:rPr>
          <w:rFonts w:ascii="Arial" w:eastAsia="Arial" w:hAnsi="Arial" w:cs="Arial"/>
          <w:sz w:val="20"/>
          <w:szCs w:val="20"/>
        </w:rPr>
        <w:t>l acquisition or strategic partnership may entail numerous risks, including, but not limited to:</w:t>
      </w:r>
    </w:p>
    <w:p w:rsidR="000728AD" w:rsidRDefault="000728AD">
      <w:pPr>
        <w:spacing w:line="210" w:lineRule="exact"/>
        <w:rPr>
          <w:sz w:val="20"/>
          <w:szCs w:val="20"/>
        </w:rPr>
      </w:pPr>
    </w:p>
    <w:p w:rsidR="000728AD" w:rsidRDefault="000561BE">
      <w:pPr>
        <w:numPr>
          <w:ilvl w:val="0"/>
          <w:numId w:val="41"/>
        </w:numPr>
        <w:tabs>
          <w:tab w:val="left" w:pos="660"/>
        </w:tabs>
        <w:ind w:left="660" w:hanging="328"/>
        <w:rPr>
          <w:rFonts w:ascii="Arial" w:eastAsia="Arial" w:hAnsi="Arial" w:cs="Arial"/>
        </w:rPr>
      </w:pPr>
      <w:r>
        <w:rPr>
          <w:rFonts w:ascii="Arial" w:eastAsia="Arial" w:hAnsi="Arial" w:cs="Arial"/>
          <w:sz w:val="20"/>
          <w:szCs w:val="20"/>
        </w:rPr>
        <w:t>increased operating expenses and cash requirements;</w:t>
      </w:r>
    </w:p>
    <w:p w:rsidR="000728AD" w:rsidRDefault="000728AD">
      <w:pPr>
        <w:spacing w:line="165" w:lineRule="exact"/>
        <w:rPr>
          <w:rFonts w:ascii="Arial" w:eastAsia="Arial" w:hAnsi="Arial" w:cs="Arial"/>
        </w:rPr>
      </w:pPr>
    </w:p>
    <w:p w:rsidR="000728AD" w:rsidRDefault="000561BE">
      <w:pPr>
        <w:numPr>
          <w:ilvl w:val="0"/>
          <w:numId w:val="41"/>
        </w:numPr>
        <w:tabs>
          <w:tab w:val="left" w:pos="660"/>
        </w:tabs>
        <w:ind w:left="660" w:hanging="328"/>
        <w:rPr>
          <w:rFonts w:ascii="Arial" w:eastAsia="Arial" w:hAnsi="Arial" w:cs="Arial"/>
        </w:rPr>
      </w:pPr>
      <w:r>
        <w:rPr>
          <w:rFonts w:ascii="Arial" w:eastAsia="Arial" w:hAnsi="Arial" w:cs="Arial"/>
          <w:sz w:val="20"/>
          <w:szCs w:val="20"/>
        </w:rPr>
        <w:t>the assumption of additional indebtedness or contingent liabilities;</w:t>
      </w:r>
    </w:p>
    <w:p w:rsidR="000728AD" w:rsidRDefault="000728AD">
      <w:pPr>
        <w:spacing w:line="165" w:lineRule="exact"/>
        <w:rPr>
          <w:rFonts w:ascii="Arial" w:eastAsia="Arial" w:hAnsi="Arial" w:cs="Arial"/>
        </w:rPr>
      </w:pPr>
    </w:p>
    <w:p w:rsidR="000728AD" w:rsidRDefault="000561BE">
      <w:pPr>
        <w:numPr>
          <w:ilvl w:val="0"/>
          <w:numId w:val="41"/>
        </w:numPr>
        <w:tabs>
          <w:tab w:val="left" w:pos="660"/>
        </w:tabs>
        <w:ind w:left="660" w:hanging="328"/>
        <w:rPr>
          <w:rFonts w:ascii="Arial" w:eastAsia="Arial" w:hAnsi="Arial" w:cs="Arial"/>
        </w:rPr>
      </w:pPr>
      <w:r>
        <w:rPr>
          <w:rFonts w:ascii="Arial" w:eastAsia="Arial" w:hAnsi="Arial" w:cs="Arial"/>
          <w:sz w:val="20"/>
          <w:szCs w:val="20"/>
        </w:rPr>
        <w:t xml:space="preserve">the issuance of our equity </w:t>
      </w:r>
      <w:r>
        <w:rPr>
          <w:rFonts w:ascii="Arial" w:eastAsia="Arial" w:hAnsi="Arial" w:cs="Arial"/>
          <w:sz w:val="20"/>
          <w:szCs w:val="20"/>
        </w:rPr>
        <w:t>securities;</w:t>
      </w:r>
    </w:p>
    <w:p w:rsidR="000728AD" w:rsidRDefault="000728AD">
      <w:pPr>
        <w:spacing w:line="168" w:lineRule="exact"/>
        <w:rPr>
          <w:rFonts w:ascii="Arial" w:eastAsia="Arial" w:hAnsi="Arial" w:cs="Arial"/>
        </w:rPr>
      </w:pPr>
    </w:p>
    <w:p w:rsidR="000728AD" w:rsidRDefault="000561BE">
      <w:pPr>
        <w:numPr>
          <w:ilvl w:val="0"/>
          <w:numId w:val="41"/>
        </w:numPr>
        <w:tabs>
          <w:tab w:val="left" w:pos="655"/>
        </w:tabs>
        <w:spacing w:line="238" w:lineRule="auto"/>
        <w:ind w:left="660" w:right="820" w:hanging="328"/>
        <w:rPr>
          <w:rFonts w:ascii="Arial" w:eastAsia="Arial" w:hAnsi="Arial" w:cs="Arial"/>
        </w:rPr>
      </w:pPr>
      <w:r>
        <w:rPr>
          <w:rFonts w:ascii="Arial" w:eastAsia="Arial" w:hAnsi="Arial" w:cs="Arial"/>
          <w:sz w:val="20"/>
          <w:szCs w:val="20"/>
        </w:rPr>
        <w:t>assimilation of operations, intellectual property and products of an acquired company, including difficulties associated with integrating new personnel;</w:t>
      </w:r>
    </w:p>
    <w:p w:rsidR="000728AD" w:rsidRDefault="000728AD">
      <w:pPr>
        <w:spacing w:line="169" w:lineRule="exact"/>
        <w:rPr>
          <w:rFonts w:ascii="Arial" w:eastAsia="Arial" w:hAnsi="Arial" w:cs="Arial"/>
        </w:rPr>
      </w:pPr>
    </w:p>
    <w:p w:rsidR="000728AD" w:rsidRDefault="000561BE">
      <w:pPr>
        <w:numPr>
          <w:ilvl w:val="0"/>
          <w:numId w:val="41"/>
        </w:numPr>
        <w:tabs>
          <w:tab w:val="left" w:pos="655"/>
        </w:tabs>
        <w:spacing w:line="238" w:lineRule="auto"/>
        <w:ind w:left="660" w:right="40" w:hanging="328"/>
        <w:rPr>
          <w:rFonts w:ascii="Arial" w:eastAsia="Arial" w:hAnsi="Arial" w:cs="Arial"/>
        </w:rPr>
      </w:pPr>
      <w:r>
        <w:rPr>
          <w:rFonts w:ascii="Arial" w:eastAsia="Arial" w:hAnsi="Arial" w:cs="Arial"/>
          <w:sz w:val="20"/>
          <w:szCs w:val="20"/>
        </w:rPr>
        <w:t>the diversion of our management's attention from our existing product programs and initia</w:t>
      </w:r>
      <w:r>
        <w:rPr>
          <w:rFonts w:ascii="Arial" w:eastAsia="Arial" w:hAnsi="Arial" w:cs="Arial"/>
          <w:sz w:val="20"/>
          <w:szCs w:val="20"/>
        </w:rPr>
        <w:t>tives in pursuing such a strategic merger or acquisition;</w:t>
      </w:r>
    </w:p>
    <w:p w:rsidR="000728AD" w:rsidRDefault="000728AD">
      <w:pPr>
        <w:spacing w:line="169" w:lineRule="exact"/>
        <w:rPr>
          <w:rFonts w:ascii="Arial" w:eastAsia="Arial" w:hAnsi="Arial" w:cs="Arial"/>
        </w:rPr>
      </w:pPr>
    </w:p>
    <w:p w:rsidR="000728AD" w:rsidRDefault="000561BE">
      <w:pPr>
        <w:numPr>
          <w:ilvl w:val="0"/>
          <w:numId w:val="41"/>
        </w:numPr>
        <w:tabs>
          <w:tab w:val="left" w:pos="660"/>
        </w:tabs>
        <w:ind w:left="660" w:hanging="328"/>
        <w:rPr>
          <w:rFonts w:ascii="Arial" w:eastAsia="Arial" w:hAnsi="Arial" w:cs="Arial"/>
          <w:sz w:val="21"/>
          <w:szCs w:val="21"/>
        </w:rPr>
      </w:pPr>
      <w:r>
        <w:rPr>
          <w:rFonts w:ascii="Arial" w:eastAsia="Arial" w:hAnsi="Arial" w:cs="Arial"/>
          <w:sz w:val="19"/>
          <w:szCs w:val="19"/>
        </w:rPr>
        <w:t>retention of key employees, the loss of key personnel and uncertainties in our ability to maintain key business relationships;</w:t>
      </w:r>
    </w:p>
    <w:p w:rsidR="000728AD" w:rsidRDefault="000728AD">
      <w:pPr>
        <w:spacing w:line="177" w:lineRule="exact"/>
        <w:rPr>
          <w:rFonts w:ascii="Arial" w:eastAsia="Arial" w:hAnsi="Arial" w:cs="Arial"/>
          <w:sz w:val="21"/>
          <w:szCs w:val="21"/>
        </w:rPr>
      </w:pPr>
    </w:p>
    <w:p w:rsidR="000728AD" w:rsidRDefault="000561BE">
      <w:pPr>
        <w:numPr>
          <w:ilvl w:val="0"/>
          <w:numId w:val="41"/>
        </w:numPr>
        <w:tabs>
          <w:tab w:val="left" w:pos="655"/>
        </w:tabs>
        <w:spacing w:line="238" w:lineRule="auto"/>
        <w:ind w:left="660" w:right="300" w:hanging="328"/>
        <w:rPr>
          <w:rFonts w:ascii="Arial" w:eastAsia="Arial" w:hAnsi="Arial" w:cs="Arial"/>
        </w:rPr>
      </w:pPr>
      <w:r>
        <w:rPr>
          <w:rFonts w:ascii="Arial" w:eastAsia="Arial" w:hAnsi="Arial" w:cs="Arial"/>
          <w:sz w:val="20"/>
          <w:szCs w:val="20"/>
        </w:rPr>
        <w:t>risks and uncertainties associated with the other party to such a tra</w:t>
      </w:r>
      <w:r>
        <w:rPr>
          <w:rFonts w:ascii="Arial" w:eastAsia="Arial" w:hAnsi="Arial" w:cs="Arial"/>
          <w:sz w:val="20"/>
          <w:szCs w:val="20"/>
        </w:rPr>
        <w:t>nsaction, including the prospects of that party and their existing products or product candidates and marketing approvals; and</w:t>
      </w:r>
    </w:p>
    <w:p w:rsidR="000728AD" w:rsidRDefault="000728AD">
      <w:pPr>
        <w:spacing w:line="169" w:lineRule="exact"/>
        <w:rPr>
          <w:rFonts w:ascii="Arial" w:eastAsia="Arial" w:hAnsi="Arial" w:cs="Arial"/>
        </w:rPr>
      </w:pPr>
    </w:p>
    <w:p w:rsidR="000728AD" w:rsidRDefault="000561BE">
      <w:pPr>
        <w:numPr>
          <w:ilvl w:val="0"/>
          <w:numId w:val="41"/>
        </w:numPr>
        <w:tabs>
          <w:tab w:val="left" w:pos="655"/>
        </w:tabs>
        <w:spacing w:line="238" w:lineRule="auto"/>
        <w:ind w:left="660" w:right="560" w:hanging="328"/>
        <w:rPr>
          <w:rFonts w:ascii="Arial" w:eastAsia="Arial" w:hAnsi="Arial" w:cs="Arial"/>
        </w:rPr>
      </w:pPr>
      <w:r>
        <w:rPr>
          <w:rFonts w:ascii="Arial" w:eastAsia="Arial" w:hAnsi="Arial" w:cs="Arial"/>
          <w:sz w:val="20"/>
          <w:szCs w:val="20"/>
        </w:rPr>
        <w:t xml:space="preserve">our inability to generate revenue from acquired technology and/or products sufficient to meet our objectives in </w:t>
      </w:r>
      <w:r>
        <w:rPr>
          <w:rFonts w:ascii="Arial" w:eastAsia="Arial" w:hAnsi="Arial" w:cs="Arial"/>
          <w:sz w:val="20"/>
          <w:szCs w:val="20"/>
        </w:rPr>
        <w:t>undertaking the acquisition or even to offset the associated acquisition and maintenance costs.</w:t>
      </w:r>
    </w:p>
    <w:p w:rsidR="000728AD" w:rsidRDefault="000728AD">
      <w:pPr>
        <w:spacing w:line="196" w:lineRule="exact"/>
        <w:rPr>
          <w:sz w:val="20"/>
          <w:szCs w:val="20"/>
        </w:rPr>
      </w:pPr>
    </w:p>
    <w:p w:rsidR="000728AD" w:rsidRDefault="000561BE">
      <w:pPr>
        <w:spacing w:line="246" w:lineRule="auto"/>
        <w:ind w:right="80"/>
        <w:rPr>
          <w:sz w:val="20"/>
          <w:szCs w:val="20"/>
        </w:rPr>
      </w:pPr>
      <w:r>
        <w:rPr>
          <w:rFonts w:ascii="Arial" w:eastAsia="Arial" w:hAnsi="Arial" w:cs="Arial"/>
          <w:sz w:val="20"/>
          <w:szCs w:val="20"/>
        </w:rPr>
        <w:t>In addition, if we undertake acquisitions, we may issue dilutive securities, assume or incur debt obligations, incur large one-time expenses and acquire intang</w:t>
      </w:r>
      <w:r>
        <w:rPr>
          <w:rFonts w:ascii="Arial" w:eastAsia="Arial" w:hAnsi="Arial" w:cs="Arial"/>
          <w:sz w:val="20"/>
          <w:szCs w:val="20"/>
        </w:rPr>
        <w:t xml:space="preserve">ible assets that could result in significant future amortization expense. Moreover, we may not be able to locate suitable acquisition opportunities, and this inability could impair our ability to grow or obtain access to technology or products that may be </w:t>
      </w:r>
      <w:r>
        <w:rPr>
          <w:rFonts w:ascii="Arial" w:eastAsia="Arial" w:hAnsi="Arial" w:cs="Arial"/>
          <w:sz w:val="20"/>
          <w:szCs w:val="20"/>
        </w:rPr>
        <w:t>important to the development of our business.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8" w:lineRule="exact"/>
        <w:rPr>
          <w:sz w:val="20"/>
          <w:szCs w:val="20"/>
        </w:rPr>
      </w:pPr>
    </w:p>
    <w:p w:rsidR="000728AD" w:rsidRDefault="000561BE">
      <w:pPr>
        <w:ind w:right="-19"/>
        <w:jc w:val="center"/>
        <w:rPr>
          <w:sz w:val="20"/>
          <w:szCs w:val="20"/>
        </w:rPr>
      </w:pPr>
      <w:r>
        <w:rPr>
          <w:rFonts w:ascii="Arial" w:eastAsia="Arial" w:hAnsi="Arial" w:cs="Arial"/>
          <w:sz w:val="18"/>
          <w:szCs w:val="18"/>
        </w:rPr>
        <w:t>97</w:t>
      </w:r>
    </w:p>
    <w:p w:rsidR="000728AD" w:rsidRDefault="000561BE">
      <w:pPr>
        <w:spacing w:line="20" w:lineRule="exact"/>
        <w:rPr>
          <w:sz w:val="20"/>
          <w:szCs w:val="20"/>
        </w:rPr>
      </w:pPr>
      <w:r>
        <w:rPr>
          <w:noProof/>
          <w:sz w:val="20"/>
          <w:szCs w:val="20"/>
        </w:rPr>
        <w:drawing>
          <wp:anchor distT="0" distB="0" distL="114300" distR="114300" simplePos="0" relativeHeight="251707392"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98" w:name="page98"/>
    <w:bookmarkEnd w:id="98"/>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1" w:lineRule="exact"/>
        <w:rPr>
          <w:sz w:val="20"/>
          <w:szCs w:val="20"/>
        </w:rPr>
      </w:pPr>
    </w:p>
    <w:p w:rsidR="000728AD" w:rsidRDefault="000561BE">
      <w:pPr>
        <w:spacing w:line="316" w:lineRule="auto"/>
        <w:ind w:right="520"/>
        <w:rPr>
          <w:sz w:val="20"/>
          <w:szCs w:val="20"/>
        </w:rPr>
      </w:pPr>
      <w:r>
        <w:rPr>
          <w:rFonts w:ascii="Arial" w:eastAsia="Arial" w:hAnsi="Arial" w:cs="Arial"/>
          <w:b/>
          <w:bCs/>
          <w:i/>
          <w:iCs/>
          <w:sz w:val="18"/>
          <w:szCs w:val="18"/>
        </w:rPr>
        <w:t xml:space="preserve">Our amended and restated bylaws designate specific courts as the exclusive forum for certain litigation that may be </w:t>
      </w:r>
      <w:r>
        <w:rPr>
          <w:rFonts w:ascii="Arial" w:eastAsia="Arial" w:hAnsi="Arial" w:cs="Arial"/>
          <w:b/>
          <w:bCs/>
          <w:i/>
          <w:iCs/>
          <w:sz w:val="18"/>
          <w:szCs w:val="18"/>
        </w:rPr>
        <w:t>initiated by our stockholders, which could limit our stockholders' ability to obtain a favorable judicial forum for disputes with us.</w:t>
      </w:r>
    </w:p>
    <w:p w:rsidR="000728AD" w:rsidRDefault="000728AD">
      <w:pPr>
        <w:spacing w:line="130" w:lineRule="exact"/>
        <w:rPr>
          <w:sz w:val="20"/>
          <w:szCs w:val="20"/>
        </w:rPr>
      </w:pPr>
    </w:p>
    <w:p w:rsidR="000728AD" w:rsidRDefault="000561BE">
      <w:pPr>
        <w:spacing w:line="254" w:lineRule="auto"/>
        <w:rPr>
          <w:sz w:val="20"/>
          <w:szCs w:val="20"/>
        </w:rPr>
      </w:pPr>
      <w:r>
        <w:rPr>
          <w:rFonts w:ascii="Arial" w:eastAsia="Arial" w:hAnsi="Arial" w:cs="Arial"/>
          <w:sz w:val="19"/>
          <w:szCs w:val="19"/>
        </w:rPr>
        <w:t>Pursuant to our amended and restated bylaws, unless we consent in writing to the selection of an alternative forum, the C</w:t>
      </w:r>
      <w:r>
        <w:rPr>
          <w:rFonts w:ascii="Arial" w:eastAsia="Arial" w:hAnsi="Arial" w:cs="Arial"/>
          <w:sz w:val="19"/>
          <w:szCs w:val="19"/>
        </w:rPr>
        <w:t>ourt of Chancery of the State of Delaware (or, if the Chancery Court does not have jurisdiction, the federal district court for the District of Delaware or other state courts of the State of Delaware) will be the sole and exclusive forum for state law clai</w:t>
      </w:r>
      <w:r>
        <w:rPr>
          <w:rFonts w:ascii="Arial" w:eastAsia="Arial" w:hAnsi="Arial" w:cs="Arial"/>
          <w:sz w:val="19"/>
          <w:szCs w:val="19"/>
        </w:rPr>
        <w:t>ms for (i) any derivative action or proceeding brought on our behalf; (ii) any action asserting a claim of breach of a fiduciary duty or other wrongdoing by any of our directors, officers, employees or agents to us or our stockholders; (iii) any action ass</w:t>
      </w:r>
      <w:r>
        <w:rPr>
          <w:rFonts w:ascii="Arial" w:eastAsia="Arial" w:hAnsi="Arial" w:cs="Arial"/>
          <w:sz w:val="19"/>
          <w:szCs w:val="19"/>
        </w:rPr>
        <w:t>erting a claim against us arising pursuant to any provision of the Delaware General Corporation Law or our certificate of incorporation or bylaws; (iv) any action to interpret, apply, enforce or determine the validity of our certificate of incorporation or</w:t>
      </w:r>
      <w:r>
        <w:rPr>
          <w:rFonts w:ascii="Arial" w:eastAsia="Arial" w:hAnsi="Arial" w:cs="Arial"/>
          <w:sz w:val="19"/>
          <w:szCs w:val="19"/>
        </w:rPr>
        <w:t xml:space="preserve"> bylaws; or (v) any action asserting a claim governed by the internal affairs doctrine, which we refer to as the Delaware Forum Provision. The Delaware Forum Provision will not apply to any causes of action arising under the Securities Act or the Exchange </w:t>
      </w:r>
      <w:r>
        <w:rPr>
          <w:rFonts w:ascii="Arial" w:eastAsia="Arial" w:hAnsi="Arial" w:cs="Arial"/>
          <w:sz w:val="19"/>
          <w:szCs w:val="19"/>
        </w:rPr>
        <w:t>Act. Our amended and restated bylaws further provide that, unless we consent in writing to an alternative forum, the United States District Court for the District of Massachusetts will be the exclusive forum for resolving any complaint asserting a cause of</w:t>
      </w:r>
      <w:r>
        <w:rPr>
          <w:rFonts w:ascii="Arial" w:eastAsia="Arial" w:hAnsi="Arial" w:cs="Arial"/>
          <w:sz w:val="19"/>
          <w:szCs w:val="19"/>
        </w:rPr>
        <w:t xml:space="preserve"> action arising under the Securities Act, which we refer to as the Federal Forum Provision. We have chosen the United States District Court for the District of Massachusetts as the exclusive forum for such Securities Act causes of action because our princi</w:t>
      </w:r>
      <w:r>
        <w:rPr>
          <w:rFonts w:ascii="Arial" w:eastAsia="Arial" w:hAnsi="Arial" w:cs="Arial"/>
          <w:sz w:val="19"/>
          <w:szCs w:val="19"/>
        </w:rPr>
        <w:t>pal executive offices are located in Cambridge, Massachusetts. In addition, our amended and restated bylaws provide that any person or entity purchasing or otherwise acquiring any interest in shares of our common stock is deemed to have notice of and conse</w:t>
      </w:r>
      <w:r>
        <w:rPr>
          <w:rFonts w:ascii="Arial" w:eastAsia="Arial" w:hAnsi="Arial" w:cs="Arial"/>
          <w:sz w:val="19"/>
          <w:szCs w:val="19"/>
        </w:rPr>
        <w:t>nted to the Delaware Forum Provision and the Federal Forum Provision.</w:t>
      </w:r>
    </w:p>
    <w:p w:rsidR="000728AD" w:rsidRDefault="000728AD">
      <w:pPr>
        <w:spacing w:line="190" w:lineRule="exact"/>
        <w:rPr>
          <w:sz w:val="20"/>
          <w:szCs w:val="20"/>
        </w:rPr>
      </w:pPr>
    </w:p>
    <w:p w:rsidR="000728AD" w:rsidRDefault="000561BE">
      <w:pPr>
        <w:spacing w:line="273" w:lineRule="auto"/>
        <w:ind w:right="80"/>
        <w:rPr>
          <w:sz w:val="20"/>
          <w:szCs w:val="20"/>
        </w:rPr>
      </w:pPr>
      <w:r>
        <w:rPr>
          <w:rFonts w:ascii="Arial" w:eastAsia="Arial" w:hAnsi="Arial" w:cs="Arial"/>
          <w:sz w:val="18"/>
          <w:szCs w:val="18"/>
        </w:rPr>
        <w:t xml:space="preserve">The forum selection clauses in our amended and restated bylaws may limit our stockholders' ability to obtain a favorable judicial forum for disputes with us. Additionally, these </w:t>
      </w:r>
      <w:r>
        <w:rPr>
          <w:rFonts w:ascii="Arial" w:eastAsia="Arial" w:hAnsi="Arial" w:cs="Arial"/>
          <w:sz w:val="18"/>
          <w:szCs w:val="18"/>
        </w:rPr>
        <w:t>forum selection clauses may limit our stockholders’ ability to bring a claim in a judicial forum that they find favorable for disputes with us or our directors, officers or employees, which may discourage such lawsuits against us and our directors, officer</w:t>
      </w:r>
      <w:r>
        <w:rPr>
          <w:rFonts w:ascii="Arial" w:eastAsia="Arial" w:hAnsi="Arial" w:cs="Arial"/>
          <w:sz w:val="18"/>
          <w:szCs w:val="18"/>
        </w:rPr>
        <w:t>s and employees even though an action, if successful, might benefit our stockholders. The Federal Forum Provision may also impose additional litigation costs on stockholders who assert the provision is not enforceable or invalid. The Court of Chancery of t</w:t>
      </w:r>
      <w:r>
        <w:rPr>
          <w:rFonts w:ascii="Arial" w:eastAsia="Arial" w:hAnsi="Arial" w:cs="Arial"/>
          <w:sz w:val="18"/>
          <w:szCs w:val="18"/>
        </w:rPr>
        <w:t xml:space="preserve">he State of Delaware and the United States District Court for the District of Massachusetts may also reach different judgments or results than would other courts, including courts where a stockholder considering an action may be located or would otherwise </w:t>
      </w:r>
      <w:r>
        <w:rPr>
          <w:rFonts w:ascii="Arial" w:eastAsia="Arial" w:hAnsi="Arial" w:cs="Arial"/>
          <w:sz w:val="18"/>
          <w:szCs w:val="18"/>
        </w:rPr>
        <w:t>choose to bring the action, and such judgments may be more or less favorable to us than our stockholders.</w:t>
      </w:r>
    </w:p>
    <w:p w:rsidR="000728AD" w:rsidRDefault="000728AD">
      <w:pPr>
        <w:spacing w:line="162" w:lineRule="exact"/>
        <w:rPr>
          <w:sz w:val="20"/>
          <w:szCs w:val="20"/>
        </w:rPr>
      </w:pPr>
    </w:p>
    <w:p w:rsidR="000728AD" w:rsidRDefault="000561BE">
      <w:pPr>
        <w:rPr>
          <w:sz w:val="20"/>
          <w:szCs w:val="20"/>
        </w:rPr>
      </w:pPr>
      <w:r>
        <w:rPr>
          <w:rFonts w:ascii="Arial" w:eastAsia="Arial" w:hAnsi="Arial" w:cs="Arial"/>
          <w:b/>
          <w:bCs/>
          <w:sz w:val="20"/>
          <w:szCs w:val="20"/>
        </w:rPr>
        <w:t>Item 2. Unregistered Sales of Equity Securities and Use of Proceeds</w:t>
      </w:r>
    </w:p>
    <w:p w:rsidR="000728AD" w:rsidRDefault="000728AD">
      <w:pPr>
        <w:spacing w:line="222" w:lineRule="exact"/>
        <w:rPr>
          <w:sz w:val="20"/>
          <w:szCs w:val="20"/>
        </w:rPr>
      </w:pPr>
    </w:p>
    <w:p w:rsidR="000728AD" w:rsidRDefault="000561BE">
      <w:pPr>
        <w:rPr>
          <w:sz w:val="20"/>
          <w:szCs w:val="20"/>
        </w:rPr>
      </w:pPr>
      <w:r>
        <w:rPr>
          <w:rFonts w:ascii="Arial" w:eastAsia="Arial" w:hAnsi="Arial" w:cs="Arial"/>
          <w:sz w:val="20"/>
          <w:szCs w:val="20"/>
        </w:rPr>
        <w:t>None.</w:t>
      </w:r>
    </w:p>
    <w:p w:rsidR="000728AD" w:rsidRDefault="000728AD">
      <w:pPr>
        <w:spacing w:line="237" w:lineRule="exact"/>
        <w:rPr>
          <w:sz w:val="20"/>
          <w:szCs w:val="20"/>
        </w:rPr>
      </w:pPr>
    </w:p>
    <w:p w:rsidR="000728AD" w:rsidRDefault="000561BE">
      <w:pPr>
        <w:rPr>
          <w:sz w:val="20"/>
          <w:szCs w:val="20"/>
        </w:rPr>
      </w:pPr>
      <w:r>
        <w:rPr>
          <w:rFonts w:ascii="Arial" w:eastAsia="Arial" w:hAnsi="Arial" w:cs="Arial"/>
          <w:b/>
          <w:bCs/>
          <w:sz w:val="20"/>
          <w:szCs w:val="20"/>
        </w:rPr>
        <w:t>Item 3. Defaults Upon Senior Securities</w:t>
      </w:r>
    </w:p>
    <w:p w:rsidR="000728AD" w:rsidRDefault="000728AD">
      <w:pPr>
        <w:spacing w:line="249" w:lineRule="exact"/>
        <w:rPr>
          <w:sz w:val="20"/>
          <w:szCs w:val="20"/>
        </w:rPr>
      </w:pPr>
    </w:p>
    <w:p w:rsidR="000728AD" w:rsidRDefault="000561BE">
      <w:pPr>
        <w:rPr>
          <w:sz w:val="20"/>
          <w:szCs w:val="20"/>
        </w:rPr>
      </w:pPr>
      <w:r>
        <w:rPr>
          <w:rFonts w:ascii="Arial" w:eastAsia="Arial" w:hAnsi="Arial" w:cs="Arial"/>
          <w:sz w:val="20"/>
          <w:szCs w:val="20"/>
        </w:rPr>
        <w:t>None.</w:t>
      </w:r>
    </w:p>
    <w:p w:rsidR="000728AD" w:rsidRDefault="000728AD">
      <w:pPr>
        <w:spacing w:line="237" w:lineRule="exact"/>
        <w:rPr>
          <w:sz w:val="20"/>
          <w:szCs w:val="20"/>
        </w:rPr>
      </w:pPr>
    </w:p>
    <w:p w:rsidR="000728AD" w:rsidRDefault="000561BE">
      <w:pPr>
        <w:rPr>
          <w:sz w:val="20"/>
          <w:szCs w:val="20"/>
        </w:rPr>
      </w:pPr>
      <w:r>
        <w:rPr>
          <w:rFonts w:ascii="Arial" w:eastAsia="Arial" w:hAnsi="Arial" w:cs="Arial"/>
          <w:b/>
          <w:bCs/>
          <w:sz w:val="20"/>
          <w:szCs w:val="20"/>
        </w:rPr>
        <w:t>Item 4. Mine Safety Discl</w:t>
      </w:r>
      <w:r>
        <w:rPr>
          <w:rFonts w:ascii="Arial" w:eastAsia="Arial" w:hAnsi="Arial" w:cs="Arial"/>
          <w:b/>
          <w:bCs/>
          <w:sz w:val="20"/>
          <w:szCs w:val="20"/>
        </w:rPr>
        <w:t>osures</w:t>
      </w:r>
    </w:p>
    <w:p w:rsidR="000728AD" w:rsidRDefault="000728AD">
      <w:pPr>
        <w:spacing w:line="249" w:lineRule="exact"/>
        <w:rPr>
          <w:sz w:val="20"/>
          <w:szCs w:val="20"/>
        </w:rPr>
      </w:pPr>
    </w:p>
    <w:p w:rsidR="000728AD" w:rsidRDefault="000561BE">
      <w:pPr>
        <w:rPr>
          <w:sz w:val="20"/>
          <w:szCs w:val="20"/>
        </w:rPr>
      </w:pPr>
      <w:r>
        <w:rPr>
          <w:rFonts w:ascii="Arial" w:eastAsia="Arial" w:hAnsi="Arial" w:cs="Arial"/>
          <w:sz w:val="20"/>
          <w:szCs w:val="20"/>
        </w:rPr>
        <w:t>Not applicable.</w:t>
      </w:r>
    </w:p>
    <w:p w:rsidR="000728AD" w:rsidRDefault="000728AD">
      <w:pPr>
        <w:spacing w:line="237" w:lineRule="exact"/>
        <w:rPr>
          <w:sz w:val="20"/>
          <w:szCs w:val="20"/>
        </w:rPr>
      </w:pPr>
    </w:p>
    <w:p w:rsidR="000728AD" w:rsidRDefault="000561BE">
      <w:pPr>
        <w:rPr>
          <w:sz w:val="20"/>
          <w:szCs w:val="20"/>
        </w:rPr>
      </w:pPr>
      <w:r>
        <w:rPr>
          <w:rFonts w:ascii="Arial" w:eastAsia="Arial" w:hAnsi="Arial" w:cs="Arial"/>
          <w:b/>
          <w:bCs/>
          <w:sz w:val="20"/>
          <w:szCs w:val="20"/>
        </w:rPr>
        <w:t>Item 5. Other Information</w:t>
      </w:r>
    </w:p>
    <w:p w:rsidR="000728AD" w:rsidRDefault="000728AD">
      <w:pPr>
        <w:spacing w:line="249" w:lineRule="exact"/>
        <w:rPr>
          <w:sz w:val="20"/>
          <w:szCs w:val="20"/>
        </w:rPr>
      </w:pPr>
    </w:p>
    <w:p w:rsidR="000728AD" w:rsidRDefault="000561BE">
      <w:pPr>
        <w:rPr>
          <w:sz w:val="20"/>
          <w:szCs w:val="20"/>
        </w:rPr>
      </w:pPr>
      <w:r>
        <w:rPr>
          <w:rFonts w:ascii="Arial" w:eastAsia="Arial" w:hAnsi="Arial" w:cs="Arial"/>
          <w:sz w:val="20"/>
          <w:szCs w:val="20"/>
        </w:rPr>
        <w:t>None.</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12" w:lineRule="exact"/>
        <w:rPr>
          <w:sz w:val="20"/>
          <w:szCs w:val="20"/>
        </w:rPr>
      </w:pPr>
    </w:p>
    <w:p w:rsidR="000728AD" w:rsidRDefault="000561BE">
      <w:pPr>
        <w:ind w:right="-39"/>
        <w:jc w:val="center"/>
        <w:rPr>
          <w:sz w:val="20"/>
          <w:szCs w:val="20"/>
        </w:rPr>
      </w:pPr>
      <w:r>
        <w:rPr>
          <w:rFonts w:ascii="Arial" w:eastAsia="Arial" w:hAnsi="Arial" w:cs="Arial"/>
          <w:sz w:val="18"/>
          <w:szCs w:val="18"/>
        </w:rPr>
        <w:t>98</w:t>
      </w:r>
    </w:p>
    <w:p w:rsidR="000728AD" w:rsidRDefault="000561BE">
      <w:pPr>
        <w:spacing w:line="20" w:lineRule="exact"/>
        <w:rPr>
          <w:sz w:val="20"/>
          <w:szCs w:val="20"/>
        </w:rPr>
      </w:pPr>
      <w:r>
        <w:rPr>
          <w:noProof/>
          <w:sz w:val="20"/>
          <w:szCs w:val="20"/>
        </w:rPr>
        <w:drawing>
          <wp:anchor distT="0" distB="0" distL="114300" distR="114300" simplePos="0" relativeHeight="251708416"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79" w:bottom="1440" w:left="320" w:header="0" w:footer="0" w:gutter="0"/>
          <w:cols w:space="720" w:equalWidth="0">
            <w:col w:w="11200"/>
          </w:cols>
        </w:sectPr>
      </w:pPr>
    </w:p>
    <w:bookmarkStart w:id="99" w:name="page99"/>
    <w:bookmarkEnd w:id="99"/>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395" w:lineRule="exact"/>
        <w:rPr>
          <w:sz w:val="20"/>
          <w:szCs w:val="20"/>
        </w:rPr>
      </w:pPr>
    </w:p>
    <w:p w:rsidR="000728AD" w:rsidRDefault="000561BE">
      <w:pPr>
        <w:rPr>
          <w:sz w:val="20"/>
          <w:szCs w:val="20"/>
        </w:rPr>
      </w:pPr>
      <w:r>
        <w:rPr>
          <w:rFonts w:ascii="Arial" w:eastAsia="Arial" w:hAnsi="Arial" w:cs="Arial"/>
          <w:b/>
          <w:bCs/>
          <w:sz w:val="20"/>
          <w:szCs w:val="20"/>
        </w:rPr>
        <w:t>Item 6. Exhibits</w:t>
      </w:r>
    </w:p>
    <w:p w:rsidR="000728AD" w:rsidRDefault="000728AD">
      <w:pPr>
        <w:spacing w:line="249" w:lineRule="exact"/>
        <w:rPr>
          <w:sz w:val="20"/>
          <w:szCs w:val="20"/>
        </w:rPr>
      </w:pPr>
    </w:p>
    <w:p w:rsidR="000728AD" w:rsidRDefault="000561BE">
      <w:pPr>
        <w:spacing w:line="260" w:lineRule="auto"/>
        <w:ind w:right="780"/>
        <w:rPr>
          <w:sz w:val="20"/>
          <w:szCs w:val="20"/>
        </w:rPr>
      </w:pPr>
      <w:r>
        <w:rPr>
          <w:rFonts w:ascii="Arial" w:eastAsia="Arial" w:hAnsi="Arial" w:cs="Arial"/>
          <w:sz w:val="20"/>
          <w:szCs w:val="20"/>
        </w:rPr>
        <w:t xml:space="preserve">The exhibits listed on the Exhibit Index immediately preceding such exhibits, which is </w:t>
      </w:r>
      <w:r>
        <w:rPr>
          <w:rFonts w:ascii="Arial" w:eastAsia="Arial" w:hAnsi="Arial" w:cs="Arial"/>
          <w:sz w:val="20"/>
          <w:szCs w:val="20"/>
        </w:rPr>
        <w:t>incorporated herein by reference, are filed or furnished as part of this Quarterly Report.</w:t>
      </w:r>
    </w:p>
    <w:p w:rsidR="000728AD" w:rsidRDefault="000728AD">
      <w:pPr>
        <w:spacing w:line="2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80"/>
        <w:gridCol w:w="10260"/>
      </w:tblGrid>
      <w:tr w:rsidR="000728AD">
        <w:trPr>
          <w:trHeight w:val="230"/>
        </w:trPr>
        <w:tc>
          <w:tcPr>
            <w:tcW w:w="980" w:type="dxa"/>
            <w:tcBorders>
              <w:bottom w:val="single" w:sz="8" w:space="0" w:color="auto"/>
            </w:tcBorders>
            <w:vAlign w:val="bottom"/>
          </w:tcPr>
          <w:p w:rsidR="000728AD" w:rsidRDefault="000561BE">
            <w:pPr>
              <w:ind w:right="30"/>
              <w:jc w:val="right"/>
              <w:rPr>
                <w:sz w:val="20"/>
                <w:szCs w:val="20"/>
              </w:rPr>
            </w:pPr>
            <w:r>
              <w:rPr>
                <w:rFonts w:ascii="Arial" w:eastAsia="Arial" w:hAnsi="Arial" w:cs="Arial"/>
                <w:w w:val="96"/>
                <w:sz w:val="18"/>
                <w:szCs w:val="18"/>
              </w:rPr>
              <w:t>Exhibit No.</w:t>
            </w:r>
          </w:p>
        </w:tc>
        <w:tc>
          <w:tcPr>
            <w:tcW w:w="10260" w:type="dxa"/>
            <w:tcBorders>
              <w:bottom w:val="single" w:sz="8" w:space="0" w:color="auto"/>
            </w:tcBorders>
            <w:vAlign w:val="bottom"/>
          </w:tcPr>
          <w:p w:rsidR="000728AD" w:rsidRDefault="000561BE">
            <w:pPr>
              <w:ind w:left="120"/>
              <w:rPr>
                <w:sz w:val="20"/>
                <w:szCs w:val="20"/>
              </w:rPr>
            </w:pPr>
            <w:r>
              <w:rPr>
                <w:rFonts w:ascii="Arial" w:eastAsia="Arial" w:hAnsi="Arial" w:cs="Arial"/>
                <w:sz w:val="18"/>
                <w:szCs w:val="18"/>
              </w:rPr>
              <w:t>Exhibit Index</w:t>
            </w:r>
          </w:p>
        </w:tc>
      </w:tr>
      <w:tr w:rsidR="000728AD">
        <w:trPr>
          <w:trHeight w:val="222"/>
        </w:trPr>
        <w:tc>
          <w:tcPr>
            <w:tcW w:w="980" w:type="dxa"/>
            <w:vAlign w:val="bottom"/>
          </w:tcPr>
          <w:p w:rsidR="000728AD" w:rsidRDefault="000561BE">
            <w:pPr>
              <w:ind w:right="30"/>
              <w:jc w:val="right"/>
              <w:rPr>
                <w:sz w:val="20"/>
                <w:szCs w:val="20"/>
              </w:rPr>
            </w:pPr>
            <w:r>
              <w:rPr>
                <w:rFonts w:ascii="Arial" w:eastAsia="Arial" w:hAnsi="Arial" w:cs="Arial"/>
                <w:sz w:val="18"/>
                <w:szCs w:val="18"/>
              </w:rPr>
              <w:t>10.1#*</w:t>
            </w:r>
          </w:p>
        </w:tc>
        <w:tc>
          <w:tcPr>
            <w:tcW w:w="10260" w:type="dxa"/>
            <w:vAlign w:val="bottom"/>
          </w:tcPr>
          <w:p w:rsidR="000728AD" w:rsidRDefault="000561BE">
            <w:pPr>
              <w:ind w:left="120"/>
              <w:rPr>
                <w:rFonts w:ascii="Arial" w:eastAsia="Arial" w:hAnsi="Arial" w:cs="Arial"/>
                <w:sz w:val="18"/>
                <w:szCs w:val="18"/>
              </w:rPr>
            </w:pPr>
            <w:hyperlink w:anchor="page101">
              <w:r>
                <w:rPr>
                  <w:rFonts w:ascii="Arial" w:eastAsia="Arial" w:hAnsi="Arial" w:cs="Arial"/>
                  <w:sz w:val="18"/>
                  <w:szCs w:val="18"/>
                </w:rPr>
                <w:t>Employment Agreement between the Registrant and Virginia Dean, dated June 9, 2021.</w:t>
              </w:r>
            </w:hyperlink>
          </w:p>
        </w:tc>
      </w:tr>
      <w:tr w:rsidR="000728AD">
        <w:trPr>
          <w:trHeight w:val="176"/>
        </w:trPr>
        <w:tc>
          <w:tcPr>
            <w:tcW w:w="980" w:type="dxa"/>
            <w:vAlign w:val="bottom"/>
          </w:tcPr>
          <w:p w:rsidR="000728AD" w:rsidRDefault="000561BE">
            <w:pPr>
              <w:spacing w:line="176" w:lineRule="exact"/>
              <w:ind w:right="30"/>
              <w:jc w:val="right"/>
              <w:rPr>
                <w:sz w:val="20"/>
                <w:szCs w:val="20"/>
              </w:rPr>
            </w:pPr>
            <w:r>
              <w:rPr>
                <w:rFonts w:ascii="Arial" w:eastAsia="Arial" w:hAnsi="Arial" w:cs="Arial"/>
                <w:sz w:val="18"/>
                <w:szCs w:val="18"/>
              </w:rPr>
              <w:t>31.1*</w:t>
            </w:r>
          </w:p>
        </w:tc>
        <w:tc>
          <w:tcPr>
            <w:tcW w:w="10260" w:type="dxa"/>
            <w:vAlign w:val="bottom"/>
          </w:tcPr>
          <w:p w:rsidR="000728AD" w:rsidRDefault="000561BE">
            <w:pPr>
              <w:spacing w:line="176" w:lineRule="exact"/>
              <w:ind w:left="120"/>
              <w:rPr>
                <w:rFonts w:ascii="Arial" w:eastAsia="Arial" w:hAnsi="Arial" w:cs="Arial"/>
                <w:w w:val="97"/>
                <w:sz w:val="18"/>
                <w:szCs w:val="18"/>
              </w:rPr>
            </w:pPr>
            <w:hyperlink w:anchor="page113">
              <w:r>
                <w:rPr>
                  <w:rFonts w:ascii="Arial" w:eastAsia="Arial" w:hAnsi="Arial" w:cs="Arial"/>
                  <w:w w:val="97"/>
                  <w:sz w:val="18"/>
                  <w:szCs w:val="18"/>
                </w:rPr>
                <w:t>Certification of Principal Executive Officer Pursuant to Rule 13a-14(a) or Rule 15d-14(a) of the Securities Exchange Act of 1934, as</w:t>
              </w:r>
            </w:hyperlink>
          </w:p>
        </w:tc>
      </w:tr>
      <w:tr w:rsidR="000728AD">
        <w:trPr>
          <w:trHeight w:val="229"/>
        </w:trPr>
        <w:tc>
          <w:tcPr>
            <w:tcW w:w="980" w:type="dxa"/>
            <w:vAlign w:val="bottom"/>
          </w:tcPr>
          <w:p w:rsidR="000728AD" w:rsidRDefault="000728AD">
            <w:pPr>
              <w:rPr>
                <w:sz w:val="19"/>
                <w:szCs w:val="19"/>
              </w:rPr>
            </w:pPr>
          </w:p>
        </w:tc>
        <w:tc>
          <w:tcPr>
            <w:tcW w:w="10260" w:type="dxa"/>
            <w:vAlign w:val="bottom"/>
          </w:tcPr>
          <w:p w:rsidR="000728AD" w:rsidRDefault="000561BE">
            <w:pPr>
              <w:ind w:left="120"/>
              <w:rPr>
                <w:rFonts w:ascii="Arial" w:eastAsia="Arial" w:hAnsi="Arial" w:cs="Arial"/>
                <w:sz w:val="18"/>
                <w:szCs w:val="18"/>
              </w:rPr>
            </w:pPr>
            <w:hyperlink w:anchor="page113">
              <w:r>
                <w:rPr>
                  <w:rFonts w:ascii="Arial" w:eastAsia="Arial" w:hAnsi="Arial" w:cs="Arial"/>
                  <w:sz w:val="18"/>
                  <w:szCs w:val="18"/>
                </w:rPr>
                <w:t xml:space="preserve">Adopted Pursuant to Section 302 of the </w:t>
              </w:r>
              <w:r>
                <w:rPr>
                  <w:rFonts w:ascii="Arial" w:eastAsia="Arial" w:hAnsi="Arial" w:cs="Arial"/>
                  <w:sz w:val="18"/>
                  <w:szCs w:val="18"/>
                </w:rPr>
                <w:t>Sarbanes-Oxley Act of 2002.</w:t>
              </w:r>
            </w:hyperlink>
          </w:p>
        </w:tc>
      </w:tr>
      <w:tr w:rsidR="000728AD">
        <w:trPr>
          <w:trHeight w:val="176"/>
        </w:trPr>
        <w:tc>
          <w:tcPr>
            <w:tcW w:w="980" w:type="dxa"/>
            <w:vAlign w:val="bottom"/>
          </w:tcPr>
          <w:p w:rsidR="000728AD" w:rsidRDefault="000561BE">
            <w:pPr>
              <w:spacing w:line="176" w:lineRule="exact"/>
              <w:ind w:right="30"/>
              <w:jc w:val="right"/>
              <w:rPr>
                <w:sz w:val="20"/>
                <w:szCs w:val="20"/>
              </w:rPr>
            </w:pPr>
            <w:r>
              <w:rPr>
                <w:rFonts w:ascii="Arial" w:eastAsia="Arial" w:hAnsi="Arial" w:cs="Arial"/>
                <w:sz w:val="18"/>
                <w:szCs w:val="18"/>
              </w:rPr>
              <w:t>31.2*</w:t>
            </w:r>
          </w:p>
        </w:tc>
        <w:tc>
          <w:tcPr>
            <w:tcW w:w="10260" w:type="dxa"/>
            <w:vAlign w:val="bottom"/>
          </w:tcPr>
          <w:p w:rsidR="000728AD" w:rsidRDefault="000561BE">
            <w:pPr>
              <w:spacing w:line="176" w:lineRule="exact"/>
              <w:ind w:left="120"/>
              <w:rPr>
                <w:rFonts w:ascii="Arial" w:eastAsia="Arial" w:hAnsi="Arial" w:cs="Arial"/>
                <w:w w:val="97"/>
                <w:sz w:val="18"/>
                <w:szCs w:val="18"/>
              </w:rPr>
            </w:pPr>
            <w:hyperlink w:anchor="page114">
              <w:r>
                <w:rPr>
                  <w:rFonts w:ascii="Arial" w:eastAsia="Arial" w:hAnsi="Arial" w:cs="Arial"/>
                  <w:w w:val="97"/>
                  <w:sz w:val="18"/>
                  <w:szCs w:val="18"/>
                </w:rPr>
                <w:t>Certification of Principal Financial Officer Pursuant to Rule 13a-14(a) or Rule 15d-14(a) of the Securities Exchange Act of 1934, as</w:t>
              </w:r>
            </w:hyperlink>
          </w:p>
        </w:tc>
      </w:tr>
      <w:tr w:rsidR="000728AD">
        <w:trPr>
          <w:trHeight w:val="229"/>
        </w:trPr>
        <w:tc>
          <w:tcPr>
            <w:tcW w:w="980" w:type="dxa"/>
            <w:vAlign w:val="bottom"/>
          </w:tcPr>
          <w:p w:rsidR="000728AD" w:rsidRDefault="000728AD">
            <w:pPr>
              <w:rPr>
                <w:sz w:val="19"/>
                <w:szCs w:val="19"/>
              </w:rPr>
            </w:pPr>
          </w:p>
        </w:tc>
        <w:tc>
          <w:tcPr>
            <w:tcW w:w="10260" w:type="dxa"/>
            <w:vAlign w:val="bottom"/>
          </w:tcPr>
          <w:p w:rsidR="000728AD" w:rsidRDefault="000561BE">
            <w:pPr>
              <w:ind w:left="120"/>
              <w:rPr>
                <w:rFonts w:ascii="Arial" w:eastAsia="Arial" w:hAnsi="Arial" w:cs="Arial"/>
                <w:sz w:val="18"/>
                <w:szCs w:val="18"/>
              </w:rPr>
            </w:pPr>
            <w:hyperlink w:anchor="page114">
              <w:r>
                <w:rPr>
                  <w:rFonts w:ascii="Arial" w:eastAsia="Arial" w:hAnsi="Arial" w:cs="Arial"/>
                  <w:sz w:val="18"/>
                  <w:szCs w:val="18"/>
                </w:rPr>
                <w:t xml:space="preserve">Adopted Pursuant to </w:t>
              </w:r>
              <w:r>
                <w:rPr>
                  <w:rFonts w:ascii="Arial" w:eastAsia="Arial" w:hAnsi="Arial" w:cs="Arial"/>
                  <w:sz w:val="18"/>
                  <w:szCs w:val="18"/>
                </w:rPr>
                <w:t>Section 302 of the Sarbanes-Oxley Act of 2002.</w:t>
              </w:r>
            </w:hyperlink>
          </w:p>
        </w:tc>
      </w:tr>
      <w:tr w:rsidR="000728AD">
        <w:trPr>
          <w:trHeight w:val="176"/>
        </w:trPr>
        <w:tc>
          <w:tcPr>
            <w:tcW w:w="980" w:type="dxa"/>
            <w:vAlign w:val="bottom"/>
          </w:tcPr>
          <w:p w:rsidR="000728AD" w:rsidRDefault="000561BE">
            <w:pPr>
              <w:spacing w:line="176" w:lineRule="exact"/>
              <w:ind w:right="30"/>
              <w:jc w:val="right"/>
              <w:rPr>
                <w:sz w:val="20"/>
                <w:szCs w:val="20"/>
              </w:rPr>
            </w:pPr>
            <w:r>
              <w:rPr>
                <w:rFonts w:ascii="Arial" w:eastAsia="Arial" w:hAnsi="Arial" w:cs="Arial"/>
                <w:sz w:val="18"/>
                <w:szCs w:val="18"/>
              </w:rPr>
              <w:t>32.1**</w:t>
            </w:r>
          </w:p>
        </w:tc>
        <w:tc>
          <w:tcPr>
            <w:tcW w:w="10260" w:type="dxa"/>
            <w:vAlign w:val="bottom"/>
          </w:tcPr>
          <w:p w:rsidR="000728AD" w:rsidRDefault="000561BE">
            <w:pPr>
              <w:spacing w:line="176" w:lineRule="exact"/>
              <w:ind w:left="120"/>
              <w:rPr>
                <w:rFonts w:ascii="Arial" w:eastAsia="Arial" w:hAnsi="Arial" w:cs="Arial"/>
                <w:w w:val="95"/>
                <w:sz w:val="18"/>
                <w:szCs w:val="18"/>
              </w:rPr>
            </w:pPr>
            <w:hyperlink w:anchor="page115">
              <w:r>
                <w:rPr>
                  <w:rFonts w:ascii="Arial" w:eastAsia="Arial" w:hAnsi="Arial" w:cs="Arial"/>
                  <w:w w:val="95"/>
                  <w:sz w:val="18"/>
                  <w:szCs w:val="18"/>
                </w:rPr>
                <w:t>Certification of Principal Executive Officer and Principal Financial Officer Pursuant to 18 U.S.C. Section 1350, as Adopted Pursuant to</w:t>
              </w:r>
            </w:hyperlink>
          </w:p>
        </w:tc>
      </w:tr>
      <w:tr w:rsidR="000728AD">
        <w:trPr>
          <w:trHeight w:val="229"/>
        </w:trPr>
        <w:tc>
          <w:tcPr>
            <w:tcW w:w="980" w:type="dxa"/>
            <w:vAlign w:val="bottom"/>
          </w:tcPr>
          <w:p w:rsidR="000728AD" w:rsidRDefault="000728AD">
            <w:pPr>
              <w:rPr>
                <w:sz w:val="19"/>
                <w:szCs w:val="19"/>
              </w:rPr>
            </w:pPr>
          </w:p>
        </w:tc>
        <w:tc>
          <w:tcPr>
            <w:tcW w:w="10260" w:type="dxa"/>
            <w:vAlign w:val="bottom"/>
          </w:tcPr>
          <w:p w:rsidR="000728AD" w:rsidRDefault="000561BE">
            <w:pPr>
              <w:ind w:left="120"/>
              <w:rPr>
                <w:rFonts w:ascii="Arial" w:eastAsia="Arial" w:hAnsi="Arial" w:cs="Arial"/>
                <w:sz w:val="18"/>
                <w:szCs w:val="18"/>
              </w:rPr>
            </w:pPr>
            <w:hyperlink w:anchor="page115">
              <w:r>
                <w:rPr>
                  <w:rFonts w:ascii="Arial" w:eastAsia="Arial" w:hAnsi="Arial" w:cs="Arial"/>
                  <w:sz w:val="18"/>
                  <w:szCs w:val="18"/>
                </w:rPr>
                <w:t>Sec</w:t>
              </w:r>
              <w:r>
                <w:rPr>
                  <w:rFonts w:ascii="Arial" w:eastAsia="Arial" w:hAnsi="Arial" w:cs="Arial"/>
                  <w:sz w:val="18"/>
                  <w:szCs w:val="18"/>
                </w:rPr>
                <w:t>tion 906 of the Sarbanes-Oxley Act of 2002.</w:t>
              </w:r>
            </w:hyperlink>
          </w:p>
        </w:tc>
      </w:tr>
      <w:tr w:rsidR="000728AD">
        <w:trPr>
          <w:trHeight w:val="176"/>
        </w:trPr>
        <w:tc>
          <w:tcPr>
            <w:tcW w:w="980" w:type="dxa"/>
            <w:vAlign w:val="bottom"/>
          </w:tcPr>
          <w:p w:rsidR="000728AD" w:rsidRDefault="000561BE">
            <w:pPr>
              <w:spacing w:line="176" w:lineRule="exact"/>
              <w:ind w:right="30"/>
              <w:jc w:val="right"/>
              <w:rPr>
                <w:sz w:val="20"/>
                <w:szCs w:val="20"/>
              </w:rPr>
            </w:pPr>
            <w:r>
              <w:rPr>
                <w:rFonts w:ascii="Arial" w:eastAsia="Arial" w:hAnsi="Arial" w:cs="Arial"/>
                <w:sz w:val="18"/>
                <w:szCs w:val="18"/>
              </w:rPr>
              <w:t>101INS*</w:t>
            </w:r>
          </w:p>
        </w:tc>
        <w:tc>
          <w:tcPr>
            <w:tcW w:w="10260" w:type="dxa"/>
            <w:vAlign w:val="bottom"/>
          </w:tcPr>
          <w:p w:rsidR="000728AD" w:rsidRDefault="000561BE">
            <w:pPr>
              <w:spacing w:line="176" w:lineRule="exact"/>
              <w:ind w:left="120"/>
              <w:rPr>
                <w:sz w:val="20"/>
                <w:szCs w:val="20"/>
              </w:rPr>
            </w:pPr>
            <w:r>
              <w:rPr>
                <w:rFonts w:ascii="Arial" w:eastAsia="Arial" w:hAnsi="Arial" w:cs="Arial"/>
                <w:w w:val="90"/>
                <w:sz w:val="18"/>
                <w:szCs w:val="18"/>
              </w:rPr>
              <w:t>Inline XBRL Instance Document – the instance document does not appear in the Interactive Data File because its XBRL tags are embedded</w:t>
            </w:r>
          </w:p>
        </w:tc>
      </w:tr>
      <w:tr w:rsidR="000728AD">
        <w:trPr>
          <w:trHeight w:val="229"/>
        </w:trPr>
        <w:tc>
          <w:tcPr>
            <w:tcW w:w="980" w:type="dxa"/>
            <w:vAlign w:val="bottom"/>
          </w:tcPr>
          <w:p w:rsidR="000728AD" w:rsidRDefault="000728AD">
            <w:pPr>
              <w:rPr>
                <w:sz w:val="19"/>
                <w:szCs w:val="19"/>
              </w:rPr>
            </w:pPr>
          </w:p>
        </w:tc>
        <w:tc>
          <w:tcPr>
            <w:tcW w:w="10260" w:type="dxa"/>
            <w:vAlign w:val="bottom"/>
          </w:tcPr>
          <w:p w:rsidR="000728AD" w:rsidRDefault="000561BE">
            <w:pPr>
              <w:ind w:left="120"/>
              <w:rPr>
                <w:sz w:val="20"/>
                <w:szCs w:val="20"/>
              </w:rPr>
            </w:pPr>
            <w:r>
              <w:rPr>
                <w:rFonts w:ascii="Arial" w:eastAsia="Arial" w:hAnsi="Arial" w:cs="Arial"/>
                <w:sz w:val="18"/>
                <w:szCs w:val="18"/>
              </w:rPr>
              <w:t>within the Inline XBRL document.</w:t>
            </w:r>
          </w:p>
        </w:tc>
      </w:tr>
      <w:tr w:rsidR="000728AD">
        <w:trPr>
          <w:trHeight w:val="229"/>
        </w:trPr>
        <w:tc>
          <w:tcPr>
            <w:tcW w:w="980" w:type="dxa"/>
            <w:vAlign w:val="bottom"/>
          </w:tcPr>
          <w:p w:rsidR="000728AD" w:rsidRDefault="000561BE">
            <w:pPr>
              <w:ind w:right="30"/>
              <w:jc w:val="right"/>
              <w:rPr>
                <w:sz w:val="20"/>
                <w:szCs w:val="20"/>
              </w:rPr>
            </w:pPr>
            <w:r>
              <w:rPr>
                <w:rFonts w:ascii="Arial" w:eastAsia="Arial" w:hAnsi="Arial" w:cs="Arial"/>
                <w:sz w:val="18"/>
                <w:szCs w:val="18"/>
              </w:rPr>
              <w:t>101SCH*</w:t>
            </w:r>
          </w:p>
        </w:tc>
        <w:tc>
          <w:tcPr>
            <w:tcW w:w="10260" w:type="dxa"/>
            <w:vAlign w:val="bottom"/>
          </w:tcPr>
          <w:p w:rsidR="000728AD" w:rsidRDefault="000561BE">
            <w:pPr>
              <w:ind w:left="120"/>
              <w:rPr>
                <w:sz w:val="20"/>
                <w:szCs w:val="20"/>
              </w:rPr>
            </w:pPr>
            <w:r>
              <w:rPr>
                <w:rFonts w:ascii="Arial" w:eastAsia="Arial" w:hAnsi="Arial" w:cs="Arial"/>
                <w:sz w:val="18"/>
                <w:szCs w:val="18"/>
              </w:rPr>
              <w:t xml:space="preserve">Inline XBRL </w:t>
            </w:r>
            <w:r>
              <w:rPr>
                <w:rFonts w:ascii="Arial" w:eastAsia="Arial" w:hAnsi="Arial" w:cs="Arial"/>
                <w:sz w:val="18"/>
                <w:szCs w:val="18"/>
              </w:rPr>
              <w:t>Taxonomy Extension Schema Document.</w:t>
            </w:r>
          </w:p>
        </w:tc>
      </w:tr>
      <w:tr w:rsidR="000728AD">
        <w:trPr>
          <w:trHeight w:val="229"/>
        </w:trPr>
        <w:tc>
          <w:tcPr>
            <w:tcW w:w="980" w:type="dxa"/>
            <w:vAlign w:val="bottom"/>
          </w:tcPr>
          <w:p w:rsidR="000728AD" w:rsidRDefault="000561BE">
            <w:pPr>
              <w:ind w:right="30"/>
              <w:jc w:val="right"/>
              <w:rPr>
                <w:sz w:val="20"/>
                <w:szCs w:val="20"/>
              </w:rPr>
            </w:pPr>
            <w:r>
              <w:rPr>
                <w:rFonts w:ascii="Arial" w:eastAsia="Arial" w:hAnsi="Arial" w:cs="Arial"/>
                <w:sz w:val="18"/>
                <w:szCs w:val="18"/>
              </w:rPr>
              <w:t>101CAL*</w:t>
            </w:r>
          </w:p>
        </w:tc>
        <w:tc>
          <w:tcPr>
            <w:tcW w:w="10260" w:type="dxa"/>
            <w:vAlign w:val="bottom"/>
          </w:tcPr>
          <w:p w:rsidR="000728AD" w:rsidRDefault="000561BE">
            <w:pPr>
              <w:ind w:left="120"/>
              <w:rPr>
                <w:sz w:val="20"/>
                <w:szCs w:val="20"/>
              </w:rPr>
            </w:pPr>
            <w:r>
              <w:rPr>
                <w:rFonts w:ascii="Arial" w:eastAsia="Arial" w:hAnsi="Arial" w:cs="Arial"/>
                <w:sz w:val="18"/>
                <w:szCs w:val="18"/>
              </w:rPr>
              <w:t>Inline XBRL Taxonomy Extension Calculation Linkbase Document.</w:t>
            </w:r>
          </w:p>
        </w:tc>
      </w:tr>
      <w:tr w:rsidR="000728AD">
        <w:trPr>
          <w:trHeight w:val="230"/>
        </w:trPr>
        <w:tc>
          <w:tcPr>
            <w:tcW w:w="980" w:type="dxa"/>
            <w:vAlign w:val="bottom"/>
          </w:tcPr>
          <w:p w:rsidR="000728AD" w:rsidRDefault="000561BE">
            <w:pPr>
              <w:ind w:right="30"/>
              <w:jc w:val="right"/>
              <w:rPr>
                <w:sz w:val="20"/>
                <w:szCs w:val="20"/>
              </w:rPr>
            </w:pPr>
            <w:r>
              <w:rPr>
                <w:rFonts w:ascii="Arial" w:eastAsia="Arial" w:hAnsi="Arial" w:cs="Arial"/>
                <w:sz w:val="18"/>
                <w:szCs w:val="18"/>
              </w:rPr>
              <w:t>101LAB*</w:t>
            </w:r>
          </w:p>
        </w:tc>
        <w:tc>
          <w:tcPr>
            <w:tcW w:w="10260" w:type="dxa"/>
            <w:vAlign w:val="bottom"/>
          </w:tcPr>
          <w:p w:rsidR="000728AD" w:rsidRDefault="000561BE">
            <w:pPr>
              <w:ind w:left="120"/>
              <w:rPr>
                <w:sz w:val="20"/>
                <w:szCs w:val="20"/>
              </w:rPr>
            </w:pPr>
            <w:r>
              <w:rPr>
                <w:rFonts w:ascii="Arial" w:eastAsia="Arial" w:hAnsi="Arial" w:cs="Arial"/>
                <w:sz w:val="18"/>
                <w:szCs w:val="18"/>
              </w:rPr>
              <w:t>Inline XBRL Taxonomy Extension Labels Linkbase Document.</w:t>
            </w:r>
          </w:p>
        </w:tc>
      </w:tr>
      <w:tr w:rsidR="000728AD">
        <w:trPr>
          <w:trHeight w:val="229"/>
        </w:trPr>
        <w:tc>
          <w:tcPr>
            <w:tcW w:w="980" w:type="dxa"/>
            <w:vAlign w:val="bottom"/>
          </w:tcPr>
          <w:p w:rsidR="000728AD" w:rsidRDefault="000561BE">
            <w:pPr>
              <w:ind w:right="30"/>
              <w:jc w:val="right"/>
              <w:rPr>
                <w:sz w:val="20"/>
                <w:szCs w:val="20"/>
              </w:rPr>
            </w:pPr>
            <w:r>
              <w:rPr>
                <w:rFonts w:ascii="Arial" w:eastAsia="Arial" w:hAnsi="Arial" w:cs="Arial"/>
                <w:sz w:val="18"/>
                <w:szCs w:val="18"/>
              </w:rPr>
              <w:t>101PRE*</w:t>
            </w:r>
          </w:p>
        </w:tc>
        <w:tc>
          <w:tcPr>
            <w:tcW w:w="10260" w:type="dxa"/>
            <w:vAlign w:val="bottom"/>
          </w:tcPr>
          <w:p w:rsidR="000728AD" w:rsidRDefault="000561BE">
            <w:pPr>
              <w:ind w:left="120"/>
              <w:rPr>
                <w:sz w:val="20"/>
                <w:szCs w:val="20"/>
              </w:rPr>
            </w:pPr>
            <w:r>
              <w:rPr>
                <w:rFonts w:ascii="Arial" w:eastAsia="Arial" w:hAnsi="Arial" w:cs="Arial"/>
                <w:sz w:val="18"/>
                <w:szCs w:val="18"/>
              </w:rPr>
              <w:t>Inline XBRL Taxonomy Extension Presentation Linkbase Document.</w:t>
            </w:r>
          </w:p>
        </w:tc>
      </w:tr>
      <w:tr w:rsidR="000728AD">
        <w:trPr>
          <w:trHeight w:val="230"/>
        </w:trPr>
        <w:tc>
          <w:tcPr>
            <w:tcW w:w="980" w:type="dxa"/>
            <w:vAlign w:val="bottom"/>
          </w:tcPr>
          <w:p w:rsidR="000728AD" w:rsidRDefault="000561BE">
            <w:pPr>
              <w:ind w:right="30"/>
              <w:jc w:val="right"/>
              <w:rPr>
                <w:sz w:val="20"/>
                <w:szCs w:val="20"/>
              </w:rPr>
            </w:pPr>
            <w:r>
              <w:rPr>
                <w:rFonts w:ascii="Arial" w:eastAsia="Arial" w:hAnsi="Arial" w:cs="Arial"/>
                <w:sz w:val="18"/>
                <w:szCs w:val="18"/>
              </w:rPr>
              <w:t>101DEF*</w:t>
            </w:r>
          </w:p>
        </w:tc>
        <w:tc>
          <w:tcPr>
            <w:tcW w:w="10260" w:type="dxa"/>
            <w:vAlign w:val="bottom"/>
          </w:tcPr>
          <w:p w:rsidR="000728AD" w:rsidRDefault="000561BE">
            <w:pPr>
              <w:ind w:left="120"/>
              <w:rPr>
                <w:sz w:val="20"/>
                <w:szCs w:val="20"/>
              </w:rPr>
            </w:pPr>
            <w:r>
              <w:rPr>
                <w:rFonts w:ascii="Arial" w:eastAsia="Arial" w:hAnsi="Arial" w:cs="Arial"/>
                <w:sz w:val="18"/>
                <w:szCs w:val="18"/>
              </w:rPr>
              <w:t>Inline XBRL Taxonomy Extension Definition Linkbase Document.</w:t>
            </w:r>
          </w:p>
        </w:tc>
      </w:tr>
      <w:tr w:rsidR="000728AD">
        <w:trPr>
          <w:trHeight w:val="230"/>
        </w:trPr>
        <w:tc>
          <w:tcPr>
            <w:tcW w:w="980" w:type="dxa"/>
            <w:vAlign w:val="bottom"/>
          </w:tcPr>
          <w:p w:rsidR="000728AD" w:rsidRDefault="000561BE">
            <w:pPr>
              <w:ind w:right="30"/>
              <w:jc w:val="right"/>
              <w:rPr>
                <w:sz w:val="20"/>
                <w:szCs w:val="20"/>
              </w:rPr>
            </w:pPr>
            <w:r>
              <w:rPr>
                <w:rFonts w:ascii="Arial" w:eastAsia="Arial" w:hAnsi="Arial" w:cs="Arial"/>
                <w:sz w:val="18"/>
                <w:szCs w:val="18"/>
              </w:rPr>
              <w:t>104*</w:t>
            </w:r>
          </w:p>
        </w:tc>
        <w:tc>
          <w:tcPr>
            <w:tcW w:w="10260" w:type="dxa"/>
            <w:vAlign w:val="bottom"/>
          </w:tcPr>
          <w:p w:rsidR="000728AD" w:rsidRDefault="000561BE">
            <w:pPr>
              <w:ind w:left="120"/>
              <w:rPr>
                <w:sz w:val="20"/>
                <w:szCs w:val="20"/>
              </w:rPr>
            </w:pPr>
            <w:r>
              <w:rPr>
                <w:rFonts w:ascii="Arial" w:eastAsia="Arial" w:hAnsi="Arial" w:cs="Arial"/>
                <w:w w:val="94"/>
                <w:sz w:val="18"/>
                <w:szCs w:val="18"/>
              </w:rPr>
              <w:t>Cover Page Interactive Data File (formatted as inline XBRL with applicable taxonomy extension information contained in Exhibits 101.)</w:t>
            </w:r>
          </w:p>
        </w:tc>
      </w:tr>
      <w:tr w:rsidR="000728AD">
        <w:trPr>
          <w:trHeight w:val="122"/>
        </w:trPr>
        <w:tc>
          <w:tcPr>
            <w:tcW w:w="980" w:type="dxa"/>
            <w:tcBorders>
              <w:bottom w:val="single" w:sz="8" w:space="0" w:color="auto"/>
            </w:tcBorders>
            <w:vAlign w:val="bottom"/>
          </w:tcPr>
          <w:p w:rsidR="000728AD" w:rsidRDefault="000728AD">
            <w:pPr>
              <w:rPr>
                <w:sz w:val="10"/>
                <w:szCs w:val="10"/>
              </w:rPr>
            </w:pPr>
          </w:p>
        </w:tc>
        <w:tc>
          <w:tcPr>
            <w:tcW w:w="10260" w:type="dxa"/>
            <w:tcBorders>
              <w:bottom w:val="single" w:sz="8" w:space="0" w:color="auto"/>
            </w:tcBorders>
            <w:vAlign w:val="bottom"/>
          </w:tcPr>
          <w:p w:rsidR="000728AD" w:rsidRDefault="000728AD">
            <w:pPr>
              <w:rPr>
                <w:sz w:val="10"/>
                <w:szCs w:val="10"/>
              </w:rPr>
            </w:pPr>
          </w:p>
        </w:tc>
      </w:tr>
    </w:tbl>
    <w:p w:rsidR="000728AD" w:rsidRDefault="000728AD">
      <w:pPr>
        <w:spacing w:line="256" w:lineRule="exact"/>
        <w:rPr>
          <w:sz w:val="20"/>
          <w:szCs w:val="20"/>
        </w:rPr>
      </w:pPr>
    </w:p>
    <w:p w:rsidR="000728AD" w:rsidRDefault="000561BE">
      <w:pPr>
        <w:numPr>
          <w:ilvl w:val="1"/>
          <w:numId w:val="42"/>
        </w:numPr>
        <w:tabs>
          <w:tab w:val="left" w:pos="1129"/>
        </w:tabs>
        <w:spacing w:line="266" w:lineRule="auto"/>
        <w:ind w:left="760" w:right="3980" w:firstLine="4"/>
        <w:rPr>
          <w:rFonts w:ascii="Arial" w:eastAsia="Arial" w:hAnsi="Arial" w:cs="Arial"/>
          <w:sz w:val="18"/>
          <w:szCs w:val="18"/>
        </w:rPr>
      </w:pPr>
      <w:r>
        <w:rPr>
          <w:rFonts w:ascii="Arial" w:eastAsia="Arial" w:hAnsi="Arial" w:cs="Arial"/>
          <w:sz w:val="18"/>
          <w:szCs w:val="18"/>
        </w:rPr>
        <w:t>Indicates a management contract or any compensator</w:t>
      </w:r>
      <w:r>
        <w:rPr>
          <w:rFonts w:ascii="Arial" w:eastAsia="Arial" w:hAnsi="Arial" w:cs="Arial"/>
          <w:sz w:val="18"/>
          <w:szCs w:val="18"/>
        </w:rPr>
        <w:t>y plan, contract or arrangement. * Filed herewith.</w:t>
      </w:r>
    </w:p>
    <w:p w:rsidR="000728AD" w:rsidRDefault="000728AD">
      <w:pPr>
        <w:spacing w:line="1" w:lineRule="exact"/>
        <w:rPr>
          <w:rFonts w:ascii="Arial" w:eastAsia="Arial" w:hAnsi="Arial" w:cs="Arial"/>
          <w:sz w:val="18"/>
          <w:szCs w:val="18"/>
        </w:rPr>
      </w:pPr>
    </w:p>
    <w:p w:rsidR="000728AD" w:rsidRDefault="000561BE">
      <w:pPr>
        <w:numPr>
          <w:ilvl w:val="0"/>
          <w:numId w:val="42"/>
        </w:numPr>
        <w:tabs>
          <w:tab w:val="left" w:pos="1100"/>
        </w:tabs>
        <w:spacing w:line="224" w:lineRule="auto"/>
        <w:ind w:left="1100" w:right="240" w:hanging="426"/>
        <w:rPr>
          <w:rFonts w:ascii="Arial" w:eastAsia="Arial" w:hAnsi="Arial" w:cs="Arial"/>
          <w:sz w:val="18"/>
          <w:szCs w:val="18"/>
        </w:rPr>
      </w:pPr>
      <w:r>
        <w:rPr>
          <w:rFonts w:ascii="Arial" w:eastAsia="Arial" w:hAnsi="Arial" w:cs="Arial"/>
          <w:sz w:val="18"/>
          <w:szCs w:val="18"/>
        </w:rPr>
        <w:t xml:space="preserve">The certification furnished in Exhibit 32.1 hereto is deemed to accompany this Form 10-Q and will not be deemed “filed” for purposes of Section 18 of the Securities Act of 1933, as amended, or the </w:t>
      </w:r>
      <w:r>
        <w:rPr>
          <w:rFonts w:ascii="Arial" w:eastAsia="Arial" w:hAnsi="Arial" w:cs="Arial"/>
          <w:sz w:val="18"/>
          <w:szCs w:val="18"/>
        </w:rPr>
        <w:t>Securities Exchange Act of 1934, as amended, except to the extent that the Registrant specifically incorporates it by reference.</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78" w:lineRule="exact"/>
        <w:rPr>
          <w:sz w:val="20"/>
          <w:szCs w:val="20"/>
        </w:rPr>
      </w:pPr>
    </w:p>
    <w:p w:rsidR="000728AD" w:rsidRDefault="000561BE">
      <w:pPr>
        <w:jc w:val="center"/>
        <w:rPr>
          <w:sz w:val="20"/>
          <w:szCs w:val="20"/>
        </w:rPr>
      </w:pPr>
      <w:r>
        <w:rPr>
          <w:rFonts w:ascii="Arial" w:eastAsia="Arial" w:hAnsi="Arial" w:cs="Arial"/>
          <w:sz w:val="18"/>
          <w:szCs w:val="18"/>
        </w:rPr>
        <w:t>99</w:t>
      </w:r>
    </w:p>
    <w:p w:rsidR="000728AD" w:rsidRDefault="000561BE">
      <w:pPr>
        <w:spacing w:line="20" w:lineRule="exact"/>
        <w:rPr>
          <w:sz w:val="20"/>
          <w:szCs w:val="20"/>
        </w:rPr>
      </w:pPr>
      <w:r>
        <w:rPr>
          <w:noProof/>
          <w:sz w:val="20"/>
          <w:szCs w:val="20"/>
        </w:rPr>
        <w:drawing>
          <wp:anchor distT="0" distB="0" distL="114300" distR="114300" simplePos="0" relativeHeight="251709440" behindDoc="1" locked="0" layoutInCell="0" allowOverlap="1">
            <wp:simplePos x="0" y="0"/>
            <wp:positionH relativeFrom="column">
              <wp:posOffset>-6985</wp:posOffset>
            </wp:positionH>
            <wp:positionV relativeFrom="paragraph">
              <wp:posOffset>70485</wp:posOffset>
            </wp:positionV>
            <wp:extent cx="7157720" cy="4254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rsidR="000728AD" w:rsidRDefault="000728AD">
      <w:pPr>
        <w:sectPr w:rsidR="000728AD">
          <w:pgSz w:w="11900" w:h="16838"/>
          <w:pgMar w:top="125" w:right="339" w:bottom="1440" w:left="320" w:header="0" w:footer="0" w:gutter="0"/>
          <w:cols w:space="720" w:equalWidth="0">
            <w:col w:w="11240"/>
          </w:cols>
        </w:sectPr>
      </w:pPr>
    </w:p>
    <w:bookmarkStart w:id="100" w:name="page100"/>
    <w:bookmarkEnd w:id="100"/>
    <w:p w:rsidR="000728AD" w:rsidRDefault="000561BE">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rsidR="000728AD" w:rsidRDefault="000728AD">
      <w:pPr>
        <w:spacing w:line="200" w:lineRule="exact"/>
        <w:rPr>
          <w:sz w:val="20"/>
          <w:szCs w:val="20"/>
        </w:rPr>
      </w:pPr>
    </w:p>
    <w:p w:rsidR="000728AD" w:rsidRDefault="000728AD">
      <w:pPr>
        <w:spacing w:line="395" w:lineRule="exact"/>
        <w:rPr>
          <w:sz w:val="20"/>
          <w:szCs w:val="20"/>
        </w:rPr>
      </w:pPr>
    </w:p>
    <w:p w:rsidR="000728AD" w:rsidRDefault="000561BE">
      <w:pPr>
        <w:ind w:right="-159"/>
        <w:jc w:val="center"/>
        <w:rPr>
          <w:sz w:val="20"/>
          <w:szCs w:val="20"/>
        </w:rPr>
      </w:pPr>
      <w:r>
        <w:rPr>
          <w:rFonts w:ascii="Arial" w:eastAsia="Arial" w:hAnsi="Arial" w:cs="Arial"/>
          <w:b/>
          <w:bCs/>
          <w:sz w:val="20"/>
          <w:szCs w:val="20"/>
          <w:u w:val="single"/>
        </w:rPr>
        <w:t>SIGNATURES</w:t>
      </w:r>
    </w:p>
    <w:p w:rsidR="000728AD" w:rsidRDefault="000728AD">
      <w:pPr>
        <w:spacing w:line="200" w:lineRule="exact"/>
        <w:rPr>
          <w:sz w:val="20"/>
          <w:szCs w:val="20"/>
        </w:rPr>
      </w:pPr>
    </w:p>
    <w:p w:rsidR="000728AD" w:rsidRDefault="000728AD">
      <w:pPr>
        <w:spacing w:line="265" w:lineRule="exact"/>
        <w:rPr>
          <w:sz w:val="20"/>
          <w:szCs w:val="20"/>
        </w:rPr>
      </w:pPr>
    </w:p>
    <w:p w:rsidR="000728AD" w:rsidRDefault="000561BE">
      <w:pPr>
        <w:spacing w:line="260" w:lineRule="auto"/>
        <w:rPr>
          <w:sz w:val="20"/>
          <w:szCs w:val="20"/>
        </w:rPr>
      </w:pPr>
      <w:r>
        <w:rPr>
          <w:rFonts w:ascii="Arial" w:eastAsia="Arial" w:hAnsi="Arial" w:cs="Arial"/>
          <w:sz w:val="20"/>
          <w:szCs w:val="20"/>
        </w:rPr>
        <w:t xml:space="preserve">Pursuant to the </w:t>
      </w:r>
      <w:r>
        <w:rPr>
          <w:rFonts w:ascii="Arial" w:eastAsia="Arial" w:hAnsi="Arial" w:cs="Arial"/>
          <w:sz w:val="20"/>
          <w:szCs w:val="20"/>
        </w:rPr>
        <w:t>requirements of the Securities Exchange Act of 1934, the Registrant has duly caused this report to be signed on its behalf by the undersigned thereunto duly authorized.</w:t>
      </w:r>
    </w:p>
    <w:p w:rsidR="000728AD" w:rsidRDefault="000728AD">
      <w:pPr>
        <w:spacing w:line="271" w:lineRule="exact"/>
        <w:rPr>
          <w:sz w:val="20"/>
          <w:szCs w:val="20"/>
        </w:rPr>
      </w:pPr>
    </w:p>
    <w:p w:rsidR="000728AD" w:rsidRDefault="000561BE">
      <w:pPr>
        <w:ind w:left="5280"/>
        <w:rPr>
          <w:sz w:val="20"/>
          <w:szCs w:val="20"/>
        </w:rPr>
      </w:pPr>
      <w:r>
        <w:rPr>
          <w:rFonts w:ascii="Arial" w:eastAsia="Arial" w:hAnsi="Arial" w:cs="Arial"/>
          <w:sz w:val="20"/>
          <w:szCs w:val="20"/>
        </w:rPr>
        <w:t>AXCELLA HEALTH INC.</w:t>
      </w:r>
    </w:p>
    <w:p w:rsidR="000728AD" w:rsidRDefault="000728AD">
      <w:pPr>
        <w:spacing w:line="278" w:lineRule="exact"/>
        <w:rPr>
          <w:sz w:val="20"/>
          <w:szCs w:val="20"/>
        </w:rPr>
      </w:pPr>
    </w:p>
    <w:p w:rsidR="000728AD" w:rsidRDefault="000561BE">
      <w:pPr>
        <w:tabs>
          <w:tab w:val="left" w:pos="5220"/>
          <w:tab w:val="left" w:pos="5800"/>
        </w:tabs>
        <w:ind w:left="280"/>
        <w:rPr>
          <w:sz w:val="20"/>
          <w:szCs w:val="20"/>
        </w:rPr>
      </w:pPr>
      <w:r>
        <w:rPr>
          <w:rFonts w:ascii="Arial" w:eastAsia="Arial" w:hAnsi="Arial" w:cs="Arial"/>
          <w:sz w:val="20"/>
          <w:szCs w:val="20"/>
        </w:rPr>
        <w:t>Date: July 29, 2021</w:t>
      </w:r>
      <w:r>
        <w:rPr>
          <w:sz w:val="20"/>
          <w:szCs w:val="20"/>
        </w:rPr>
        <w:tab/>
      </w:r>
      <w:r>
        <w:rPr>
          <w:rFonts w:ascii="Arial" w:eastAsia="Arial" w:hAnsi="Arial" w:cs="Arial"/>
          <w:sz w:val="20"/>
          <w:szCs w:val="20"/>
        </w:rPr>
        <w:t>By:</w:t>
      </w:r>
      <w:r>
        <w:rPr>
          <w:sz w:val="20"/>
          <w:szCs w:val="20"/>
        </w:rPr>
        <w:tab/>
      </w:r>
      <w:r>
        <w:rPr>
          <w:rFonts w:ascii="Arial" w:eastAsia="Arial" w:hAnsi="Arial" w:cs="Arial"/>
          <w:sz w:val="19"/>
          <w:szCs w:val="19"/>
        </w:rPr>
        <w:t>/s/ William R. Hinshaw, Jr.</w:t>
      </w:r>
    </w:p>
    <w:p w:rsidR="000728AD" w:rsidRDefault="000561BE">
      <w:pPr>
        <w:spacing w:line="20" w:lineRule="exact"/>
        <w:rPr>
          <w:sz w:val="20"/>
          <w:szCs w:val="20"/>
        </w:rPr>
      </w:pPr>
      <w:r>
        <w:rPr>
          <w:noProof/>
          <w:sz w:val="20"/>
          <w:szCs w:val="20"/>
        </w:rPr>
        <w:drawing>
          <wp:anchor distT="0" distB="0" distL="114300" distR="114300" simplePos="0" relativeHeight="251710464" behindDoc="1" locked="0" layoutInCell="0" allowOverlap="1">
            <wp:simplePos x="0" y="0"/>
            <wp:positionH relativeFrom="column">
              <wp:posOffset>3656965</wp:posOffset>
            </wp:positionH>
            <wp:positionV relativeFrom="paragraph">
              <wp:posOffset>30480</wp:posOffset>
            </wp:positionV>
            <wp:extent cx="3480435" cy="825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
                    <a:srcRect/>
                    <a:stretch>
                      <a:fillRect/>
                    </a:stretch>
                  </pic:blipFill>
                  <pic:spPr bwMode="auto">
                    <a:xfrm>
                      <a:off x="0" y="0"/>
                      <a:ext cx="3480435" cy="8255"/>
                    </a:xfrm>
                    <a:prstGeom prst="rect">
                      <a:avLst/>
                    </a:prstGeom>
                    <a:noFill/>
                  </pic:spPr>
                </pic:pic>
              </a:graphicData>
            </a:graphic>
          </wp:anchor>
        </w:drawing>
      </w:r>
    </w:p>
    <w:p w:rsidR="000728AD" w:rsidRDefault="000728AD">
      <w:pPr>
        <w:spacing w:line="13" w:lineRule="exact"/>
        <w:rPr>
          <w:sz w:val="20"/>
          <w:szCs w:val="20"/>
        </w:rPr>
      </w:pPr>
    </w:p>
    <w:p w:rsidR="000728AD" w:rsidRDefault="000561BE">
      <w:pPr>
        <w:ind w:left="5820"/>
        <w:rPr>
          <w:sz w:val="20"/>
          <w:szCs w:val="20"/>
        </w:rPr>
      </w:pPr>
      <w:r>
        <w:rPr>
          <w:rFonts w:ascii="Arial" w:eastAsia="Arial" w:hAnsi="Arial" w:cs="Arial"/>
          <w:sz w:val="20"/>
          <w:szCs w:val="20"/>
        </w:rPr>
        <w:t>William R. Hinshaw, Jr.</w:t>
      </w:r>
    </w:p>
    <w:p w:rsidR="000728AD" w:rsidRDefault="000561BE">
      <w:pPr>
        <w:ind w:left="5820"/>
        <w:rPr>
          <w:sz w:val="20"/>
          <w:szCs w:val="20"/>
        </w:rPr>
      </w:pPr>
      <w:r>
        <w:rPr>
          <w:rFonts w:ascii="Arial" w:eastAsia="Arial" w:hAnsi="Arial" w:cs="Arial"/>
          <w:sz w:val="20"/>
          <w:szCs w:val="20"/>
        </w:rPr>
        <w:t>President, Chief Executive Officer and Director</w:t>
      </w:r>
    </w:p>
    <w:p w:rsidR="000728AD" w:rsidRDefault="000728AD">
      <w:pPr>
        <w:spacing w:line="200" w:lineRule="exact"/>
        <w:rPr>
          <w:sz w:val="20"/>
          <w:szCs w:val="20"/>
        </w:rPr>
      </w:pPr>
    </w:p>
    <w:p w:rsidR="000728AD" w:rsidRDefault="000728AD">
      <w:pPr>
        <w:spacing w:line="270" w:lineRule="exact"/>
        <w:rPr>
          <w:sz w:val="20"/>
          <w:szCs w:val="20"/>
        </w:rPr>
      </w:pPr>
    </w:p>
    <w:p w:rsidR="000728AD" w:rsidRDefault="000561BE">
      <w:pPr>
        <w:ind w:left="5280"/>
        <w:rPr>
          <w:sz w:val="20"/>
          <w:szCs w:val="20"/>
        </w:rPr>
      </w:pPr>
      <w:r>
        <w:rPr>
          <w:rFonts w:ascii="Arial" w:eastAsia="Arial" w:hAnsi="Arial" w:cs="Arial"/>
          <w:sz w:val="20"/>
          <w:szCs w:val="20"/>
        </w:rPr>
        <w:t>AXCELLA HEALTH INC.</w:t>
      </w:r>
    </w:p>
    <w:p w:rsidR="000728AD" w:rsidRDefault="000728AD">
      <w:pPr>
        <w:spacing w:line="278" w:lineRule="exact"/>
        <w:rPr>
          <w:sz w:val="20"/>
          <w:szCs w:val="20"/>
        </w:rPr>
      </w:pPr>
    </w:p>
    <w:p w:rsidR="000728AD" w:rsidRDefault="000561BE">
      <w:pPr>
        <w:tabs>
          <w:tab w:val="left" w:pos="5220"/>
          <w:tab w:val="left" w:pos="5800"/>
        </w:tabs>
        <w:ind w:left="280"/>
        <w:rPr>
          <w:sz w:val="20"/>
          <w:szCs w:val="20"/>
        </w:rPr>
      </w:pPr>
      <w:r>
        <w:rPr>
          <w:rFonts w:ascii="Arial" w:eastAsia="Arial" w:hAnsi="Arial" w:cs="Arial"/>
          <w:sz w:val="20"/>
          <w:szCs w:val="20"/>
        </w:rPr>
        <w:t>Date: July 29, 2021</w:t>
      </w:r>
      <w:r>
        <w:rPr>
          <w:sz w:val="20"/>
          <w:szCs w:val="20"/>
        </w:rPr>
        <w:tab/>
      </w:r>
      <w:r>
        <w:rPr>
          <w:rFonts w:ascii="Arial" w:eastAsia="Arial" w:hAnsi="Arial" w:cs="Arial"/>
          <w:sz w:val="20"/>
          <w:szCs w:val="20"/>
        </w:rPr>
        <w:t>By:</w:t>
      </w:r>
      <w:r>
        <w:rPr>
          <w:sz w:val="20"/>
          <w:szCs w:val="20"/>
        </w:rPr>
        <w:tab/>
      </w:r>
      <w:r>
        <w:rPr>
          <w:rFonts w:ascii="Arial" w:eastAsia="Arial" w:hAnsi="Arial" w:cs="Arial"/>
          <w:sz w:val="19"/>
          <w:szCs w:val="19"/>
        </w:rPr>
        <w:t>/s/ Laurent Chardonnet</w:t>
      </w:r>
    </w:p>
    <w:p w:rsidR="000728AD" w:rsidRDefault="000561BE">
      <w:pPr>
        <w:spacing w:line="20" w:lineRule="exact"/>
        <w:rPr>
          <w:sz w:val="20"/>
          <w:szCs w:val="20"/>
        </w:rPr>
      </w:pPr>
      <w:r>
        <w:rPr>
          <w:noProof/>
          <w:sz w:val="20"/>
          <w:szCs w:val="20"/>
        </w:rPr>
        <w:drawing>
          <wp:anchor distT="0" distB="0" distL="114300" distR="114300" simplePos="0" relativeHeight="251711488" behindDoc="1" locked="0" layoutInCell="0" allowOverlap="1">
            <wp:simplePos x="0" y="0"/>
            <wp:positionH relativeFrom="column">
              <wp:posOffset>3656965</wp:posOffset>
            </wp:positionH>
            <wp:positionV relativeFrom="paragraph">
              <wp:posOffset>30480</wp:posOffset>
            </wp:positionV>
            <wp:extent cx="3480435" cy="825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
                    <a:srcRect/>
                    <a:stretch>
                      <a:fillRect/>
                    </a:stretch>
                  </pic:blipFill>
                  <pic:spPr bwMode="auto">
                    <a:xfrm>
                      <a:off x="0" y="0"/>
                      <a:ext cx="3480435" cy="8255"/>
                    </a:xfrm>
                    <a:prstGeom prst="rect">
                      <a:avLst/>
                    </a:prstGeom>
                    <a:noFill/>
                  </pic:spPr>
                </pic:pic>
              </a:graphicData>
            </a:graphic>
          </wp:anchor>
        </w:drawing>
      </w:r>
    </w:p>
    <w:p w:rsidR="000728AD" w:rsidRDefault="000728AD">
      <w:pPr>
        <w:spacing w:line="13" w:lineRule="exact"/>
        <w:rPr>
          <w:sz w:val="20"/>
          <w:szCs w:val="20"/>
        </w:rPr>
      </w:pPr>
    </w:p>
    <w:p w:rsidR="000728AD" w:rsidRDefault="000561BE">
      <w:pPr>
        <w:ind w:left="5820"/>
        <w:rPr>
          <w:sz w:val="20"/>
          <w:szCs w:val="20"/>
        </w:rPr>
      </w:pPr>
      <w:r>
        <w:rPr>
          <w:rFonts w:ascii="Arial" w:eastAsia="Arial" w:hAnsi="Arial" w:cs="Arial"/>
          <w:sz w:val="20"/>
          <w:szCs w:val="20"/>
        </w:rPr>
        <w:t>Laurent Chardonnet</w:t>
      </w:r>
    </w:p>
    <w:p w:rsidR="000728AD" w:rsidRDefault="000561BE">
      <w:pPr>
        <w:ind w:left="5820"/>
        <w:rPr>
          <w:sz w:val="20"/>
          <w:szCs w:val="20"/>
        </w:rPr>
      </w:pPr>
      <w:r>
        <w:rPr>
          <w:rFonts w:ascii="Arial" w:eastAsia="Arial" w:hAnsi="Arial" w:cs="Arial"/>
          <w:sz w:val="20"/>
          <w:szCs w:val="20"/>
        </w:rPr>
        <w:t>Senior Vice President and Chief Financial Officer</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91" w:lineRule="exact"/>
        <w:rPr>
          <w:sz w:val="20"/>
          <w:szCs w:val="20"/>
        </w:rPr>
      </w:pPr>
    </w:p>
    <w:p w:rsidR="000728AD" w:rsidRDefault="000561BE">
      <w:pPr>
        <w:ind w:right="-159"/>
        <w:jc w:val="center"/>
        <w:rPr>
          <w:sz w:val="20"/>
          <w:szCs w:val="20"/>
        </w:rPr>
      </w:pPr>
      <w:r>
        <w:rPr>
          <w:rFonts w:ascii="Arial" w:eastAsia="Arial" w:hAnsi="Arial" w:cs="Arial"/>
          <w:sz w:val="18"/>
          <w:szCs w:val="18"/>
        </w:rPr>
        <w:t>100</w:t>
      </w:r>
    </w:p>
    <w:p w:rsidR="000728AD" w:rsidRDefault="000728AD">
      <w:pPr>
        <w:sectPr w:rsidR="000728AD">
          <w:pgSz w:w="11900" w:h="16838"/>
          <w:pgMar w:top="125" w:right="499" w:bottom="1440" w:left="320" w:header="0" w:footer="0" w:gutter="0"/>
          <w:cols w:space="720" w:equalWidth="0">
            <w:col w:w="11080"/>
          </w:cols>
        </w:sectPr>
      </w:pPr>
    </w:p>
    <w:p w:rsidR="000728AD" w:rsidRDefault="000561BE">
      <w:pPr>
        <w:jc w:val="right"/>
        <w:rPr>
          <w:sz w:val="20"/>
          <w:szCs w:val="20"/>
        </w:rPr>
      </w:pPr>
      <w:bookmarkStart w:id="101" w:name="page101"/>
      <w:bookmarkEnd w:id="101"/>
      <w:r>
        <w:rPr>
          <w:rFonts w:ascii="Arial" w:eastAsia="Arial" w:hAnsi="Arial" w:cs="Arial"/>
          <w:b/>
          <w:bCs/>
          <w:sz w:val="20"/>
          <w:szCs w:val="20"/>
        </w:rPr>
        <w:lastRenderedPageBreak/>
        <w:t>Exhibit 10.1</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74" w:lineRule="exact"/>
        <w:rPr>
          <w:sz w:val="20"/>
          <w:szCs w:val="20"/>
        </w:rPr>
      </w:pPr>
    </w:p>
    <w:p w:rsidR="000728AD" w:rsidRDefault="000561BE">
      <w:pPr>
        <w:jc w:val="center"/>
        <w:rPr>
          <w:sz w:val="20"/>
          <w:szCs w:val="20"/>
        </w:rPr>
      </w:pPr>
      <w:r>
        <w:rPr>
          <w:rFonts w:ascii="Arial" w:eastAsia="Arial" w:hAnsi="Arial" w:cs="Arial"/>
          <w:b/>
          <w:bCs/>
        </w:rPr>
        <w:t>EMPLOYMENT AGREEMENT</w:t>
      </w:r>
    </w:p>
    <w:p w:rsidR="000728AD" w:rsidRDefault="000728AD">
      <w:pPr>
        <w:spacing w:line="109" w:lineRule="exact"/>
        <w:rPr>
          <w:sz w:val="20"/>
          <w:szCs w:val="20"/>
        </w:rPr>
      </w:pPr>
    </w:p>
    <w:p w:rsidR="000728AD" w:rsidRDefault="000561BE">
      <w:pPr>
        <w:spacing w:line="222" w:lineRule="auto"/>
        <w:ind w:right="580" w:firstLine="648"/>
        <w:rPr>
          <w:sz w:val="20"/>
          <w:szCs w:val="20"/>
        </w:rPr>
      </w:pPr>
      <w:r>
        <w:rPr>
          <w:rFonts w:ascii="Arial" w:eastAsia="Arial" w:hAnsi="Arial" w:cs="Arial"/>
          <w:sz w:val="20"/>
          <w:szCs w:val="20"/>
        </w:rPr>
        <w:t>This Employment Agreement (“</w:t>
      </w:r>
      <w:r>
        <w:rPr>
          <w:rFonts w:ascii="Arial" w:eastAsia="Arial" w:hAnsi="Arial" w:cs="Arial"/>
          <w:sz w:val="20"/>
          <w:szCs w:val="20"/>
          <w:u w:val="single"/>
        </w:rPr>
        <w:t>Agreement</w:t>
      </w:r>
      <w:r>
        <w:rPr>
          <w:rFonts w:ascii="Arial" w:eastAsia="Arial" w:hAnsi="Arial" w:cs="Arial"/>
          <w:sz w:val="20"/>
          <w:szCs w:val="20"/>
        </w:rPr>
        <w:t>”) is made as of the 9</w:t>
      </w:r>
      <w:r>
        <w:rPr>
          <w:rFonts w:ascii="Arial" w:eastAsia="Arial" w:hAnsi="Arial" w:cs="Arial"/>
          <w:sz w:val="25"/>
          <w:szCs w:val="25"/>
          <w:vertAlign w:val="superscript"/>
        </w:rPr>
        <w:t>th</w:t>
      </w:r>
      <w:r>
        <w:rPr>
          <w:rFonts w:ascii="Arial" w:eastAsia="Arial" w:hAnsi="Arial" w:cs="Arial"/>
          <w:sz w:val="20"/>
          <w:szCs w:val="20"/>
        </w:rPr>
        <w:t xml:space="preserve"> Day of June, 2021 between Axcella Health Inc., a Delaware corporation (the “</w:t>
      </w:r>
      <w:r>
        <w:rPr>
          <w:rFonts w:ascii="Arial" w:eastAsia="Arial" w:hAnsi="Arial" w:cs="Arial"/>
          <w:sz w:val="20"/>
          <w:szCs w:val="20"/>
          <w:u w:val="single"/>
        </w:rPr>
        <w:t>Company</w:t>
      </w:r>
      <w:r>
        <w:rPr>
          <w:rFonts w:ascii="Arial" w:eastAsia="Arial" w:hAnsi="Arial" w:cs="Arial"/>
          <w:sz w:val="20"/>
          <w:szCs w:val="20"/>
        </w:rPr>
        <w:t>”), and Virginia R. Dean (the “</w:t>
      </w:r>
      <w:r>
        <w:rPr>
          <w:rFonts w:ascii="Arial" w:eastAsia="Arial" w:hAnsi="Arial" w:cs="Arial"/>
          <w:sz w:val="20"/>
          <w:szCs w:val="20"/>
          <w:u w:val="single"/>
        </w:rPr>
        <w:t>Executive</w:t>
      </w:r>
      <w:r>
        <w:rPr>
          <w:rFonts w:ascii="Arial" w:eastAsia="Arial" w:hAnsi="Arial" w:cs="Arial"/>
          <w:sz w:val="20"/>
          <w:szCs w:val="20"/>
        </w:rPr>
        <w:t>”).</w:t>
      </w:r>
    </w:p>
    <w:p w:rsidR="000728AD" w:rsidRDefault="000728AD">
      <w:pPr>
        <w:spacing w:line="129" w:lineRule="exact"/>
        <w:rPr>
          <w:sz w:val="20"/>
          <w:szCs w:val="20"/>
        </w:rPr>
      </w:pPr>
    </w:p>
    <w:p w:rsidR="000728AD" w:rsidRDefault="000561BE">
      <w:pPr>
        <w:spacing w:line="250" w:lineRule="auto"/>
        <w:ind w:right="180" w:firstLine="648"/>
        <w:jc w:val="both"/>
        <w:rPr>
          <w:sz w:val="20"/>
          <w:szCs w:val="20"/>
        </w:rPr>
      </w:pPr>
      <w:r>
        <w:rPr>
          <w:rFonts w:ascii="Arial" w:eastAsia="Arial" w:hAnsi="Arial" w:cs="Arial"/>
          <w:sz w:val="20"/>
          <w:szCs w:val="20"/>
        </w:rPr>
        <w:t xml:space="preserve">WHEREAS, the Company desires to </w:t>
      </w:r>
      <w:r>
        <w:rPr>
          <w:rFonts w:ascii="Arial" w:eastAsia="Arial" w:hAnsi="Arial" w:cs="Arial"/>
          <w:sz w:val="20"/>
          <w:szCs w:val="20"/>
        </w:rPr>
        <w:t>employ the Executive and the Executive desires to be employed by the Company on the terms and conditions contained herein commencing on June 21, 2021, unless another date is agreed to by the parties. The Executive’s first day of employment shall be the “Ef</w:t>
      </w:r>
      <w:r>
        <w:rPr>
          <w:rFonts w:ascii="Arial" w:eastAsia="Arial" w:hAnsi="Arial" w:cs="Arial"/>
          <w:sz w:val="20"/>
          <w:szCs w:val="20"/>
        </w:rPr>
        <w:t>fective Date” of this Agreement; and</w:t>
      </w:r>
    </w:p>
    <w:p w:rsidR="000728AD" w:rsidRDefault="000728AD">
      <w:pPr>
        <w:spacing w:line="105" w:lineRule="exact"/>
        <w:rPr>
          <w:sz w:val="20"/>
          <w:szCs w:val="20"/>
        </w:rPr>
      </w:pPr>
    </w:p>
    <w:p w:rsidR="000728AD" w:rsidRDefault="000561BE">
      <w:pPr>
        <w:spacing w:line="316" w:lineRule="auto"/>
        <w:ind w:right="80" w:firstLine="648"/>
        <w:rPr>
          <w:sz w:val="20"/>
          <w:szCs w:val="20"/>
        </w:rPr>
      </w:pPr>
      <w:r>
        <w:rPr>
          <w:rFonts w:ascii="Arial" w:eastAsia="Arial" w:hAnsi="Arial" w:cs="Arial"/>
          <w:sz w:val="18"/>
          <w:szCs w:val="18"/>
        </w:rPr>
        <w:t>WHEREAS, the Company provided the Executive with this Agreement, which is its formal offer of employment to the Executive, at least ten (10) business days before the Effective Date. The Executive has the right to consu</w:t>
      </w:r>
      <w:r>
        <w:rPr>
          <w:rFonts w:ascii="Arial" w:eastAsia="Arial" w:hAnsi="Arial" w:cs="Arial"/>
          <w:sz w:val="18"/>
          <w:szCs w:val="18"/>
        </w:rPr>
        <w:t>lt with counsel prior to signing this Agreement.</w:t>
      </w:r>
    </w:p>
    <w:p w:rsidR="000728AD" w:rsidRDefault="000728AD">
      <w:pPr>
        <w:spacing w:line="62" w:lineRule="exact"/>
        <w:rPr>
          <w:sz w:val="20"/>
          <w:szCs w:val="20"/>
        </w:rPr>
      </w:pPr>
    </w:p>
    <w:p w:rsidR="000728AD" w:rsidRDefault="000561BE">
      <w:pPr>
        <w:spacing w:line="287" w:lineRule="auto"/>
        <w:ind w:right="640" w:firstLine="648"/>
        <w:rPr>
          <w:sz w:val="20"/>
          <w:szCs w:val="20"/>
        </w:rPr>
      </w:pPr>
      <w:r>
        <w:rPr>
          <w:rFonts w:ascii="Arial" w:eastAsia="Arial" w:hAnsi="Arial" w:cs="Arial"/>
          <w:sz w:val="19"/>
          <w:szCs w:val="19"/>
        </w:rPr>
        <w:t>NOW, THEREFORE, in consideration of the mutual covenants and agreements herein contained and other good and valuable consideration, the receipt and sufficiency of which is hereby acknowledged, the parties a</w:t>
      </w:r>
      <w:r>
        <w:rPr>
          <w:rFonts w:ascii="Arial" w:eastAsia="Arial" w:hAnsi="Arial" w:cs="Arial"/>
          <w:sz w:val="19"/>
          <w:szCs w:val="19"/>
        </w:rPr>
        <w:t>gree as follows:</w:t>
      </w:r>
    </w:p>
    <w:p w:rsidR="000728AD" w:rsidRDefault="000728AD">
      <w:pPr>
        <w:spacing w:line="85" w:lineRule="exact"/>
        <w:rPr>
          <w:sz w:val="20"/>
          <w:szCs w:val="20"/>
        </w:rPr>
      </w:pPr>
    </w:p>
    <w:p w:rsidR="000728AD" w:rsidRDefault="000561BE">
      <w:pPr>
        <w:numPr>
          <w:ilvl w:val="0"/>
          <w:numId w:val="43"/>
        </w:numPr>
        <w:tabs>
          <w:tab w:val="left" w:pos="1300"/>
        </w:tabs>
        <w:ind w:left="1300" w:hanging="644"/>
        <w:rPr>
          <w:rFonts w:ascii="Arial" w:eastAsia="Arial" w:hAnsi="Arial" w:cs="Arial"/>
          <w:sz w:val="20"/>
          <w:szCs w:val="20"/>
        </w:rPr>
      </w:pPr>
      <w:r>
        <w:rPr>
          <w:rFonts w:ascii="Arial" w:eastAsia="Arial" w:hAnsi="Arial" w:cs="Arial"/>
          <w:sz w:val="20"/>
          <w:szCs w:val="20"/>
          <w:u w:val="single"/>
        </w:rPr>
        <w:t>Employment</w:t>
      </w:r>
      <w:r>
        <w:rPr>
          <w:rFonts w:ascii="Arial" w:eastAsia="Arial" w:hAnsi="Arial" w:cs="Arial"/>
          <w:sz w:val="20"/>
          <w:szCs w:val="20"/>
        </w:rPr>
        <w:t>.</w:t>
      </w:r>
    </w:p>
    <w:p w:rsidR="000728AD" w:rsidRDefault="000728AD">
      <w:pPr>
        <w:spacing w:line="215" w:lineRule="exact"/>
        <w:rPr>
          <w:rFonts w:ascii="Arial" w:eastAsia="Arial" w:hAnsi="Arial" w:cs="Arial"/>
          <w:sz w:val="20"/>
          <w:szCs w:val="20"/>
        </w:rPr>
      </w:pPr>
    </w:p>
    <w:p w:rsidR="000728AD" w:rsidRDefault="000561BE">
      <w:pPr>
        <w:numPr>
          <w:ilvl w:val="1"/>
          <w:numId w:val="43"/>
        </w:numPr>
        <w:tabs>
          <w:tab w:val="left" w:pos="1286"/>
        </w:tabs>
        <w:spacing w:line="282" w:lineRule="auto"/>
        <w:ind w:right="300" w:firstLine="980"/>
        <w:jc w:val="both"/>
        <w:rPr>
          <w:rFonts w:ascii="Arial" w:eastAsia="Arial" w:hAnsi="Arial" w:cs="Arial"/>
          <w:sz w:val="18"/>
          <w:szCs w:val="18"/>
        </w:rPr>
      </w:pPr>
      <w:r>
        <w:rPr>
          <w:rFonts w:ascii="Arial" w:eastAsia="Arial" w:hAnsi="Arial" w:cs="Arial"/>
          <w:sz w:val="18"/>
          <w:szCs w:val="18"/>
          <w:u w:val="single"/>
        </w:rPr>
        <w:t>Term</w:t>
      </w:r>
      <w:r>
        <w:rPr>
          <w:rFonts w:ascii="Arial" w:eastAsia="Arial" w:hAnsi="Arial" w:cs="Arial"/>
          <w:sz w:val="18"/>
          <w:szCs w:val="18"/>
        </w:rPr>
        <w:t xml:space="preserve">. The Company shall employ the Executive and the Executive shall be employed by the Company pursuant to this Agreement commencing as of the Effective Date and continuing until such employment is terminated in </w:t>
      </w:r>
      <w:r>
        <w:rPr>
          <w:rFonts w:ascii="Arial" w:eastAsia="Arial" w:hAnsi="Arial" w:cs="Arial"/>
          <w:sz w:val="18"/>
          <w:szCs w:val="18"/>
        </w:rPr>
        <w:t>accordance with the provisions hereof (the “</w:t>
      </w:r>
      <w:r>
        <w:rPr>
          <w:rFonts w:ascii="Arial" w:eastAsia="Arial" w:hAnsi="Arial" w:cs="Arial"/>
          <w:sz w:val="18"/>
          <w:szCs w:val="18"/>
          <w:u w:val="single"/>
        </w:rPr>
        <w:t>Term</w:t>
      </w:r>
      <w:r>
        <w:rPr>
          <w:rFonts w:ascii="Arial" w:eastAsia="Arial" w:hAnsi="Arial" w:cs="Arial"/>
          <w:sz w:val="18"/>
          <w:szCs w:val="18"/>
        </w:rPr>
        <w:t>”). The Executive’s employment with the Company shall be “at will,” meaning that the Executive’s employment may be terminated by the Company or the Executive at any time and for any reason subject to the term</w:t>
      </w:r>
      <w:r>
        <w:rPr>
          <w:rFonts w:ascii="Arial" w:eastAsia="Arial" w:hAnsi="Arial" w:cs="Arial"/>
          <w:sz w:val="18"/>
          <w:szCs w:val="18"/>
        </w:rPr>
        <w:t>s of this Agreement.</w:t>
      </w:r>
    </w:p>
    <w:p w:rsidR="000728AD" w:rsidRDefault="000728AD">
      <w:pPr>
        <w:spacing w:line="161" w:lineRule="exact"/>
        <w:rPr>
          <w:rFonts w:ascii="Arial" w:eastAsia="Arial" w:hAnsi="Arial" w:cs="Arial"/>
          <w:sz w:val="18"/>
          <w:szCs w:val="18"/>
        </w:rPr>
      </w:pPr>
    </w:p>
    <w:p w:rsidR="000728AD" w:rsidRDefault="000561BE">
      <w:pPr>
        <w:numPr>
          <w:ilvl w:val="1"/>
          <w:numId w:val="43"/>
        </w:numPr>
        <w:tabs>
          <w:tab w:val="left" w:pos="1284"/>
        </w:tabs>
        <w:spacing w:line="316" w:lineRule="auto"/>
        <w:ind w:right="60" w:firstLine="980"/>
        <w:rPr>
          <w:rFonts w:ascii="Arial" w:eastAsia="Arial" w:hAnsi="Arial" w:cs="Arial"/>
          <w:sz w:val="16"/>
          <w:szCs w:val="16"/>
        </w:rPr>
      </w:pPr>
      <w:r>
        <w:rPr>
          <w:rFonts w:ascii="Arial" w:eastAsia="Arial" w:hAnsi="Arial" w:cs="Arial"/>
          <w:sz w:val="16"/>
          <w:szCs w:val="16"/>
          <w:u w:val="single"/>
        </w:rPr>
        <w:t>Position and Duties</w:t>
      </w:r>
      <w:r>
        <w:rPr>
          <w:rFonts w:ascii="Arial" w:eastAsia="Arial" w:hAnsi="Arial" w:cs="Arial"/>
          <w:sz w:val="16"/>
          <w:szCs w:val="16"/>
        </w:rPr>
        <w:t xml:space="preserve">. During the Term, the Executive shall serve as the Chief People Officer of the Company and shall have the powers, duties, and authority typically associated and commensurate with such position and such other </w:t>
      </w:r>
      <w:r>
        <w:rPr>
          <w:rFonts w:ascii="Arial" w:eastAsia="Arial" w:hAnsi="Arial" w:cs="Arial"/>
          <w:sz w:val="16"/>
          <w:szCs w:val="16"/>
        </w:rPr>
        <w:t>powers and duties as may from time to time be prescribed by the Chief Executive Officer of the Company (the “CEO”). The Executive shall devote full working time and efforts to the business and affairs of the Company. Notwithstanding the foregoing, the Exec</w:t>
      </w:r>
      <w:r>
        <w:rPr>
          <w:rFonts w:ascii="Arial" w:eastAsia="Arial" w:hAnsi="Arial" w:cs="Arial"/>
          <w:sz w:val="16"/>
          <w:szCs w:val="16"/>
        </w:rPr>
        <w:t xml:space="preserve">utive may serve on other boards of directors, with the approval of the Board of Directors of the Company (the “Board”), or engage in religious, charitable or other community activities as long as such services and activities are disclosed to the Board and </w:t>
      </w:r>
      <w:r>
        <w:rPr>
          <w:rFonts w:ascii="Arial" w:eastAsia="Arial" w:hAnsi="Arial" w:cs="Arial"/>
          <w:sz w:val="16"/>
          <w:szCs w:val="16"/>
        </w:rPr>
        <w:t>do not interfere with the Executive’s performance of duties to the Company.</w:t>
      </w:r>
    </w:p>
    <w:p w:rsidR="000728AD" w:rsidRDefault="000728AD">
      <w:pPr>
        <w:spacing w:line="139" w:lineRule="exact"/>
        <w:rPr>
          <w:rFonts w:ascii="Arial" w:eastAsia="Arial" w:hAnsi="Arial" w:cs="Arial"/>
          <w:sz w:val="16"/>
          <w:szCs w:val="16"/>
        </w:rPr>
      </w:pPr>
    </w:p>
    <w:p w:rsidR="000728AD" w:rsidRDefault="000561BE">
      <w:pPr>
        <w:numPr>
          <w:ilvl w:val="0"/>
          <w:numId w:val="43"/>
        </w:numPr>
        <w:tabs>
          <w:tab w:val="left" w:pos="1300"/>
        </w:tabs>
        <w:ind w:left="1300" w:hanging="644"/>
        <w:rPr>
          <w:rFonts w:ascii="Arial" w:eastAsia="Arial" w:hAnsi="Arial" w:cs="Arial"/>
          <w:sz w:val="20"/>
          <w:szCs w:val="20"/>
        </w:rPr>
      </w:pPr>
      <w:r>
        <w:rPr>
          <w:rFonts w:ascii="Arial" w:eastAsia="Arial" w:hAnsi="Arial" w:cs="Arial"/>
          <w:sz w:val="20"/>
          <w:szCs w:val="20"/>
          <w:u w:val="single"/>
        </w:rPr>
        <w:t>Compensation and Related Matters.</w:t>
      </w:r>
    </w:p>
    <w:p w:rsidR="000728AD" w:rsidRDefault="000728AD">
      <w:pPr>
        <w:spacing w:line="215" w:lineRule="exact"/>
        <w:rPr>
          <w:rFonts w:ascii="Arial" w:eastAsia="Arial" w:hAnsi="Arial" w:cs="Arial"/>
          <w:sz w:val="20"/>
          <w:szCs w:val="20"/>
        </w:rPr>
      </w:pPr>
    </w:p>
    <w:p w:rsidR="000728AD" w:rsidRDefault="000561BE">
      <w:pPr>
        <w:numPr>
          <w:ilvl w:val="1"/>
          <w:numId w:val="43"/>
        </w:numPr>
        <w:tabs>
          <w:tab w:val="left" w:pos="1286"/>
        </w:tabs>
        <w:spacing w:line="246" w:lineRule="auto"/>
        <w:ind w:right="60" w:firstLine="980"/>
        <w:rPr>
          <w:rFonts w:ascii="Arial" w:eastAsia="Arial" w:hAnsi="Arial" w:cs="Arial"/>
          <w:sz w:val="20"/>
          <w:szCs w:val="20"/>
        </w:rPr>
      </w:pPr>
      <w:r>
        <w:rPr>
          <w:rFonts w:ascii="Arial" w:eastAsia="Arial" w:hAnsi="Arial" w:cs="Arial"/>
          <w:sz w:val="20"/>
          <w:szCs w:val="20"/>
          <w:u w:val="single"/>
        </w:rPr>
        <w:t>Base Salary</w:t>
      </w:r>
      <w:r>
        <w:rPr>
          <w:rFonts w:ascii="Arial" w:eastAsia="Arial" w:hAnsi="Arial" w:cs="Arial"/>
          <w:sz w:val="20"/>
          <w:szCs w:val="20"/>
        </w:rPr>
        <w:t>. During the Term, the Executive’s initial annual base salary shall be paid at the rate of $345,000 per year. The Executive’s base sa</w:t>
      </w:r>
      <w:r>
        <w:rPr>
          <w:rFonts w:ascii="Arial" w:eastAsia="Arial" w:hAnsi="Arial" w:cs="Arial"/>
          <w:sz w:val="20"/>
          <w:szCs w:val="20"/>
        </w:rPr>
        <w:t>lary shall be reviewed annually by the Board or the Compensation Committee of the Board (the “</w:t>
      </w:r>
      <w:r>
        <w:rPr>
          <w:rFonts w:ascii="Arial" w:eastAsia="Arial" w:hAnsi="Arial" w:cs="Arial"/>
          <w:sz w:val="20"/>
          <w:szCs w:val="20"/>
          <w:u w:val="single"/>
        </w:rPr>
        <w:t>Compensation</w:t>
      </w:r>
      <w:r>
        <w:rPr>
          <w:rFonts w:ascii="Arial" w:eastAsia="Arial" w:hAnsi="Arial" w:cs="Arial"/>
          <w:sz w:val="20"/>
          <w:szCs w:val="20"/>
        </w:rPr>
        <w:t xml:space="preserve"> </w:t>
      </w:r>
      <w:r>
        <w:rPr>
          <w:rFonts w:ascii="Arial" w:eastAsia="Arial" w:hAnsi="Arial" w:cs="Arial"/>
          <w:sz w:val="20"/>
          <w:szCs w:val="20"/>
          <w:u w:val="single"/>
        </w:rPr>
        <w:t>Committee</w:t>
      </w:r>
      <w:r>
        <w:rPr>
          <w:rFonts w:ascii="Arial" w:eastAsia="Arial" w:hAnsi="Arial" w:cs="Arial"/>
          <w:sz w:val="20"/>
          <w:szCs w:val="20"/>
        </w:rPr>
        <w:t>”). The base salary in effect at any given time is referred to herein as “</w:t>
      </w:r>
      <w:r>
        <w:rPr>
          <w:rFonts w:ascii="Arial" w:eastAsia="Arial" w:hAnsi="Arial" w:cs="Arial"/>
          <w:sz w:val="20"/>
          <w:szCs w:val="20"/>
          <w:u w:val="single"/>
        </w:rPr>
        <w:t>Base Salary</w:t>
      </w:r>
      <w:r>
        <w:rPr>
          <w:rFonts w:ascii="Arial" w:eastAsia="Arial" w:hAnsi="Arial" w:cs="Arial"/>
          <w:sz w:val="20"/>
          <w:szCs w:val="20"/>
        </w:rPr>
        <w:t>.” The Base Salary shall be payable in a manner that is</w:t>
      </w:r>
      <w:r>
        <w:rPr>
          <w:rFonts w:ascii="Arial" w:eastAsia="Arial" w:hAnsi="Arial" w:cs="Arial"/>
          <w:sz w:val="20"/>
          <w:szCs w:val="20"/>
        </w:rPr>
        <w:t xml:space="preserve"> consistent with the Company’s usual payroll practices for senior executives.</w:t>
      </w:r>
    </w:p>
    <w:p w:rsidR="000728AD" w:rsidRDefault="000728AD">
      <w:pPr>
        <w:spacing w:line="191" w:lineRule="exact"/>
        <w:rPr>
          <w:rFonts w:ascii="Arial" w:eastAsia="Arial" w:hAnsi="Arial" w:cs="Arial"/>
          <w:sz w:val="20"/>
          <w:szCs w:val="20"/>
        </w:rPr>
      </w:pPr>
    </w:p>
    <w:p w:rsidR="000728AD" w:rsidRDefault="000561BE">
      <w:pPr>
        <w:numPr>
          <w:ilvl w:val="1"/>
          <w:numId w:val="43"/>
        </w:numPr>
        <w:tabs>
          <w:tab w:val="left" w:pos="1284"/>
        </w:tabs>
        <w:spacing w:line="263" w:lineRule="auto"/>
        <w:ind w:right="160" w:firstLine="980"/>
        <w:rPr>
          <w:rFonts w:ascii="Arial" w:eastAsia="Arial" w:hAnsi="Arial" w:cs="Arial"/>
          <w:sz w:val="19"/>
          <w:szCs w:val="19"/>
        </w:rPr>
      </w:pPr>
      <w:r>
        <w:rPr>
          <w:rFonts w:ascii="Arial" w:eastAsia="Arial" w:hAnsi="Arial" w:cs="Arial"/>
          <w:sz w:val="19"/>
          <w:szCs w:val="19"/>
          <w:u w:val="single"/>
        </w:rPr>
        <w:t>Incentive Compensation</w:t>
      </w:r>
      <w:r>
        <w:rPr>
          <w:rFonts w:ascii="Arial" w:eastAsia="Arial" w:hAnsi="Arial" w:cs="Arial"/>
          <w:sz w:val="19"/>
          <w:szCs w:val="19"/>
        </w:rPr>
        <w:t>. During the Term, the Executive shall be eligible to receive cash incentive compensation as determined by the Board or the Compensation Committee in their</w:t>
      </w:r>
      <w:r>
        <w:rPr>
          <w:rFonts w:ascii="Arial" w:eastAsia="Arial" w:hAnsi="Arial" w:cs="Arial"/>
          <w:sz w:val="19"/>
          <w:szCs w:val="19"/>
        </w:rPr>
        <w:t xml:space="preserve"> sole discretion from time to time. The Executive’s target annual incentive compensation shall be 40% percent of the Base Salary (the “</w:t>
      </w:r>
      <w:r>
        <w:rPr>
          <w:rFonts w:ascii="Arial" w:eastAsia="Arial" w:hAnsi="Arial" w:cs="Arial"/>
          <w:sz w:val="19"/>
          <w:szCs w:val="19"/>
          <w:u w:val="single"/>
        </w:rPr>
        <w:t>Target Bonus</w:t>
      </w:r>
      <w:r>
        <w:rPr>
          <w:rFonts w:ascii="Arial" w:eastAsia="Arial" w:hAnsi="Arial" w:cs="Arial"/>
          <w:sz w:val="19"/>
          <w:szCs w:val="19"/>
        </w:rPr>
        <w:t>”). Except as otherwise provided herein, to earn incentive compensation, the Executive must be employed by th</w:t>
      </w:r>
      <w:r>
        <w:rPr>
          <w:rFonts w:ascii="Arial" w:eastAsia="Arial" w:hAnsi="Arial" w:cs="Arial"/>
          <w:sz w:val="19"/>
          <w:szCs w:val="19"/>
        </w:rPr>
        <w:t>e Company on the day such incentive compensation is paid.</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25" w:lineRule="exact"/>
        <w:rPr>
          <w:sz w:val="20"/>
          <w:szCs w:val="20"/>
        </w:rPr>
      </w:pPr>
    </w:p>
    <w:p w:rsidR="000728AD" w:rsidRDefault="000561BE">
      <w:pPr>
        <w:jc w:val="center"/>
        <w:rPr>
          <w:sz w:val="20"/>
          <w:szCs w:val="20"/>
        </w:rPr>
      </w:pPr>
      <w:r>
        <w:rPr>
          <w:rFonts w:ascii="Arial" w:eastAsia="Arial" w:hAnsi="Arial" w:cs="Arial"/>
        </w:rPr>
        <w:t>1</w:t>
      </w:r>
    </w:p>
    <w:p w:rsidR="000728AD" w:rsidRDefault="000728AD">
      <w:pPr>
        <w:sectPr w:rsidR="000728AD">
          <w:pgSz w:w="11900" w:h="16838"/>
          <w:pgMar w:top="118" w:right="339" w:bottom="1440" w:left="320" w:header="0" w:footer="0" w:gutter="0"/>
          <w:cols w:space="720" w:equalWidth="0">
            <w:col w:w="11240"/>
          </w:cols>
        </w:sectPr>
      </w:pPr>
    </w:p>
    <w:p w:rsidR="000728AD" w:rsidRDefault="000561BE">
      <w:pPr>
        <w:ind w:left="10220"/>
        <w:rPr>
          <w:sz w:val="20"/>
          <w:szCs w:val="20"/>
        </w:rPr>
      </w:pPr>
      <w:bookmarkStart w:id="102" w:name="page102"/>
      <w:bookmarkEnd w:id="102"/>
      <w:r>
        <w:rPr>
          <w:rFonts w:ascii="Arial" w:eastAsia="Arial" w:hAnsi="Arial" w:cs="Arial"/>
          <w:b/>
          <w:bCs/>
          <w:sz w:val="18"/>
          <w:szCs w:val="18"/>
        </w:rPr>
        <w:lastRenderedPageBreak/>
        <w:t>Exhibit 10.1</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96" w:lineRule="exact"/>
        <w:rPr>
          <w:sz w:val="20"/>
          <w:szCs w:val="20"/>
        </w:rPr>
      </w:pPr>
    </w:p>
    <w:p w:rsidR="000728AD" w:rsidRDefault="000561BE">
      <w:pPr>
        <w:numPr>
          <w:ilvl w:val="1"/>
          <w:numId w:val="44"/>
        </w:numPr>
        <w:tabs>
          <w:tab w:val="left" w:pos="1286"/>
        </w:tabs>
        <w:spacing w:line="250" w:lineRule="auto"/>
        <w:ind w:right="60" w:firstLine="980"/>
        <w:rPr>
          <w:rFonts w:ascii="Arial" w:eastAsia="Arial" w:hAnsi="Arial" w:cs="Arial"/>
          <w:sz w:val="20"/>
          <w:szCs w:val="20"/>
        </w:rPr>
      </w:pPr>
      <w:r>
        <w:rPr>
          <w:rFonts w:ascii="Arial" w:eastAsia="Arial" w:hAnsi="Arial" w:cs="Arial"/>
          <w:sz w:val="20"/>
          <w:szCs w:val="20"/>
          <w:u w:val="single"/>
        </w:rPr>
        <w:t>Expenses</w:t>
      </w:r>
      <w:r>
        <w:rPr>
          <w:rFonts w:ascii="Arial" w:eastAsia="Arial" w:hAnsi="Arial" w:cs="Arial"/>
          <w:sz w:val="20"/>
          <w:szCs w:val="20"/>
        </w:rPr>
        <w:t xml:space="preserve">. The Executive shall be entitled to receive prompt reimbursement for all reasonable expenses incurred by the Executive during the Term in </w:t>
      </w:r>
      <w:r>
        <w:rPr>
          <w:rFonts w:ascii="Arial" w:eastAsia="Arial" w:hAnsi="Arial" w:cs="Arial"/>
          <w:sz w:val="20"/>
          <w:szCs w:val="20"/>
        </w:rPr>
        <w:t>performing services hereunder, in accordance with the policies and procedures then in effect and established by the Company for its senior executives.</w:t>
      </w:r>
    </w:p>
    <w:p w:rsidR="000728AD" w:rsidRDefault="000728AD">
      <w:pPr>
        <w:spacing w:line="185" w:lineRule="exact"/>
        <w:rPr>
          <w:rFonts w:ascii="Arial" w:eastAsia="Arial" w:hAnsi="Arial" w:cs="Arial"/>
          <w:sz w:val="20"/>
          <w:szCs w:val="20"/>
        </w:rPr>
      </w:pPr>
    </w:p>
    <w:p w:rsidR="000728AD" w:rsidRDefault="000561BE">
      <w:pPr>
        <w:numPr>
          <w:ilvl w:val="1"/>
          <w:numId w:val="44"/>
        </w:numPr>
        <w:tabs>
          <w:tab w:val="left" w:pos="1284"/>
        </w:tabs>
        <w:spacing w:line="269" w:lineRule="auto"/>
        <w:ind w:right="180" w:firstLine="980"/>
        <w:rPr>
          <w:rFonts w:ascii="Arial" w:eastAsia="Arial" w:hAnsi="Arial" w:cs="Arial"/>
          <w:sz w:val="19"/>
          <w:szCs w:val="19"/>
        </w:rPr>
      </w:pPr>
      <w:r>
        <w:rPr>
          <w:rFonts w:ascii="Arial" w:eastAsia="Arial" w:hAnsi="Arial" w:cs="Arial"/>
          <w:sz w:val="19"/>
          <w:szCs w:val="19"/>
          <w:u w:val="single"/>
        </w:rPr>
        <w:t>Other Benefits</w:t>
      </w:r>
      <w:r>
        <w:rPr>
          <w:rFonts w:ascii="Arial" w:eastAsia="Arial" w:hAnsi="Arial" w:cs="Arial"/>
          <w:sz w:val="19"/>
          <w:szCs w:val="19"/>
        </w:rPr>
        <w:t>. During the Term, the Executive shall be eligible to participate in or receive benefits u</w:t>
      </w:r>
      <w:r>
        <w:rPr>
          <w:rFonts w:ascii="Arial" w:eastAsia="Arial" w:hAnsi="Arial" w:cs="Arial"/>
          <w:sz w:val="19"/>
          <w:szCs w:val="19"/>
        </w:rPr>
        <w:t xml:space="preserve">nder the Company’s policies and employee benefit plans in effect from time to time, subject to the terms of such policies and plans and to the Company’s ability to amend, modify, replace or terminate such policies and plans, including with respect to paid </w:t>
      </w:r>
      <w:r>
        <w:rPr>
          <w:rFonts w:ascii="Arial" w:eastAsia="Arial" w:hAnsi="Arial" w:cs="Arial"/>
          <w:sz w:val="19"/>
          <w:szCs w:val="19"/>
        </w:rPr>
        <w:t>time off.</w:t>
      </w:r>
    </w:p>
    <w:p w:rsidR="000728AD" w:rsidRDefault="000728AD">
      <w:pPr>
        <w:spacing w:line="169" w:lineRule="exact"/>
        <w:rPr>
          <w:rFonts w:ascii="Arial" w:eastAsia="Arial" w:hAnsi="Arial" w:cs="Arial"/>
          <w:sz w:val="19"/>
          <w:szCs w:val="19"/>
        </w:rPr>
      </w:pPr>
    </w:p>
    <w:p w:rsidR="000728AD" w:rsidRDefault="000561BE">
      <w:pPr>
        <w:numPr>
          <w:ilvl w:val="1"/>
          <w:numId w:val="44"/>
        </w:numPr>
        <w:tabs>
          <w:tab w:val="left" w:pos="1286"/>
        </w:tabs>
        <w:spacing w:line="307" w:lineRule="auto"/>
        <w:ind w:firstLine="980"/>
        <w:rPr>
          <w:rFonts w:ascii="Arial" w:eastAsia="Arial" w:hAnsi="Arial" w:cs="Arial"/>
          <w:sz w:val="16"/>
          <w:szCs w:val="16"/>
        </w:rPr>
      </w:pPr>
      <w:r>
        <w:rPr>
          <w:rFonts w:ascii="Arial" w:eastAsia="Arial" w:hAnsi="Arial" w:cs="Arial"/>
          <w:sz w:val="16"/>
          <w:szCs w:val="16"/>
          <w:u w:val="single"/>
        </w:rPr>
        <w:t>Equity</w:t>
      </w:r>
      <w:r>
        <w:rPr>
          <w:rFonts w:ascii="Arial" w:eastAsia="Arial" w:hAnsi="Arial" w:cs="Arial"/>
          <w:sz w:val="16"/>
          <w:szCs w:val="16"/>
        </w:rPr>
        <w:t>. Subject to approval by the Board promptly on or about the Effective Date, the Company shall grant Executive an option to purchase 140,000 shares of the Company’s Common Stock (“</w:t>
      </w:r>
      <w:r>
        <w:rPr>
          <w:rFonts w:ascii="Arial" w:eastAsia="Arial" w:hAnsi="Arial" w:cs="Arial"/>
          <w:sz w:val="16"/>
          <w:szCs w:val="16"/>
          <w:u w:val="single"/>
        </w:rPr>
        <w:t>Option Award</w:t>
      </w:r>
      <w:r>
        <w:rPr>
          <w:rFonts w:ascii="Arial" w:eastAsia="Arial" w:hAnsi="Arial" w:cs="Arial"/>
          <w:sz w:val="16"/>
          <w:szCs w:val="16"/>
        </w:rPr>
        <w:t>”), par value $0.001 per share (“</w:t>
      </w:r>
      <w:r>
        <w:rPr>
          <w:rFonts w:ascii="Arial" w:eastAsia="Arial" w:hAnsi="Arial" w:cs="Arial"/>
          <w:sz w:val="16"/>
          <w:szCs w:val="16"/>
          <w:u w:val="single"/>
        </w:rPr>
        <w:t>Shares</w:t>
      </w:r>
      <w:r>
        <w:rPr>
          <w:rFonts w:ascii="Arial" w:eastAsia="Arial" w:hAnsi="Arial" w:cs="Arial"/>
          <w:sz w:val="16"/>
          <w:szCs w:val="16"/>
        </w:rPr>
        <w:t>”) with a</w:t>
      </w:r>
      <w:r>
        <w:rPr>
          <w:rFonts w:ascii="Arial" w:eastAsia="Arial" w:hAnsi="Arial" w:cs="Arial"/>
          <w:sz w:val="16"/>
          <w:szCs w:val="16"/>
        </w:rPr>
        <w:t>n exercise price per Share equal to the closing trading price per share of the Company’s common stock on the Nasdaq Global Market (“</w:t>
      </w:r>
      <w:r>
        <w:rPr>
          <w:rFonts w:ascii="Arial" w:eastAsia="Arial" w:hAnsi="Arial" w:cs="Arial"/>
          <w:sz w:val="16"/>
          <w:szCs w:val="16"/>
          <w:u w:val="single"/>
        </w:rPr>
        <w:t>FMV</w:t>
      </w:r>
      <w:r>
        <w:rPr>
          <w:rFonts w:ascii="Arial" w:eastAsia="Arial" w:hAnsi="Arial" w:cs="Arial"/>
          <w:sz w:val="16"/>
          <w:szCs w:val="16"/>
        </w:rPr>
        <w:t>”) on the date the grant is approved by the Board (“</w:t>
      </w:r>
      <w:r>
        <w:rPr>
          <w:rFonts w:ascii="Arial" w:eastAsia="Arial" w:hAnsi="Arial" w:cs="Arial"/>
          <w:sz w:val="16"/>
          <w:szCs w:val="16"/>
          <w:u w:val="single"/>
        </w:rPr>
        <w:t>Grant Date</w:t>
      </w:r>
      <w:r>
        <w:rPr>
          <w:rFonts w:ascii="Arial" w:eastAsia="Arial" w:hAnsi="Arial" w:cs="Arial"/>
          <w:sz w:val="16"/>
          <w:szCs w:val="16"/>
        </w:rPr>
        <w:t>”), such Option Award and Performance Option Awards conditi</w:t>
      </w:r>
      <w:r>
        <w:rPr>
          <w:rFonts w:ascii="Arial" w:eastAsia="Arial" w:hAnsi="Arial" w:cs="Arial"/>
          <w:sz w:val="16"/>
          <w:szCs w:val="16"/>
        </w:rPr>
        <w:t>oned on Executive’s execution of this Agreement, and subject to the terms of and contingent upon Executive’s execution of a stock option award agreement issued pursuant to and under the terms of the Axcella Health Inc. 2019 Stock Option and Incentive Plan,</w:t>
      </w:r>
      <w:r>
        <w:rPr>
          <w:rFonts w:ascii="Arial" w:eastAsia="Arial" w:hAnsi="Arial" w:cs="Arial"/>
          <w:sz w:val="16"/>
          <w:szCs w:val="16"/>
        </w:rPr>
        <w:t xml:space="preserve"> as amended from time to time (the “</w:t>
      </w:r>
      <w:r>
        <w:rPr>
          <w:rFonts w:ascii="Arial" w:eastAsia="Arial" w:hAnsi="Arial" w:cs="Arial"/>
          <w:sz w:val="16"/>
          <w:szCs w:val="16"/>
          <w:u w:val="single"/>
        </w:rPr>
        <w:t>Stock Plan</w:t>
      </w:r>
      <w:r>
        <w:rPr>
          <w:rFonts w:ascii="Arial" w:eastAsia="Arial" w:hAnsi="Arial" w:cs="Arial"/>
          <w:sz w:val="16"/>
          <w:szCs w:val="16"/>
        </w:rPr>
        <w:t xml:space="preserve">”). To the extent permitted by law and subject to Board approval, the Option Award and any Performance Option Award shall be granted in the form of an incentive stock option meeting the requirements of Section </w:t>
      </w:r>
      <w:r>
        <w:rPr>
          <w:rFonts w:ascii="Arial" w:eastAsia="Arial" w:hAnsi="Arial" w:cs="Arial"/>
          <w:sz w:val="16"/>
          <w:szCs w:val="16"/>
        </w:rPr>
        <w:t>422 of the Code except to the extent that Executive directs that the Option Award or any Performance Option Award be granted in whole or in part in the form of a non-qualified stock option. Subject to final approval by the Board, the Option Award shall ves</w:t>
      </w:r>
      <w:r>
        <w:rPr>
          <w:rFonts w:ascii="Arial" w:eastAsia="Arial" w:hAnsi="Arial" w:cs="Arial"/>
          <w:sz w:val="16"/>
          <w:szCs w:val="16"/>
        </w:rPr>
        <w:t>t 25% on the first anniversary of the Effective Date, and the remaining 75% of the Option Award shall thereafter vest in equal installments on a quarterly basis on the last day of each complete quarter over a period of three years following such first anni</w:t>
      </w:r>
      <w:r>
        <w:rPr>
          <w:rFonts w:ascii="Arial" w:eastAsia="Arial" w:hAnsi="Arial" w:cs="Arial"/>
          <w:sz w:val="16"/>
          <w:szCs w:val="16"/>
        </w:rPr>
        <w:t>versary, provided that Executive remains employed by the Company on each vesting day.</w:t>
      </w:r>
    </w:p>
    <w:p w:rsidR="000728AD" w:rsidRDefault="000728AD">
      <w:pPr>
        <w:spacing w:line="381" w:lineRule="exact"/>
        <w:rPr>
          <w:rFonts w:ascii="Arial" w:eastAsia="Arial" w:hAnsi="Arial" w:cs="Arial"/>
          <w:sz w:val="16"/>
          <w:szCs w:val="16"/>
        </w:rPr>
      </w:pPr>
    </w:p>
    <w:p w:rsidR="000728AD" w:rsidRDefault="000561BE">
      <w:pPr>
        <w:numPr>
          <w:ilvl w:val="1"/>
          <w:numId w:val="44"/>
        </w:numPr>
        <w:tabs>
          <w:tab w:val="left" w:pos="1291"/>
        </w:tabs>
        <w:spacing w:line="250" w:lineRule="auto"/>
        <w:ind w:right="20" w:firstLine="980"/>
        <w:rPr>
          <w:rFonts w:ascii="Arial" w:eastAsia="Arial" w:hAnsi="Arial" w:cs="Arial"/>
          <w:sz w:val="20"/>
          <w:szCs w:val="20"/>
        </w:rPr>
      </w:pPr>
      <w:r>
        <w:rPr>
          <w:rFonts w:ascii="Arial" w:eastAsia="Arial" w:hAnsi="Arial" w:cs="Arial"/>
          <w:sz w:val="20"/>
          <w:szCs w:val="20"/>
        </w:rPr>
        <w:t xml:space="preserve">In the case of inconsistency between this Agreement, and the Stock Plan, the provisions of the Stock Plan shall govern; in the case of inconsistency between this </w:t>
      </w:r>
      <w:r>
        <w:rPr>
          <w:rFonts w:ascii="Arial" w:eastAsia="Arial" w:hAnsi="Arial" w:cs="Arial"/>
          <w:sz w:val="20"/>
          <w:szCs w:val="20"/>
        </w:rPr>
        <w:t>Agreement and any stock option award agreement, the provisions of the stock option agreement shall govern.</w:t>
      </w:r>
    </w:p>
    <w:p w:rsidR="000728AD" w:rsidRDefault="000728AD">
      <w:pPr>
        <w:spacing w:line="185" w:lineRule="exact"/>
        <w:rPr>
          <w:rFonts w:ascii="Arial" w:eastAsia="Arial" w:hAnsi="Arial" w:cs="Arial"/>
          <w:sz w:val="20"/>
          <w:szCs w:val="20"/>
        </w:rPr>
      </w:pPr>
    </w:p>
    <w:p w:rsidR="000728AD" w:rsidRDefault="000561BE">
      <w:pPr>
        <w:numPr>
          <w:ilvl w:val="1"/>
          <w:numId w:val="44"/>
        </w:numPr>
        <w:tabs>
          <w:tab w:val="left" w:pos="1284"/>
        </w:tabs>
        <w:spacing w:line="259" w:lineRule="auto"/>
        <w:ind w:right="20" w:firstLine="980"/>
        <w:rPr>
          <w:rFonts w:ascii="Arial" w:eastAsia="Arial" w:hAnsi="Arial" w:cs="Arial"/>
          <w:sz w:val="19"/>
          <w:szCs w:val="19"/>
        </w:rPr>
      </w:pPr>
      <w:r>
        <w:rPr>
          <w:rFonts w:ascii="Arial" w:eastAsia="Arial" w:hAnsi="Arial" w:cs="Arial"/>
          <w:sz w:val="19"/>
          <w:szCs w:val="19"/>
          <w:u w:val="single"/>
        </w:rPr>
        <w:t>Remote Working; Lodging</w:t>
      </w:r>
      <w:r>
        <w:rPr>
          <w:rFonts w:ascii="Arial" w:eastAsia="Arial" w:hAnsi="Arial" w:cs="Arial"/>
          <w:sz w:val="19"/>
          <w:szCs w:val="19"/>
        </w:rPr>
        <w:t>. Executive will be expected to work at Axcella’s office located in Cambridge, Massachusetts and may work remotely at times w</w:t>
      </w:r>
      <w:r>
        <w:rPr>
          <w:rFonts w:ascii="Arial" w:eastAsia="Arial" w:hAnsi="Arial" w:cs="Arial"/>
          <w:sz w:val="19"/>
          <w:szCs w:val="19"/>
        </w:rPr>
        <w:t>ith the approval of the CEO, which approval shall be at the CEO’s sole discretion, subject to any applicable laws and regulations, and any Axcella policies with respect to remote working then in effect. From time to time, situations may require that Execut</w:t>
      </w:r>
      <w:r>
        <w:rPr>
          <w:rFonts w:ascii="Arial" w:eastAsia="Arial" w:hAnsi="Arial" w:cs="Arial"/>
          <w:sz w:val="19"/>
          <w:szCs w:val="19"/>
        </w:rPr>
        <w:t>ive may stay overnight in lodging near Axcella’s office to enable her to perform her work obligations, as agreed with the CEO, and the Company will reimburse Executive for approved overnight lodging up to $600 per week. Note that depending on the circumsta</w:t>
      </w:r>
      <w:r>
        <w:rPr>
          <w:rFonts w:ascii="Arial" w:eastAsia="Arial" w:hAnsi="Arial" w:cs="Arial"/>
          <w:sz w:val="19"/>
          <w:szCs w:val="19"/>
        </w:rPr>
        <w:t>nces, such reimbursement may be deemed ordinary income to the Executive.</w:t>
      </w:r>
    </w:p>
    <w:p w:rsidR="000728AD" w:rsidRDefault="000728AD">
      <w:pPr>
        <w:spacing w:line="178" w:lineRule="exact"/>
        <w:rPr>
          <w:rFonts w:ascii="Arial" w:eastAsia="Arial" w:hAnsi="Arial" w:cs="Arial"/>
          <w:sz w:val="19"/>
          <w:szCs w:val="19"/>
        </w:rPr>
      </w:pPr>
    </w:p>
    <w:p w:rsidR="000728AD" w:rsidRDefault="000561BE">
      <w:pPr>
        <w:numPr>
          <w:ilvl w:val="1"/>
          <w:numId w:val="44"/>
        </w:numPr>
        <w:tabs>
          <w:tab w:val="left" w:pos="1284"/>
        </w:tabs>
        <w:spacing w:line="246" w:lineRule="auto"/>
        <w:ind w:right="140" w:firstLine="980"/>
        <w:jc w:val="both"/>
        <w:rPr>
          <w:rFonts w:ascii="Arial" w:eastAsia="Arial" w:hAnsi="Arial" w:cs="Arial"/>
          <w:sz w:val="20"/>
          <w:szCs w:val="20"/>
        </w:rPr>
      </w:pPr>
      <w:r>
        <w:rPr>
          <w:rFonts w:ascii="Arial" w:eastAsia="Arial" w:hAnsi="Arial" w:cs="Arial"/>
          <w:sz w:val="20"/>
          <w:szCs w:val="20"/>
          <w:u w:val="single"/>
        </w:rPr>
        <w:t>Withholding; Tax Effect</w:t>
      </w:r>
      <w:r>
        <w:rPr>
          <w:rFonts w:ascii="Arial" w:eastAsia="Arial" w:hAnsi="Arial" w:cs="Arial"/>
          <w:sz w:val="20"/>
          <w:szCs w:val="20"/>
        </w:rPr>
        <w:t xml:space="preserve">. All payments made by the Company to the Executive under this Agreement shall be net of any tax or other amounts required to be withheld by the Company under </w:t>
      </w:r>
      <w:r>
        <w:rPr>
          <w:rFonts w:ascii="Arial" w:eastAsia="Arial" w:hAnsi="Arial" w:cs="Arial"/>
          <w:sz w:val="20"/>
          <w:szCs w:val="20"/>
        </w:rPr>
        <w:t>applicable law. Nothing in this Agreement shall be construed to require the Company to make any payments to compensate the Executive for any adverse tax effect associated with any payments or benefits or for any deduction or withholding from any payment or</w:t>
      </w:r>
      <w:r>
        <w:rPr>
          <w:rFonts w:ascii="Arial" w:eastAsia="Arial" w:hAnsi="Arial" w:cs="Arial"/>
          <w:sz w:val="20"/>
          <w:szCs w:val="20"/>
        </w:rPr>
        <w:t xml:space="preserve"> benefit.</w:t>
      </w:r>
    </w:p>
    <w:p w:rsidR="000728AD" w:rsidRDefault="000728AD">
      <w:pPr>
        <w:spacing w:line="191" w:lineRule="exact"/>
        <w:rPr>
          <w:rFonts w:ascii="Arial" w:eastAsia="Arial" w:hAnsi="Arial" w:cs="Arial"/>
          <w:sz w:val="20"/>
          <w:szCs w:val="20"/>
        </w:rPr>
      </w:pPr>
    </w:p>
    <w:p w:rsidR="000728AD" w:rsidRDefault="000561BE">
      <w:pPr>
        <w:numPr>
          <w:ilvl w:val="0"/>
          <w:numId w:val="45"/>
        </w:numPr>
        <w:tabs>
          <w:tab w:val="left" w:pos="1296"/>
        </w:tabs>
        <w:spacing w:line="260" w:lineRule="auto"/>
        <w:ind w:right="720" w:firstLine="656"/>
        <w:rPr>
          <w:rFonts w:ascii="Arial" w:eastAsia="Arial" w:hAnsi="Arial" w:cs="Arial"/>
          <w:sz w:val="20"/>
          <w:szCs w:val="20"/>
        </w:rPr>
      </w:pPr>
      <w:r>
        <w:rPr>
          <w:rFonts w:ascii="Arial" w:eastAsia="Arial" w:hAnsi="Arial" w:cs="Arial"/>
          <w:sz w:val="20"/>
          <w:szCs w:val="20"/>
          <w:u w:val="single"/>
        </w:rPr>
        <w:t>Termination</w:t>
      </w:r>
      <w:r>
        <w:rPr>
          <w:rFonts w:ascii="Arial" w:eastAsia="Arial" w:hAnsi="Arial" w:cs="Arial"/>
          <w:sz w:val="20"/>
          <w:szCs w:val="20"/>
        </w:rPr>
        <w:t>. During the Term, the Executive’s employment hereunder may be terminated without any breach of this Agreement under the following circumstances:</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25" w:lineRule="exact"/>
        <w:rPr>
          <w:sz w:val="20"/>
          <w:szCs w:val="20"/>
        </w:rPr>
      </w:pPr>
    </w:p>
    <w:p w:rsidR="000728AD" w:rsidRDefault="000561BE">
      <w:pPr>
        <w:jc w:val="center"/>
        <w:rPr>
          <w:sz w:val="20"/>
          <w:szCs w:val="20"/>
        </w:rPr>
      </w:pPr>
      <w:r>
        <w:rPr>
          <w:rFonts w:ascii="Arial" w:eastAsia="Arial" w:hAnsi="Arial" w:cs="Arial"/>
        </w:rPr>
        <w:t>2</w:t>
      </w:r>
    </w:p>
    <w:p w:rsidR="000728AD" w:rsidRDefault="000728AD">
      <w:pPr>
        <w:sectPr w:rsidR="000728AD">
          <w:pgSz w:w="11900" w:h="16838"/>
          <w:pgMar w:top="115" w:right="339" w:bottom="1440" w:left="320" w:header="0" w:footer="0" w:gutter="0"/>
          <w:cols w:space="720" w:equalWidth="0">
            <w:col w:w="11240"/>
          </w:cols>
        </w:sectPr>
      </w:pPr>
    </w:p>
    <w:p w:rsidR="000728AD" w:rsidRDefault="000561BE">
      <w:pPr>
        <w:jc w:val="right"/>
        <w:rPr>
          <w:sz w:val="20"/>
          <w:szCs w:val="20"/>
        </w:rPr>
      </w:pPr>
      <w:bookmarkStart w:id="103" w:name="page103"/>
      <w:bookmarkEnd w:id="103"/>
      <w:r>
        <w:rPr>
          <w:rFonts w:ascii="Arial" w:eastAsia="Arial" w:hAnsi="Arial" w:cs="Arial"/>
          <w:b/>
          <w:bCs/>
          <w:sz w:val="20"/>
          <w:szCs w:val="20"/>
        </w:rPr>
        <w:lastRenderedPageBreak/>
        <w:t>Exhibit 10.1</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73" w:lineRule="exact"/>
        <w:rPr>
          <w:sz w:val="20"/>
          <w:szCs w:val="20"/>
        </w:rPr>
      </w:pPr>
    </w:p>
    <w:p w:rsidR="000728AD" w:rsidRDefault="000561BE">
      <w:pPr>
        <w:numPr>
          <w:ilvl w:val="0"/>
          <w:numId w:val="46"/>
        </w:numPr>
        <w:tabs>
          <w:tab w:val="left" w:pos="1300"/>
        </w:tabs>
        <w:ind w:left="1300" w:hanging="320"/>
        <w:rPr>
          <w:rFonts w:ascii="Arial" w:eastAsia="Arial" w:hAnsi="Arial" w:cs="Arial"/>
          <w:sz w:val="20"/>
          <w:szCs w:val="20"/>
        </w:rPr>
      </w:pPr>
      <w:r>
        <w:rPr>
          <w:rFonts w:ascii="Arial" w:eastAsia="Arial" w:hAnsi="Arial" w:cs="Arial"/>
          <w:sz w:val="20"/>
          <w:szCs w:val="20"/>
          <w:u w:val="single"/>
        </w:rPr>
        <w:t>Death</w:t>
      </w:r>
      <w:r>
        <w:rPr>
          <w:rFonts w:ascii="Arial" w:eastAsia="Arial" w:hAnsi="Arial" w:cs="Arial"/>
          <w:sz w:val="20"/>
          <w:szCs w:val="20"/>
        </w:rPr>
        <w:t xml:space="preserve">. The Executive’s </w:t>
      </w:r>
      <w:r>
        <w:rPr>
          <w:rFonts w:ascii="Arial" w:eastAsia="Arial" w:hAnsi="Arial" w:cs="Arial"/>
          <w:sz w:val="20"/>
          <w:szCs w:val="20"/>
        </w:rPr>
        <w:t>employment hereunder shall terminate upon her death.</w:t>
      </w:r>
    </w:p>
    <w:p w:rsidR="000728AD" w:rsidRDefault="000728AD">
      <w:pPr>
        <w:spacing w:line="215" w:lineRule="exact"/>
        <w:rPr>
          <w:rFonts w:ascii="Arial" w:eastAsia="Arial" w:hAnsi="Arial" w:cs="Arial"/>
          <w:sz w:val="20"/>
          <w:szCs w:val="20"/>
        </w:rPr>
      </w:pPr>
    </w:p>
    <w:p w:rsidR="000728AD" w:rsidRDefault="000561BE">
      <w:pPr>
        <w:numPr>
          <w:ilvl w:val="0"/>
          <w:numId w:val="46"/>
        </w:numPr>
        <w:tabs>
          <w:tab w:val="left" w:pos="1284"/>
        </w:tabs>
        <w:spacing w:line="270" w:lineRule="auto"/>
        <w:ind w:right="80" w:firstLine="980"/>
        <w:rPr>
          <w:rFonts w:ascii="Arial" w:eastAsia="Arial" w:hAnsi="Arial" w:cs="Arial"/>
          <w:sz w:val="18"/>
          <w:szCs w:val="18"/>
        </w:rPr>
      </w:pPr>
      <w:r>
        <w:rPr>
          <w:rFonts w:ascii="Arial" w:eastAsia="Arial" w:hAnsi="Arial" w:cs="Arial"/>
          <w:sz w:val="18"/>
          <w:szCs w:val="18"/>
          <w:u w:val="single"/>
        </w:rPr>
        <w:t>Disability</w:t>
      </w:r>
      <w:r>
        <w:rPr>
          <w:rFonts w:ascii="Arial" w:eastAsia="Arial" w:hAnsi="Arial" w:cs="Arial"/>
          <w:sz w:val="18"/>
          <w:szCs w:val="18"/>
        </w:rPr>
        <w:t>. The Company may terminate the Executive’s employment if she is disabled and unable to perform the essential functions of the Executive’s then existing position or positions under this Agreement with or without reasonable accommodation for a period of 180</w:t>
      </w:r>
      <w:r>
        <w:rPr>
          <w:rFonts w:ascii="Arial" w:eastAsia="Arial" w:hAnsi="Arial" w:cs="Arial"/>
          <w:sz w:val="18"/>
          <w:szCs w:val="18"/>
        </w:rPr>
        <w:t xml:space="preserve"> days (which need not be consecutive) in any 12-month period. If any question shall arise as to whether during any period the Executive is disabled so as to be unable to perform the essential functions of the Executive’s then existing position or positions</w:t>
      </w:r>
      <w:r>
        <w:rPr>
          <w:rFonts w:ascii="Arial" w:eastAsia="Arial" w:hAnsi="Arial" w:cs="Arial"/>
          <w:sz w:val="18"/>
          <w:szCs w:val="18"/>
        </w:rPr>
        <w:t xml:space="preserve"> with or without reasonable accommodation, the Executive may, and at the request of the Company shall, submit to the Company a certification in reasonable detail by a physician selected by the Company to whom the Executive or the Executive’s guardian has n</w:t>
      </w:r>
      <w:r>
        <w:rPr>
          <w:rFonts w:ascii="Arial" w:eastAsia="Arial" w:hAnsi="Arial" w:cs="Arial"/>
          <w:sz w:val="18"/>
          <w:szCs w:val="18"/>
        </w:rPr>
        <w:t>o reasonable objection as to whether the Executive is so disabled or how long such disability is expected to continue, and such certification shall for the purposes of this Agreement be conclusive of the issue. The Executive shall cooperate with any reason</w:t>
      </w:r>
      <w:r>
        <w:rPr>
          <w:rFonts w:ascii="Arial" w:eastAsia="Arial" w:hAnsi="Arial" w:cs="Arial"/>
          <w:sz w:val="18"/>
          <w:szCs w:val="18"/>
        </w:rPr>
        <w:t>able request of the physician in connection with such certification. If such question shall arise and the Executive shall fail to submit such certification, the Company’s determination of such issue shall be binding on the Executive. Nothing in this Sectio</w:t>
      </w:r>
      <w:r>
        <w:rPr>
          <w:rFonts w:ascii="Arial" w:eastAsia="Arial" w:hAnsi="Arial" w:cs="Arial"/>
          <w:sz w:val="18"/>
          <w:szCs w:val="18"/>
        </w:rPr>
        <w:t xml:space="preserve">n 3(b) shall be construed to waive the Executive’s rights, if any, under existing law including, without limitation, the Family and Medical Leave Act of 1993, 29 U.S.C. §2601 </w:t>
      </w:r>
      <w:r>
        <w:rPr>
          <w:rFonts w:ascii="Arial" w:eastAsia="Arial" w:hAnsi="Arial" w:cs="Arial"/>
          <w:i/>
          <w:iCs/>
          <w:sz w:val="18"/>
          <w:szCs w:val="18"/>
        </w:rPr>
        <w:t>et seq</w:t>
      </w:r>
      <w:r>
        <w:rPr>
          <w:rFonts w:ascii="Arial" w:eastAsia="Arial" w:hAnsi="Arial" w:cs="Arial"/>
          <w:sz w:val="18"/>
          <w:szCs w:val="18"/>
        </w:rPr>
        <w:t xml:space="preserve">. and the Americans with Disabilities Act, 42 U.S.C. §12101 </w:t>
      </w:r>
      <w:r>
        <w:rPr>
          <w:rFonts w:ascii="Arial" w:eastAsia="Arial" w:hAnsi="Arial" w:cs="Arial"/>
          <w:i/>
          <w:iCs/>
          <w:sz w:val="18"/>
          <w:szCs w:val="18"/>
        </w:rPr>
        <w:t>et seq.</w:t>
      </w:r>
      <w:r>
        <w:rPr>
          <w:rFonts w:ascii="Arial" w:eastAsia="Arial" w:hAnsi="Arial" w:cs="Arial"/>
          <w:sz w:val="18"/>
          <w:szCs w:val="18"/>
        </w:rPr>
        <w:t xml:space="preserve"> :</w:t>
      </w:r>
    </w:p>
    <w:p w:rsidR="000728AD" w:rsidRDefault="000728AD">
      <w:pPr>
        <w:spacing w:line="175" w:lineRule="exact"/>
        <w:rPr>
          <w:rFonts w:ascii="Arial" w:eastAsia="Arial" w:hAnsi="Arial" w:cs="Arial"/>
          <w:sz w:val="18"/>
          <w:szCs w:val="18"/>
        </w:rPr>
      </w:pPr>
    </w:p>
    <w:p w:rsidR="000728AD" w:rsidRDefault="000561BE">
      <w:pPr>
        <w:numPr>
          <w:ilvl w:val="0"/>
          <w:numId w:val="46"/>
        </w:numPr>
        <w:tabs>
          <w:tab w:val="left" w:pos="1286"/>
        </w:tabs>
        <w:spacing w:line="269" w:lineRule="auto"/>
        <w:ind w:right="20" w:firstLine="980"/>
        <w:rPr>
          <w:rFonts w:ascii="Arial" w:eastAsia="Arial" w:hAnsi="Arial" w:cs="Arial"/>
          <w:sz w:val="18"/>
          <w:szCs w:val="18"/>
        </w:rPr>
      </w:pPr>
      <w:r>
        <w:rPr>
          <w:rFonts w:ascii="Arial" w:eastAsia="Arial" w:hAnsi="Arial" w:cs="Arial"/>
          <w:sz w:val="18"/>
          <w:szCs w:val="18"/>
          <w:u w:val="single"/>
        </w:rPr>
        <w:t>Term</w:t>
      </w:r>
      <w:r>
        <w:rPr>
          <w:rFonts w:ascii="Arial" w:eastAsia="Arial" w:hAnsi="Arial" w:cs="Arial"/>
          <w:sz w:val="18"/>
          <w:szCs w:val="18"/>
          <w:u w:val="single"/>
        </w:rPr>
        <w:t>ination by Company for Cause</w:t>
      </w:r>
      <w:r>
        <w:rPr>
          <w:rFonts w:ascii="Arial" w:eastAsia="Arial" w:hAnsi="Arial" w:cs="Arial"/>
          <w:sz w:val="18"/>
          <w:szCs w:val="18"/>
        </w:rPr>
        <w:t>. The Company may terminate the Executive’s employment hereunder for Cause. For purposes of this Agreement, “Cause” shall mean: (i) conduct by the Executive constituting a material act of misconduct in connection with the perfor</w:t>
      </w:r>
      <w:r>
        <w:rPr>
          <w:rFonts w:ascii="Arial" w:eastAsia="Arial" w:hAnsi="Arial" w:cs="Arial"/>
          <w:sz w:val="18"/>
          <w:szCs w:val="18"/>
        </w:rPr>
        <w:t>mance of her duties, including, without limitation, misappropriation of funds or property of the Company or any of its subsidiaries or affiliates other than the occasional, customary and de minimis use of Company property for personal purposes; (ii) the co</w:t>
      </w:r>
      <w:r>
        <w:rPr>
          <w:rFonts w:ascii="Arial" w:eastAsia="Arial" w:hAnsi="Arial" w:cs="Arial"/>
          <w:sz w:val="18"/>
          <w:szCs w:val="18"/>
        </w:rPr>
        <w:t>mmission by the Executive of any felony or a misdemeanor involving moral turpitude, deceit, dishonesty or fraud, or any conduct by the Executive that would reasonably be expected to result in material injury or reputational harm to the Company or any of it</w:t>
      </w:r>
      <w:r>
        <w:rPr>
          <w:rFonts w:ascii="Arial" w:eastAsia="Arial" w:hAnsi="Arial" w:cs="Arial"/>
          <w:sz w:val="18"/>
          <w:szCs w:val="18"/>
        </w:rPr>
        <w:t>s subsidiaries and affiliates if she were retained in her position; (iii) willful or negligent failure to perform a material responsibility (other than by reason of the Executive’s physical or mental illness, incapacity or disability) as reasonably determi</w:t>
      </w:r>
      <w:r>
        <w:rPr>
          <w:rFonts w:ascii="Arial" w:eastAsia="Arial" w:hAnsi="Arial" w:cs="Arial"/>
          <w:sz w:val="18"/>
          <w:szCs w:val="18"/>
        </w:rPr>
        <w:t>ned in good faith by the CEO, which has continued for not less than 30 days following written notice from the CEO that identifies the unsatisfactory performance; (iv) a breach by the Executive of any of the provisions contained in the Restrictive Covenants</w:t>
      </w:r>
      <w:r>
        <w:rPr>
          <w:rFonts w:ascii="Arial" w:eastAsia="Arial" w:hAnsi="Arial" w:cs="Arial"/>
          <w:sz w:val="18"/>
          <w:szCs w:val="18"/>
        </w:rPr>
        <w:t xml:space="preserve"> Agreement (as defined below); (v) a material violation by the Executive of the Company’s written employment policies; or (vi) failure to cooperate with a bona fide internal investigation or an investigation by regulatory or law enforcement authorities, af</w:t>
      </w:r>
      <w:r>
        <w:rPr>
          <w:rFonts w:ascii="Arial" w:eastAsia="Arial" w:hAnsi="Arial" w:cs="Arial"/>
          <w:sz w:val="18"/>
          <w:szCs w:val="18"/>
        </w:rPr>
        <w:t>ter being instructed by the Company to cooperate, or the willful destruction or failure to preserve documents or other materials known to be relevant to such investigation or after receipt of a legal notice to preserve documents or other materials or the i</w:t>
      </w:r>
      <w:r>
        <w:rPr>
          <w:rFonts w:ascii="Arial" w:eastAsia="Arial" w:hAnsi="Arial" w:cs="Arial"/>
          <w:sz w:val="18"/>
          <w:szCs w:val="18"/>
        </w:rPr>
        <w:t>nducement of others to fail to cooperate or to produce documents or other materials in connection with such investigation or after receipt of a legal notice to preserve documents or other materials.</w:t>
      </w:r>
    </w:p>
    <w:p w:rsidR="000728AD" w:rsidRDefault="000728AD">
      <w:pPr>
        <w:spacing w:line="178" w:lineRule="exact"/>
        <w:rPr>
          <w:rFonts w:ascii="Arial" w:eastAsia="Arial" w:hAnsi="Arial" w:cs="Arial"/>
          <w:sz w:val="18"/>
          <w:szCs w:val="18"/>
        </w:rPr>
      </w:pPr>
    </w:p>
    <w:p w:rsidR="000728AD" w:rsidRDefault="000561BE">
      <w:pPr>
        <w:numPr>
          <w:ilvl w:val="0"/>
          <w:numId w:val="46"/>
        </w:numPr>
        <w:tabs>
          <w:tab w:val="left" w:pos="1284"/>
        </w:tabs>
        <w:spacing w:line="246" w:lineRule="auto"/>
        <w:ind w:right="80" w:firstLine="980"/>
        <w:rPr>
          <w:rFonts w:ascii="Arial" w:eastAsia="Arial" w:hAnsi="Arial" w:cs="Arial"/>
          <w:sz w:val="20"/>
          <w:szCs w:val="20"/>
        </w:rPr>
      </w:pPr>
      <w:r>
        <w:rPr>
          <w:rFonts w:ascii="Arial" w:eastAsia="Arial" w:hAnsi="Arial" w:cs="Arial"/>
          <w:sz w:val="20"/>
          <w:szCs w:val="20"/>
          <w:u w:val="single"/>
        </w:rPr>
        <w:t>Termination without Cause</w:t>
      </w:r>
      <w:r>
        <w:rPr>
          <w:rFonts w:ascii="Arial" w:eastAsia="Arial" w:hAnsi="Arial" w:cs="Arial"/>
          <w:sz w:val="20"/>
          <w:szCs w:val="20"/>
        </w:rPr>
        <w:t>. The Company may terminate the</w:t>
      </w:r>
      <w:r>
        <w:rPr>
          <w:rFonts w:ascii="Arial" w:eastAsia="Arial" w:hAnsi="Arial" w:cs="Arial"/>
          <w:sz w:val="20"/>
          <w:szCs w:val="20"/>
        </w:rPr>
        <w:t xml:space="preserve"> Executive’s employment hereunder at any time without Cause. Any termination by the Company of the Executive’s employment under this Agreement which does not constitute a termination for Cause under Section 3(c) and does not result from the death or disabi</w:t>
      </w:r>
      <w:r>
        <w:rPr>
          <w:rFonts w:ascii="Arial" w:eastAsia="Arial" w:hAnsi="Arial" w:cs="Arial"/>
          <w:sz w:val="20"/>
          <w:szCs w:val="20"/>
        </w:rPr>
        <w:t>lity of the Executive under Section 3(a) or (b) shall be deemed a termination without Cause.</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39" w:lineRule="exact"/>
        <w:rPr>
          <w:sz w:val="20"/>
          <w:szCs w:val="20"/>
        </w:rPr>
      </w:pPr>
    </w:p>
    <w:p w:rsidR="000728AD" w:rsidRDefault="000561BE">
      <w:pPr>
        <w:jc w:val="center"/>
        <w:rPr>
          <w:sz w:val="20"/>
          <w:szCs w:val="20"/>
        </w:rPr>
      </w:pPr>
      <w:r>
        <w:rPr>
          <w:rFonts w:ascii="Arial" w:eastAsia="Arial" w:hAnsi="Arial" w:cs="Arial"/>
        </w:rPr>
        <w:t>3</w:t>
      </w:r>
    </w:p>
    <w:p w:rsidR="000728AD" w:rsidRDefault="000728AD">
      <w:pPr>
        <w:sectPr w:rsidR="000728AD">
          <w:pgSz w:w="11900" w:h="16838"/>
          <w:pgMar w:top="115" w:right="339" w:bottom="1440" w:left="320" w:header="0" w:footer="0" w:gutter="0"/>
          <w:cols w:space="720" w:equalWidth="0">
            <w:col w:w="11240"/>
          </w:cols>
        </w:sectPr>
      </w:pPr>
    </w:p>
    <w:p w:rsidR="000728AD" w:rsidRDefault="000561BE">
      <w:pPr>
        <w:jc w:val="right"/>
        <w:rPr>
          <w:sz w:val="20"/>
          <w:szCs w:val="20"/>
        </w:rPr>
      </w:pPr>
      <w:bookmarkStart w:id="104" w:name="page104"/>
      <w:bookmarkEnd w:id="104"/>
      <w:r>
        <w:rPr>
          <w:rFonts w:ascii="Arial" w:eastAsia="Arial" w:hAnsi="Arial" w:cs="Arial"/>
          <w:b/>
          <w:bCs/>
          <w:sz w:val="20"/>
          <w:szCs w:val="20"/>
        </w:rPr>
        <w:lastRenderedPageBreak/>
        <w:t>Exhibit 10.1</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73" w:lineRule="exact"/>
        <w:rPr>
          <w:sz w:val="20"/>
          <w:szCs w:val="20"/>
        </w:rPr>
      </w:pPr>
    </w:p>
    <w:p w:rsidR="000728AD" w:rsidRDefault="000561BE">
      <w:pPr>
        <w:numPr>
          <w:ilvl w:val="1"/>
          <w:numId w:val="47"/>
        </w:numPr>
        <w:tabs>
          <w:tab w:val="left" w:pos="1286"/>
        </w:tabs>
        <w:spacing w:line="268" w:lineRule="auto"/>
        <w:ind w:right="20" w:firstLine="980"/>
        <w:rPr>
          <w:rFonts w:ascii="Arial" w:eastAsia="Arial" w:hAnsi="Arial" w:cs="Arial"/>
          <w:sz w:val="18"/>
          <w:szCs w:val="18"/>
        </w:rPr>
      </w:pPr>
      <w:r>
        <w:rPr>
          <w:rFonts w:ascii="Arial" w:eastAsia="Arial" w:hAnsi="Arial" w:cs="Arial"/>
          <w:sz w:val="18"/>
          <w:szCs w:val="18"/>
          <w:u w:val="single"/>
        </w:rPr>
        <w:t>Termination by the Executive</w:t>
      </w:r>
      <w:r>
        <w:rPr>
          <w:rFonts w:ascii="Arial" w:eastAsia="Arial" w:hAnsi="Arial" w:cs="Arial"/>
          <w:sz w:val="18"/>
          <w:szCs w:val="18"/>
        </w:rPr>
        <w:t xml:space="preserve">. The Executive may terminate her employment hereunder at any time for any reason, </w:t>
      </w:r>
      <w:r>
        <w:rPr>
          <w:rFonts w:ascii="Arial" w:eastAsia="Arial" w:hAnsi="Arial" w:cs="Arial"/>
          <w:sz w:val="18"/>
          <w:szCs w:val="18"/>
        </w:rPr>
        <w:t>including but not limited to Good Reason. For purposes of this Agreement, “</w:t>
      </w:r>
      <w:r>
        <w:rPr>
          <w:rFonts w:ascii="Arial" w:eastAsia="Arial" w:hAnsi="Arial" w:cs="Arial"/>
          <w:sz w:val="18"/>
          <w:szCs w:val="18"/>
          <w:u w:val="single"/>
        </w:rPr>
        <w:t>Good Reason</w:t>
      </w:r>
      <w:r>
        <w:rPr>
          <w:rFonts w:ascii="Arial" w:eastAsia="Arial" w:hAnsi="Arial" w:cs="Arial"/>
          <w:sz w:val="18"/>
          <w:szCs w:val="18"/>
        </w:rPr>
        <w:t>” shall mean that the Executive has complied with the “</w:t>
      </w:r>
      <w:r>
        <w:rPr>
          <w:rFonts w:ascii="Arial" w:eastAsia="Arial" w:hAnsi="Arial" w:cs="Arial"/>
          <w:sz w:val="18"/>
          <w:szCs w:val="18"/>
          <w:u w:val="single"/>
        </w:rPr>
        <w:t>Good</w:t>
      </w:r>
      <w:r>
        <w:rPr>
          <w:rFonts w:ascii="Arial" w:eastAsia="Arial" w:hAnsi="Arial" w:cs="Arial"/>
          <w:sz w:val="18"/>
          <w:szCs w:val="18"/>
        </w:rPr>
        <w:t xml:space="preserve"> </w:t>
      </w:r>
      <w:r>
        <w:rPr>
          <w:rFonts w:ascii="Arial" w:eastAsia="Arial" w:hAnsi="Arial" w:cs="Arial"/>
          <w:sz w:val="18"/>
          <w:szCs w:val="18"/>
          <w:u w:val="single"/>
        </w:rPr>
        <w:t>Reason Process</w:t>
      </w:r>
      <w:r>
        <w:rPr>
          <w:rFonts w:ascii="Arial" w:eastAsia="Arial" w:hAnsi="Arial" w:cs="Arial"/>
          <w:sz w:val="18"/>
          <w:szCs w:val="18"/>
        </w:rPr>
        <w:t xml:space="preserve">” (hereinafter defined) following the occurrence of any of the following events: (i) a material </w:t>
      </w:r>
      <w:r>
        <w:rPr>
          <w:rFonts w:ascii="Arial" w:eastAsia="Arial" w:hAnsi="Arial" w:cs="Arial"/>
          <w:sz w:val="18"/>
          <w:szCs w:val="18"/>
        </w:rPr>
        <w:t>diminution in the Executive’s responsibilities, authority or duties; (ii) a material diminution in the Executive’s Base Salary except for across-the-board salary reductions based on the Company’s financial performance similarly affecting all or substantial</w:t>
      </w:r>
      <w:r>
        <w:rPr>
          <w:rFonts w:ascii="Arial" w:eastAsia="Arial" w:hAnsi="Arial" w:cs="Arial"/>
          <w:sz w:val="18"/>
          <w:szCs w:val="18"/>
        </w:rPr>
        <w:t>ly all senior management employees of the Company; (iii) a material change in the geographic location at which the Executive provides services to the Company (relocation of the Company’s office that results in an increase in Executive’s one-way driving dis</w:t>
      </w:r>
      <w:r>
        <w:rPr>
          <w:rFonts w:ascii="Arial" w:eastAsia="Arial" w:hAnsi="Arial" w:cs="Arial"/>
          <w:sz w:val="18"/>
          <w:szCs w:val="18"/>
        </w:rPr>
        <w:t>tance by more than 50 miles from Executive’s then current principal residence is deemed to be a material change); or (iv) the material breach of this Agreement by the Company. “</w:t>
      </w:r>
      <w:r>
        <w:rPr>
          <w:rFonts w:ascii="Arial" w:eastAsia="Arial" w:hAnsi="Arial" w:cs="Arial"/>
          <w:sz w:val="18"/>
          <w:szCs w:val="18"/>
          <w:u w:val="single"/>
        </w:rPr>
        <w:t>Good Reason Process</w:t>
      </w:r>
      <w:r>
        <w:rPr>
          <w:rFonts w:ascii="Arial" w:eastAsia="Arial" w:hAnsi="Arial" w:cs="Arial"/>
          <w:sz w:val="18"/>
          <w:szCs w:val="18"/>
        </w:rPr>
        <w:t>” shall mean that</w:t>
      </w:r>
    </w:p>
    <w:p w:rsidR="000728AD" w:rsidRDefault="000728AD">
      <w:pPr>
        <w:spacing w:line="2" w:lineRule="exact"/>
        <w:rPr>
          <w:rFonts w:ascii="Arial" w:eastAsia="Arial" w:hAnsi="Arial" w:cs="Arial"/>
          <w:sz w:val="18"/>
          <w:szCs w:val="18"/>
        </w:rPr>
      </w:pPr>
    </w:p>
    <w:p w:rsidR="000728AD" w:rsidRDefault="000561BE">
      <w:pPr>
        <w:numPr>
          <w:ilvl w:val="0"/>
          <w:numId w:val="48"/>
        </w:numPr>
        <w:tabs>
          <w:tab w:val="left" w:pos="236"/>
        </w:tabs>
        <w:ind w:right="60" w:firstLine="8"/>
        <w:jc w:val="both"/>
        <w:rPr>
          <w:rFonts w:ascii="Arial" w:eastAsia="Arial" w:hAnsi="Arial" w:cs="Arial"/>
          <w:sz w:val="20"/>
          <w:szCs w:val="20"/>
        </w:rPr>
      </w:pPr>
      <w:r>
        <w:rPr>
          <w:rFonts w:ascii="Arial" w:eastAsia="Arial" w:hAnsi="Arial" w:cs="Arial"/>
          <w:sz w:val="20"/>
          <w:szCs w:val="20"/>
        </w:rPr>
        <w:t xml:space="preserve">the Executive reasonably </w:t>
      </w:r>
      <w:r>
        <w:rPr>
          <w:rFonts w:ascii="Arial" w:eastAsia="Arial" w:hAnsi="Arial" w:cs="Arial"/>
          <w:sz w:val="20"/>
          <w:szCs w:val="20"/>
        </w:rPr>
        <w:t>determines in good faith that a “Good Reason” event has occurred; (ii) the Executive notifies the Company in writing of the first occurrence of the Good Reason event within 60 days of the first occurrence of such event; (iii) the Executive reasonably coope</w:t>
      </w:r>
      <w:r>
        <w:rPr>
          <w:rFonts w:ascii="Arial" w:eastAsia="Arial" w:hAnsi="Arial" w:cs="Arial"/>
          <w:sz w:val="20"/>
          <w:szCs w:val="20"/>
        </w:rPr>
        <w:t>rates in good faith with the Company’s efforts, for a period not less than 30 days following such notice (the “</w:t>
      </w:r>
      <w:r>
        <w:rPr>
          <w:rFonts w:ascii="Arial" w:eastAsia="Arial" w:hAnsi="Arial" w:cs="Arial"/>
          <w:sz w:val="20"/>
          <w:szCs w:val="20"/>
          <w:u w:val="single"/>
        </w:rPr>
        <w:t>Cure Period</w:t>
      </w:r>
      <w:r>
        <w:rPr>
          <w:rFonts w:ascii="Arial" w:eastAsia="Arial" w:hAnsi="Arial" w:cs="Arial"/>
          <w:sz w:val="20"/>
          <w:szCs w:val="20"/>
        </w:rPr>
        <w:t>”), to remedy the event; (iv) notwithstanding such efforts, the Good Reason condition continues to exist; and (v) the Executive termin</w:t>
      </w:r>
      <w:r>
        <w:rPr>
          <w:rFonts w:ascii="Arial" w:eastAsia="Arial" w:hAnsi="Arial" w:cs="Arial"/>
          <w:sz w:val="20"/>
          <w:szCs w:val="20"/>
        </w:rPr>
        <w:t>ates her employment within 60 days after the end of the Cure Period. If the Company cures the Good Reason condition during the Cure Period, Good Reason shall be deemed not to have occurred.</w:t>
      </w:r>
    </w:p>
    <w:p w:rsidR="000728AD" w:rsidRDefault="000728AD">
      <w:pPr>
        <w:spacing w:line="197" w:lineRule="exact"/>
        <w:rPr>
          <w:rFonts w:ascii="Arial" w:eastAsia="Arial" w:hAnsi="Arial" w:cs="Arial"/>
          <w:sz w:val="20"/>
          <w:szCs w:val="20"/>
        </w:rPr>
      </w:pPr>
    </w:p>
    <w:p w:rsidR="000728AD" w:rsidRDefault="000561BE">
      <w:pPr>
        <w:numPr>
          <w:ilvl w:val="1"/>
          <w:numId w:val="48"/>
        </w:numPr>
        <w:tabs>
          <w:tab w:val="left" w:pos="1291"/>
        </w:tabs>
        <w:spacing w:line="246" w:lineRule="auto"/>
        <w:ind w:right="80" w:firstLine="980"/>
        <w:rPr>
          <w:rFonts w:ascii="Arial" w:eastAsia="Arial" w:hAnsi="Arial" w:cs="Arial"/>
          <w:sz w:val="20"/>
          <w:szCs w:val="20"/>
        </w:rPr>
      </w:pPr>
      <w:r>
        <w:rPr>
          <w:rFonts w:ascii="Arial" w:eastAsia="Arial" w:hAnsi="Arial" w:cs="Arial"/>
          <w:sz w:val="20"/>
          <w:szCs w:val="20"/>
          <w:u w:val="single"/>
        </w:rPr>
        <w:t>Notice of Termination</w:t>
      </w:r>
      <w:r>
        <w:rPr>
          <w:rFonts w:ascii="Arial" w:eastAsia="Arial" w:hAnsi="Arial" w:cs="Arial"/>
          <w:sz w:val="20"/>
          <w:szCs w:val="20"/>
        </w:rPr>
        <w:t>. Except for termination as specified in Sec</w:t>
      </w:r>
      <w:r>
        <w:rPr>
          <w:rFonts w:ascii="Arial" w:eastAsia="Arial" w:hAnsi="Arial" w:cs="Arial"/>
          <w:sz w:val="20"/>
          <w:szCs w:val="20"/>
        </w:rPr>
        <w:t>tion 3(a), any termination of the Executive’s employment by the Company or any such termination by the Executive shall be communicated by written Notice of Termination to the other party hereto. For purposes of this Agreement, a “</w:t>
      </w:r>
      <w:r>
        <w:rPr>
          <w:rFonts w:ascii="Arial" w:eastAsia="Arial" w:hAnsi="Arial" w:cs="Arial"/>
          <w:sz w:val="20"/>
          <w:szCs w:val="20"/>
          <w:u w:val="single"/>
        </w:rPr>
        <w:t>Notice of Termination</w:t>
      </w:r>
      <w:r>
        <w:rPr>
          <w:rFonts w:ascii="Arial" w:eastAsia="Arial" w:hAnsi="Arial" w:cs="Arial"/>
          <w:sz w:val="20"/>
          <w:szCs w:val="20"/>
        </w:rPr>
        <w:t>” sha</w:t>
      </w:r>
      <w:r>
        <w:rPr>
          <w:rFonts w:ascii="Arial" w:eastAsia="Arial" w:hAnsi="Arial" w:cs="Arial"/>
          <w:sz w:val="20"/>
          <w:szCs w:val="20"/>
        </w:rPr>
        <w:t>ll mean a notice which shall indicate the specific termination provision in this Agreement relied upon.</w:t>
      </w:r>
    </w:p>
    <w:p w:rsidR="000728AD" w:rsidRDefault="000728AD">
      <w:pPr>
        <w:spacing w:line="191" w:lineRule="exact"/>
        <w:rPr>
          <w:rFonts w:ascii="Arial" w:eastAsia="Arial" w:hAnsi="Arial" w:cs="Arial"/>
          <w:sz w:val="20"/>
          <w:szCs w:val="20"/>
        </w:rPr>
      </w:pPr>
    </w:p>
    <w:p w:rsidR="000728AD" w:rsidRDefault="000561BE">
      <w:pPr>
        <w:numPr>
          <w:ilvl w:val="1"/>
          <w:numId w:val="48"/>
        </w:numPr>
        <w:tabs>
          <w:tab w:val="left" w:pos="1284"/>
        </w:tabs>
        <w:spacing w:line="270" w:lineRule="auto"/>
        <w:ind w:right="20" w:firstLine="980"/>
        <w:rPr>
          <w:rFonts w:ascii="Arial" w:eastAsia="Arial" w:hAnsi="Arial" w:cs="Arial"/>
          <w:sz w:val="18"/>
          <w:szCs w:val="18"/>
        </w:rPr>
      </w:pPr>
      <w:r>
        <w:rPr>
          <w:rFonts w:ascii="Arial" w:eastAsia="Arial" w:hAnsi="Arial" w:cs="Arial"/>
          <w:sz w:val="18"/>
          <w:szCs w:val="18"/>
          <w:u w:val="single"/>
        </w:rPr>
        <w:t>Date of Termination</w:t>
      </w:r>
      <w:r>
        <w:rPr>
          <w:rFonts w:ascii="Arial" w:eastAsia="Arial" w:hAnsi="Arial" w:cs="Arial"/>
          <w:sz w:val="18"/>
          <w:szCs w:val="18"/>
        </w:rPr>
        <w:t xml:space="preserve">. “Date of Termination” shall mean: (i) if the Executive’s employment is terminated by her death, the date of her death; (ii) if </w:t>
      </w:r>
      <w:r>
        <w:rPr>
          <w:rFonts w:ascii="Arial" w:eastAsia="Arial" w:hAnsi="Arial" w:cs="Arial"/>
          <w:sz w:val="18"/>
          <w:szCs w:val="18"/>
        </w:rPr>
        <w:t>the Executive’s employment is terminated on account of disability under Section 3(b) or by the Company for Cause under Section 3(c), the date on which Notice of Termination is given; (iii) if the Executive’s employment is terminated by the Company under Se</w:t>
      </w:r>
      <w:r>
        <w:rPr>
          <w:rFonts w:ascii="Arial" w:eastAsia="Arial" w:hAnsi="Arial" w:cs="Arial"/>
          <w:sz w:val="18"/>
          <w:szCs w:val="18"/>
        </w:rPr>
        <w:t xml:space="preserve">ction 3(d), the date on which a Notice of Termination is given or the date otherwise specified by the Company in the Notice of Termination; (iv) if the Executive’s employment is terminated by the Executive under Section 3(e) other than for Good Reason, 30 </w:t>
      </w:r>
      <w:r>
        <w:rPr>
          <w:rFonts w:ascii="Arial" w:eastAsia="Arial" w:hAnsi="Arial" w:cs="Arial"/>
          <w:sz w:val="18"/>
          <w:szCs w:val="18"/>
        </w:rPr>
        <w:t>days after the date on which a Notice of Termination is given unless the Company agrees to a shorter time period at the Executive’s request, in which case the last sentence of this Section 3(g) shall not apply, and (v) if the Executive’s employment is term</w:t>
      </w:r>
      <w:r>
        <w:rPr>
          <w:rFonts w:ascii="Arial" w:eastAsia="Arial" w:hAnsi="Arial" w:cs="Arial"/>
          <w:sz w:val="18"/>
          <w:szCs w:val="18"/>
        </w:rPr>
        <w:t>inated by the Executive under Section 3(e) for Good Reason, the date on which a Notice of Termination is given after the end of the Cure Period. Notwithstanding the foregoing, in the event that the Executive gives a Notice of Termination to the Company, th</w:t>
      </w:r>
      <w:r>
        <w:rPr>
          <w:rFonts w:ascii="Arial" w:eastAsia="Arial" w:hAnsi="Arial" w:cs="Arial"/>
          <w:sz w:val="18"/>
          <w:szCs w:val="18"/>
        </w:rPr>
        <w:t>e Company may unilaterally accelerate the Date of Termination and such acceleration shall not result in a termination by the Company for purposes of this Agreement; provided, however, the Company shall continue to provide Executive with the compensation an</w:t>
      </w:r>
      <w:r>
        <w:rPr>
          <w:rFonts w:ascii="Arial" w:eastAsia="Arial" w:hAnsi="Arial" w:cs="Arial"/>
          <w:sz w:val="18"/>
          <w:szCs w:val="18"/>
        </w:rPr>
        <w:t xml:space="preserve">d benefits under Section 2 above and Executive shall continue to vest under any existing option agreement or other stock-based award agreement through the Date of Termination specified in the Notice of Termination as if Executive had remained employed and </w:t>
      </w:r>
      <w:r>
        <w:rPr>
          <w:rFonts w:ascii="Arial" w:eastAsia="Arial" w:hAnsi="Arial" w:cs="Arial"/>
          <w:sz w:val="18"/>
          <w:szCs w:val="18"/>
        </w:rPr>
        <w:t>the Company had not unilaterally accelerated the Date of Termination.</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21" w:lineRule="exact"/>
        <w:rPr>
          <w:sz w:val="20"/>
          <w:szCs w:val="20"/>
        </w:rPr>
      </w:pPr>
    </w:p>
    <w:p w:rsidR="000728AD" w:rsidRDefault="000561BE">
      <w:pPr>
        <w:jc w:val="center"/>
        <w:rPr>
          <w:sz w:val="20"/>
          <w:szCs w:val="20"/>
        </w:rPr>
      </w:pPr>
      <w:r>
        <w:rPr>
          <w:rFonts w:ascii="Arial" w:eastAsia="Arial" w:hAnsi="Arial" w:cs="Arial"/>
        </w:rPr>
        <w:t>4</w:t>
      </w:r>
    </w:p>
    <w:p w:rsidR="000728AD" w:rsidRDefault="000728AD">
      <w:pPr>
        <w:sectPr w:rsidR="000728AD">
          <w:pgSz w:w="11900" w:h="16838"/>
          <w:pgMar w:top="115" w:right="339" w:bottom="1440" w:left="320" w:header="0" w:footer="0" w:gutter="0"/>
          <w:cols w:space="720" w:equalWidth="0">
            <w:col w:w="11240"/>
          </w:cols>
        </w:sectPr>
      </w:pPr>
    </w:p>
    <w:p w:rsidR="000728AD" w:rsidRDefault="000561BE">
      <w:pPr>
        <w:jc w:val="right"/>
        <w:rPr>
          <w:sz w:val="20"/>
          <w:szCs w:val="20"/>
        </w:rPr>
      </w:pPr>
      <w:bookmarkStart w:id="105" w:name="page105"/>
      <w:bookmarkEnd w:id="105"/>
      <w:r>
        <w:rPr>
          <w:rFonts w:ascii="Arial" w:eastAsia="Arial" w:hAnsi="Arial" w:cs="Arial"/>
          <w:b/>
          <w:bCs/>
          <w:sz w:val="20"/>
          <w:szCs w:val="20"/>
        </w:rPr>
        <w:lastRenderedPageBreak/>
        <w:t>Exhibit 10.1</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73" w:lineRule="exact"/>
        <w:rPr>
          <w:sz w:val="20"/>
          <w:szCs w:val="20"/>
        </w:rPr>
      </w:pPr>
    </w:p>
    <w:p w:rsidR="000728AD" w:rsidRDefault="000561BE">
      <w:pPr>
        <w:numPr>
          <w:ilvl w:val="0"/>
          <w:numId w:val="49"/>
        </w:numPr>
        <w:tabs>
          <w:tab w:val="left" w:pos="1296"/>
        </w:tabs>
        <w:spacing w:line="259" w:lineRule="auto"/>
        <w:ind w:right="200" w:firstLine="656"/>
        <w:rPr>
          <w:rFonts w:ascii="Arial" w:eastAsia="Arial" w:hAnsi="Arial" w:cs="Arial"/>
          <w:sz w:val="19"/>
          <w:szCs w:val="19"/>
        </w:rPr>
      </w:pPr>
      <w:r>
        <w:rPr>
          <w:rFonts w:ascii="Arial" w:eastAsia="Arial" w:hAnsi="Arial" w:cs="Arial"/>
          <w:sz w:val="19"/>
          <w:szCs w:val="19"/>
          <w:u w:val="single"/>
        </w:rPr>
        <w:t>Termination Generally</w:t>
      </w:r>
      <w:r>
        <w:rPr>
          <w:rFonts w:ascii="Arial" w:eastAsia="Arial" w:hAnsi="Arial" w:cs="Arial"/>
          <w:sz w:val="19"/>
          <w:szCs w:val="19"/>
        </w:rPr>
        <w:t xml:space="preserve">. If the Executive’s employment with the Company is terminated for any reason, the Company shall pay or provide to the </w:t>
      </w:r>
      <w:r>
        <w:rPr>
          <w:rFonts w:ascii="Arial" w:eastAsia="Arial" w:hAnsi="Arial" w:cs="Arial"/>
          <w:sz w:val="19"/>
          <w:szCs w:val="19"/>
        </w:rPr>
        <w:t>Executive (or to her authorized representative or estate) (i) any Base Salary earned through the Date of Termination, unpaid expense reimbursements (subject to, and in accordance with, Section 2(c) of this Agreement) on or before the time required by law b</w:t>
      </w:r>
      <w:r>
        <w:rPr>
          <w:rFonts w:ascii="Arial" w:eastAsia="Arial" w:hAnsi="Arial" w:cs="Arial"/>
          <w:sz w:val="19"/>
          <w:szCs w:val="19"/>
        </w:rPr>
        <w:t>ut in no event more than 30 days after the Executive’s Date of Termination; and (ii) any vested benefits the Executive may have under any employee benefit plan of the Company through the Date of Termination, which vested benefits shall be paid and/or provi</w:t>
      </w:r>
      <w:r>
        <w:rPr>
          <w:rFonts w:ascii="Arial" w:eastAsia="Arial" w:hAnsi="Arial" w:cs="Arial"/>
          <w:sz w:val="19"/>
          <w:szCs w:val="19"/>
        </w:rPr>
        <w:t>ded in accordance with the terms of such employee benefit plans (collectively, the “Accrued Benefit”).</w:t>
      </w:r>
    </w:p>
    <w:p w:rsidR="000728AD" w:rsidRDefault="000728AD">
      <w:pPr>
        <w:spacing w:line="178" w:lineRule="exact"/>
        <w:rPr>
          <w:rFonts w:ascii="Arial" w:eastAsia="Arial" w:hAnsi="Arial" w:cs="Arial"/>
          <w:sz w:val="19"/>
          <w:szCs w:val="19"/>
        </w:rPr>
      </w:pPr>
    </w:p>
    <w:p w:rsidR="000728AD" w:rsidRDefault="000561BE">
      <w:pPr>
        <w:numPr>
          <w:ilvl w:val="0"/>
          <w:numId w:val="49"/>
        </w:numPr>
        <w:tabs>
          <w:tab w:val="left" w:pos="1296"/>
        </w:tabs>
        <w:spacing w:line="255" w:lineRule="auto"/>
        <w:ind w:right="40" w:firstLine="656"/>
        <w:rPr>
          <w:rFonts w:ascii="Arial" w:eastAsia="Arial" w:hAnsi="Arial" w:cs="Arial"/>
          <w:sz w:val="19"/>
          <w:szCs w:val="19"/>
        </w:rPr>
      </w:pPr>
      <w:r>
        <w:rPr>
          <w:rFonts w:ascii="Arial" w:eastAsia="Arial" w:hAnsi="Arial" w:cs="Arial"/>
          <w:sz w:val="19"/>
          <w:szCs w:val="19"/>
          <w:u w:val="single"/>
        </w:rPr>
        <w:t>Termination by the Company without Cause or by the Executive for Good Reason</w:t>
      </w:r>
      <w:r>
        <w:rPr>
          <w:rFonts w:ascii="Arial" w:eastAsia="Arial" w:hAnsi="Arial" w:cs="Arial"/>
          <w:sz w:val="19"/>
          <w:szCs w:val="19"/>
        </w:rPr>
        <w:t xml:space="preserve">. During the Term, if the Executive’s employment is terminated by the </w:t>
      </w:r>
      <w:r>
        <w:rPr>
          <w:rFonts w:ascii="Arial" w:eastAsia="Arial" w:hAnsi="Arial" w:cs="Arial"/>
          <w:sz w:val="19"/>
          <w:szCs w:val="19"/>
        </w:rPr>
        <w:t>Company without Cause as provided in Section 3(d), or the Executive terminates her employment for Good Reason as provided in Section 3(e), then the Company shall pay the Executive the Accrued Benefit. In addition, subject to the Executive (i) signing a sep</w:t>
      </w:r>
      <w:r>
        <w:rPr>
          <w:rFonts w:ascii="Arial" w:eastAsia="Arial" w:hAnsi="Arial" w:cs="Arial"/>
          <w:sz w:val="19"/>
          <w:szCs w:val="19"/>
        </w:rPr>
        <w:t>aration agreement and release in a form and manner satisfactory to the Company, which shall include, without limitation, a general release of claims in favor of the Company and related persons and entities, a reaffirmation of the Executive’s post-employmen</w:t>
      </w:r>
      <w:r>
        <w:rPr>
          <w:rFonts w:ascii="Arial" w:eastAsia="Arial" w:hAnsi="Arial" w:cs="Arial"/>
          <w:sz w:val="19"/>
          <w:szCs w:val="19"/>
        </w:rPr>
        <w:t>t obligations as set forth in this Agreement, and in the Company’s sole discretion, a one year noncompetition agreement that includes restrictions no more extensive than the restrictions in Section 8(c) of the Restrictive Covenants Agreement, and shall pro</w:t>
      </w:r>
      <w:r>
        <w:rPr>
          <w:rFonts w:ascii="Arial" w:eastAsia="Arial" w:hAnsi="Arial" w:cs="Arial"/>
          <w:sz w:val="19"/>
          <w:szCs w:val="19"/>
        </w:rPr>
        <w:t>vide that, if the Executive breaches any of the post-employment obligations, all payment of the Severance Amount shall immediately cease (the “Separation Agreement and Release”), and (ii) the Separation Agreement and Release becoming irrevocable, all withi</w:t>
      </w:r>
      <w:r>
        <w:rPr>
          <w:rFonts w:ascii="Arial" w:eastAsia="Arial" w:hAnsi="Arial" w:cs="Arial"/>
          <w:sz w:val="19"/>
          <w:szCs w:val="19"/>
        </w:rPr>
        <w:t>n 60 days after the Date of Termination:</w:t>
      </w:r>
    </w:p>
    <w:p w:rsidR="000728AD" w:rsidRDefault="000728AD">
      <w:pPr>
        <w:spacing w:line="189" w:lineRule="exact"/>
        <w:rPr>
          <w:rFonts w:ascii="Arial" w:eastAsia="Arial" w:hAnsi="Arial" w:cs="Arial"/>
          <w:sz w:val="19"/>
          <w:szCs w:val="19"/>
        </w:rPr>
      </w:pPr>
    </w:p>
    <w:p w:rsidR="000728AD" w:rsidRDefault="000561BE">
      <w:pPr>
        <w:numPr>
          <w:ilvl w:val="1"/>
          <w:numId w:val="49"/>
        </w:numPr>
        <w:tabs>
          <w:tab w:val="left" w:pos="1286"/>
        </w:tabs>
        <w:spacing w:line="263" w:lineRule="auto"/>
        <w:ind w:right="200" w:firstLine="980"/>
        <w:rPr>
          <w:rFonts w:ascii="Arial" w:eastAsia="Arial" w:hAnsi="Arial" w:cs="Arial"/>
          <w:sz w:val="19"/>
          <w:szCs w:val="19"/>
        </w:rPr>
      </w:pPr>
      <w:r>
        <w:rPr>
          <w:rFonts w:ascii="Arial" w:eastAsia="Arial" w:hAnsi="Arial" w:cs="Arial"/>
          <w:sz w:val="19"/>
          <w:szCs w:val="19"/>
        </w:rPr>
        <w:t>the Company shall pay the Executive an amount equal to nine (9) months of the Executive’s Base Salary (the “</w:t>
      </w:r>
      <w:r>
        <w:rPr>
          <w:rFonts w:ascii="Arial" w:eastAsia="Arial" w:hAnsi="Arial" w:cs="Arial"/>
          <w:sz w:val="19"/>
          <w:szCs w:val="19"/>
          <w:u w:val="single"/>
        </w:rPr>
        <w:t>Severance</w:t>
      </w:r>
      <w:r>
        <w:rPr>
          <w:rFonts w:ascii="Arial" w:eastAsia="Arial" w:hAnsi="Arial" w:cs="Arial"/>
          <w:sz w:val="19"/>
          <w:szCs w:val="19"/>
        </w:rPr>
        <w:t xml:space="preserve"> </w:t>
      </w:r>
      <w:r>
        <w:rPr>
          <w:rFonts w:ascii="Arial" w:eastAsia="Arial" w:hAnsi="Arial" w:cs="Arial"/>
          <w:sz w:val="19"/>
          <w:szCs w:val="19"/>
          <w:u w:val="single"/>
        </w:rPr>
        <w:t>Amount</w:t>
      </w:r>
      <w:r>
        <w:rPr>
          <w:rFonts w:ascii="Arial" w:eastAsia="Arial" w:hAnsi="Arial" w:cs="Arial"/>
          <w:sz w:val="19"/>
          <w:szCs w:val="19"/>
        </w:rPr>
        <w:t xml:space="preserve">”), provided in the event the Executive is entitled to any payments pursuant to the </w:t>
      </w:r>
      <w:r>
        <w:rPr>
          <w:rFonts w:ascii="Arial" w:eastAsia="Arial" w:hAnsi="Arial" w:cs="Arial"/>
          <w:sz w:val="19"/>
          <w:szCs w:val="19"/>
        </w:rPr>
        <w:t>Restrictive Covenants Agreement, the Severance Amount received in any calendar year will be reduced by the amount the Executive is paid in the same such calendar year pursuant to the Restrictive Covenants Agreement (the “</w:t>
      </w:r>
      <w:r>
        <w:rPr>
          <w:rFonts w:ascii="Arial" w:eastAsia="Arial" w:hAnsi="Arial" w:cs="Arial"/>
          <w:sz w:val="19"/>
          <w:szCs w:val="19"/>
          <w:u w:val="single"/>
        </w:rPr>
        <w:t>Restrictive Covenants Agreement Set</w:t>
      </w:r>
      <w:r>
        <w:rPr>
          <w:rFonts w:ascii="Arial" w:eastAsia="Arial" w:hAnsi="Arial" w:cs="Arial"/>
          <w:sz w:val="19"/>
          <w:szCs w:val="19"/>
          <w:u w:val="single"/>
        </w:rPr>
        <w:t>off</w:t>
      </w:r>
      <w:r>
        <w:rPr>
          <w:rFonts w:ascii="Arial" w:eastAsia="Arial" w:hAnsi="Arial" w:cs="Arial"/>
          <w:sz w:val="19"/>
          <w:szCs w:val="19"/>
        </w:rPr>
        <w:t>”); and</w:t>
      </w:r>
    </w:p>
    <w:p w:rsidR="000728AD" w:rsidRDefault="000728AD">
      <w:pPr>
        <w:spacing w:line="176" w:lineRule="exact"/>
        <w:rPr>
          <w:rFonts w:ascii="Arial" w:eastAsia="Arial" w:hAnsi="Arial" w:cs="Arial"/>
          <w:sz w:val="19"/>
          <w:szCs w:val="19"/>
        </w:rPr>
      </w:pPr>
    </w:p>
    <w:p w:rsidR="000728AD" w:rsidRDefault="000561BE">
      <w:pPr>
        <w:numPr>
          <w:ilvl w:val="1"/>
          <w:numId w:val="49"/>
        </w:numPr>
        <w:tabs>
          <w:tab w:val="left" w:pos="1284"/>
        </w:tabs>
        <w:spacing w:line="271" w:lineRule="auto"/>
        <w:ind w:right="20" w:firstLine="980"/>
        <w:rPr>
          <w:rFonts w:ascii="Arial" w:eastAsia="Arial" w:hAnsi="Arial" w:cs="Arial"/>
          <w:sz w:val="18"/>
          <w:szCs w:val="18"/>
        </w:rPr>
      </w:pPr>
      <w:r>
        <w:rPr>
          <w:rFonts w:ascii="Arial" w:eastAsia="Arial" w:hAnsi="Arial" w:cs="Arial"/>
          <w:sz w:val="18"/>
          <w:szCs w:val="18"/>
        </w:rPr>
        <w:t>subject to the Executive’s copayment of premium amounts at the active employees’ rate and the Executive’s proper election to receive benefits under the Consolidated Omnibus Budget Reconciliation Act of 1985, as amended (“</w:t>
      </w:r>
      <w:r>
        <w:rPr>
          <w:rFonts w:ascii="Arial" w:eastAsia="Arial" w:hAnsi="Arial" w:cs="Arial"/>
          <w:sz w:val="18"/>
          <w:szCs w:val="18"/>
          <w:u w:val="single"/>
        </w:rPr>
        <w:t>COBRA</w:t>
      </w:r>
      <w:r>
        <w:rPr>
          <w:rFonts w:ascii="Arial" w:eastAsia="Arial" w:hAnsi="Arial" w:cs="Arial"/>
          <w:sz w:val="18"/>
          <w:szCs w:val="18"/>
        </w:rPr>
        <w:t>”), the Company sh</w:t>
      </w:r>
      <w:r>
        <w:rPr>
          <w:rFonts w:ascii="Arial" w:eastAsia="Arial" w:hAnsi="Arial" w:cs="Arial"/>
          <w:sz w:val="18"/>
          <w:szCs w:val="18"/>
        </w:rPr>
        <w:t>all pay the monthly employer contribution that the Company would have made to provide health insurance to the Executive if the Executive had remained employed by the Company until the earliest of (A) the nine (9) month anniversary of the Date of Terminatio</w:t>
      </w:r>
      <w:r>
        <w:rPr>
          <w:rFonts w:ascii="Arial" w:eastAsia="Arial" w:hAnsi="Arial" w:cs="Arial"/>
          <w:sz w:val="18"/>
          <w:szCs w:val="18"/>
        </w:rPr>
        <w:t xml:space="preserve">n; (B) the Executive’s eligibility for group medical plan benefits under any other employer’s group medical plan; or (C) the cessation of the Executive’s continuation rights under COBRA; </w:t>
      </w:r>
      <w:r>
        <w:rPr>
          <w:rFonts w:ascii="Arial" w:eastAsia="Arial" w:hAnsi="Arial" w:cs="Arial"/>
          <w:i/>
          <w:iCs/>
          <w:sz w:val="18"/>
          <w:szCs w:val="18"/>
        </w:rPr>
        <w:t>provided</w:t>
      </w:r>
      <w:r>
        <w:rPr>
          <w:rFonts w:ascii="Arial" w:eastAsia="Arial" w:hAnsi="Arial" w:cs="Arial"/>
          <w:sz w:val="18"/>
          <w:szCs w:val="18"/>
        </w:rPr>
        <w:t xml:space="preserve">, </w:t>
      </w:r>
      <w:r>
        <w:rPr>
          <w:rFonts w:ascii="Arial" w:eastAsia="Arial" w:hAnsi="Arial" w:cs="Arial"/>
          <w:i/>
          <w:iCs/>
          <w:sz w:val="18"/>
          <w:szCs w:val="18"/>
        </w:rPr>
        <w:t>however</w:t>
      </w:r>
      <w:r>
        <w:rPr>
          <w:rFonts w:ascii="Arial" w:eastAsia="Arial" w:hAnsi="Arial" w:cs="Arial"/>
          <w:sz w:val="18"/>
          <w:szCs w:val="18"/>
        </w:rPr>
        <w:t xml:space="preserve">, if the Company determines that it cannot pay such </w:t>
      </w:r>
      <w:r>
        <w:rPr>
          <w:rFonts w:ascii="Arial" w:eastAsia="Arial" w:hAnsi="Arial" w:cs="Arial"/>
          <w:sz w:val="18"/>
          <w:szCs w:val="18"/>
        </w:rPr>
        <w:t>amounts without potentially violating applicable law (including, without limitation, Section 2716 of the Public Health Service Act), then the Company will convert such payments to payroll payments directly to the Executive for the time period specified abo</w:t>
      </w:r>
      <w:r>
        <w:rPr>
          <w:rFonts w:ascii="Arial" w:eastAsia="Arial" w:hAnsi="Arial" w:cs="Arial"/>
          <w:sz w:val="18"/>
          <w:szCs w:val="18"/>
        </w:rPr>
        <w:t>ve. Such payments shall be subject to tax-related deductions and withholdings and paid on the Company’s regular payroll dates. For the avoidance of doubt, the taxable payments described above may be used for any purpose, including, but not limited to, cont</w:t>
      </w:r>
      <w:r>
        <w:rPr>
          <w:rFonts w:ascii="Arial" w:eastAsia="Arial" w:hAnsi="Arial" w:cs="Arial"/>
          <w:sz w:val="18"/>
          <w:szCs w:val="18"/>
        </w:rPr>
        <w:t>inuation coverage under COBRA.</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22" w:lineRule="exact"/>
        <w:rPr>
          <w:sz w:val="20"/>
          <w:szCs w:val="20"/>
        </w:rPr>
      </w:pPr>
    </w:p>
    <w:p w:rsidR="000728AD" w:rsidRDefault="000561BE">
      <w:pPr>
        <w:jc w:val="center"/>
        <w:rPr>
          <w:sz w:val="20"/>
          <w:szCs w:val="20"/>
        </w:rPr>
      </w:pPr>
      <w:r>
        <w:rPr>
          <w:rFonts w:ascii="Arial" w:eastAsia="Arial" w:hAnsi="Arial" w:cs="Arial"/>
        </w:rPr>
        <w:t>5</w:t>
      </w:r>
    </w:p>
    <w:p w:rsidR="000728AD" w:rsidRDefault="000728AD">
      <w:pPr>
        <w:sectPr w:rsidR="000728AD">
          <w:pgSz w:w="11900" w:h="16838"/>
          <w:pgMar w:top="115" w:right="339" w:bottom="1440" w:left="320" w:header="0" w:footer="0" w:gutter="0"/>
          <w:cols w:space="720" w:equalWidth="0">
            <w:col w:w="11240"/>
          </w:cols>
        </w:sectPr>
      </w:pPr>
    </w:p>
    <w:p w:rsidR="000728AD" w:rsidRDefault="000561BE">
      <w:pPr>
        <w:jc w:val="right"/>
        <w:rPr>
          <w:sz w:val="20"/>
          <w:szCs w:val="20"/>
        </w:rPr>
      </w:pPr>
      <w:bookmarkStart w:id="106" w:name="page106"/>
      <w:bookmarkEnd w:id="106"/>
      <w:r>
        <w:rPr>
          <w:rFonts w:ascii="Arial" w:eastAsia="Arial" w:hAnsi="Arial" w:cs="Arial"/>
          <w:b/>
          <w:bCs/>
          <w:sz w:val="20"/>
          <w:szCs w:val="20"/>
        </w:rPr>
        <w:lastRenderedPageBreak/>
        <w:t>Exhibit 10.1</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73" w:lineRule="exact"/>
        <w:rPr>
          <w:sz w:val="20"/>
          <w:szCs w:val="20"/>
        </w:rPr>
      </w:pPr>
    </w:p>
    <w:p w:rsidR="000728AD" w:rsidRDefault="000561BE">
      <w:pPr>
        <w:numPr>
          <w:ilvl w:val="1"/>
          <w:numId w:val="50"/>
        </w:numPr>
        <w:tabs>
          <w:tab w:val="left" w:pos="1286"/>
        </w:tabs>
        <w:spacing w:line="259" w:lineRule="auto"/>
        <w:ind w:right="180" w:firstLine="980"/>
        <w:rPr>
          <w:rFonts w:ascii="Arial" w:eastAsia="Arial" w:hAnsi="Arial" w:cs="Arial"/>
          <w:sz w:val="19"/>
          <w:szCs w:val="19"/>
        </w:rPr>
      </w:pPr>
      <w:r>
        <w:rPr>
          <w:rFonts w:ascii="Arial" w:eastAsia="Arial" w:hAnsi="Arial" w:cs="Arial"/>
          <w:sz w:val="19"/>
          <w:szCs w:val="19"/>
        </w:rPr>
        <w:t xml:space="preserve">The amounts payable under Section 5(a) shall be paid out in substantially equal installments in accordance with the Company’s payroll practice over 9 months commencing </w:t>
      </w:r>
      <w:r>
        <w:rPr>
          <w:rFonts w:ascii="Arial" w:eastAsia="Arial" w:hAnsi="Arial" w:cs="Arial"/>
          <w:sz w:val="19"/>
          <w:szCs w:val="19"/>
        </w:rPr>
        <w:t>within 60 days after the Date of Termination; provided, however, that if the 60-day period begins in one calendar year and ends in a second calendar year, the Severance Amount shall begin to be paid in the second calendar year by the last day of such 60-da</w:t>
      </w:r>
      <w:r>
        <w:rPr>
          <w:rFonts w:ascii="Arial" w:eastAsia="Arial" w:hAnsi="Arial" w:cs="Arial"/>
          <w:sz w:val="19"/>
          <w:szCs w:val="19"/>
        </w:rPr>
        <w:t>y period; provided, further, that the initial payment shall include a catch-up payment to cover amounts retroactive to the day immediately following the Date of Termination. Each payment pursuant to this Agreement is intended to constitute a separate payme</w:t>
      </w:r>
      <w:r>
        <w:rPr>
          <w:rFonts w:ascii="Arial" w:eastAsia="Arial" w:hAnsi="Arial" w:cs="Arial"/>
          <w:sz w:val="19"/>
          <w:szCs w:val="19"/>
        </w:rPr>
        <w:t>nt for purposes of Treasury Regulation Section 1.409A-2(b)(2).</w:t>
      </w:r>
    </w:p>
    <w:p w:rsidR="000728AD" w:rsidRDefault="000728AD">
      <w:pPr>
        <w:spacing w:line="178" w:lineRule="exact"/>
        <w:rPr>
          <w:rFonts w:ascii="Arial" w:eastAsia="Arial" w:hAnsi="Arial" w:cs="Arial"/>
          <w:sz w:val="19"/>
          <w:szCs w:val="19"/>
        </w:rPr>
      </w:pPr>
    </w:p>
    <w:p w:rsidR="000728AD" w:rsidRDefault="000561BE">
      <w:pPr>
        <w:numPr>
          <w:ilvl w:val="1"/>
          <w:numId w:val="50"/>
        </w:numPr>
        <w:tabs>
          <w:tab w:val="left" w:pos="1284"/>
        </w:tabs>
        <w:spacing w:line="269" w:lineRule="auto"/>
        <w:ind w:right="20" w:firstLine="980"/>
        <w:rPr>
          <w:rFonts w:ascii="Arial" w:eastAsia="Arial" w:hAnsi="Arial" w:cs="Arial"/>
          <w:sz w:val="18"/>
          <w:szCs w:val="18"/>
        </w:rPr>
      </w:pPr>
      <w:r>
        <w:rPr>
          <w:rFonts w:ascii="Arial" w:eastAsia="Arial" w:hAnsi="Arial" w:cs="Arial"/>
          <w:sz w:val="18"/>
          <w:szCs w:val="18"/>
        </w:rPr>
        <w:t xml:space="preserve">Notwithstanding anything to the contrary contained in this Agreement, the Separation Agreement and Release (i) shall not contain any terms or conditions that lessen the rights and </w:t>
      </w:r>
      <w:r>
        <w:rPr>
          <w:rFonts w:ascii="Arial" w:eastAsia="Arial" w:hAnsi="Arial" w:cs="Arial"/>
          <w:sz w:val="18"/>
          <w:szCs w:val="18"/>
        </w:rPr>
        <w:t>benefits to which Executive is entitled under this Agreement, any applicable option agreement or other stock-based award agreement or the Stock Plan or increase Employee’s obligations under Section 8 of the Restrictive Covenants Agreement and (ii) shall pr</w:t>
      </w:r>
      <w:r>
        <w:rPr>
          <w:rFonts w:ascii="Arial" w:eastAsia="Arial" w:hAnsi="Arial" w:cs="Arial"/>
          <w:sz w:val="18"/>
          <w:szCs w:val="18"/>
        </w:rPr>
        <w:t xml:space="preserve">ovide that the following claims are excluded from the Release: (a) any claims or rights which cannot be waived by law, including Executive’s right to accrued and unused vacation pay; (b) any claims for the payments and benefits due under this Agreement or </w:t>
      </w:r>
      <w:r>
        <w:rPr>
          <w:rFonts w:ascii="Arial" w:eastAsia="Arial" w:hAnsi="Arial" w:cs="Arial"/>
          <w:sz w:val="18"/>
          <w:szCs w:val="18"/>
        </w:rPr>
        <w:t>claims to enforce rights that accrue under this Agreement following termination of employment; (c) any claims or rights to any vested benefits or vested rights that Executive may have under any employee benefit, retirement, pension or equity plans; (d) non</w:t>
      </w:r>
      <w:r>
        <w:rPr>
          <w:rFonts w:ascii="Arial" w:eastAsia="Arial" w:hAnsi="Arial" w:cs="Arial"/>
          <w:sz w:val="18"/>
          <w:szCs w:val="18"/>
        </w:rPr>
        <w:t>-termination related claims under the Employee Retirement Income Security Act (29 U.S.C. § 1001 et seq.), as amended; (e) any rights and/or claims under the Consolidated Omnibus Budget Reconciliation Act of 1985 (“COBRA”) to elect continued group health pl</w:t>
      </w:r>
      <w:r>
        <w:rPr>
          <w:rFonts w:ascii="Arial" w:eastAsia="Arial" w:hAnsi="Arial" w:cs="Arial"/>
          <w:sz w:val="18"/>
          <w:szCs w:val="18"/>
        </w:rPr>
        <w:t>an coverage; (f) claims for reimbursement of approved business expenses incurred prior to the Date of Termination; (g) rights, if any, to defense and indemnification from the Company or its insurers for actions taken by Executive in the course and scope of</w:t>
      </w:r>
      <w:r>
        <w:rPr>
          <w:rFonts w:ascii="Arial" w:eastAsia="Arial" w:hAnsi="Arial" w:cs="Arial"/>
          <w:sz w:val="18"/>
          <w:szCs w:val="18"/>
        </w:rPr>
        <w:t xml:space="preserve"> Executive’s employment with the Company, including, without limitation, rights of defense and indemnification under the Company’s articles of incorporation or bylaws, as a matter of law or under any directors and officers insurance policies or indemnifica</w:t>
      </w:r>
      <w:r>
        <w:rPr>
          <w:rFonts w:ascii="Arial" w:eastAsia="Arial" w:hAnsi="Arial" w:cs="Arial"/>
          <w:sz w:val="18"/>
          <w:szCs w:val="18"/>
        </w:rPr>
        <w:t>tion agreement; (h) any right Executive may have at law to obtain contribution as permitted by law in the event of entry of judgment against Executive as a result of any act or failure to act for which Executive and the Company or its past, present and fut</w:t>
      </w:r>
      <w:r>
        <w:rPr>
          <w:rFonts w:ascii="Arial" w:eastAsia="Arial" w:hAnsi="Arial" w:cs="Arial"/>
          <w:sz w:val="18"/>
          <w:szCs w:val="18"/>
        </w:rPr>
        <w:t>ure trustees, officers, agents, administrators, representatives, employees, affiliates, or insurers are held jointly liable; or (i) any rights and/or claims Executive may have as a shareholder of the Company.</w:t>
      </w:r>
    </w:p>
    <w:p w:rsidR="000728AD" w:rsidRDefault="000728AD">
      <w:pPr>
        <w:spacing w:line="176" w:lineRule="exact"/>
        <w:rPr>
          <w:rFonts w:ascii="Arial" w:eastAsia="Arial" w:hAnsi="Arial" w:cs="Arial"/>
          <w:sz w:val="18"/>
          <w:szCs w:val="18"/>
        </w:rPr>
      </w:pPr>
    </w:p>
    <w:p w:rsidR="000728AD" w:rsidRDefault="000561BE">
      <w:pPr>
        <w:numPr>
          <w:ilvl w:val="0"/>
          <w:numId w:val="51"/>
        </w:numPr>
        <w:tabs>
          <w:tab w:val="left" w:pos="1296"/>
        </w:tabs>
        <w:spacing w:line="242" w:lineRule="auto"/>
        <w:ind w:right="20" w:firstLine="656"/>
        <w:rPr>
          <w:rFonts w:ascii="Arial" w:eastAsia="Arial" w:hAnsi="Arial" w:cs="Arial"/>
          <w:sz w:val="20"/>
          <w:szCs w:val="20"/>
        </w:rPr>
      </w:pPr>
      <w:r>
        <w:rPr>
          <w:rFonts w:ascii="Arial" w:eastAsia="Arial" w:hAnsi="Arial" w:cs="Arial"/>
          <w:sz w:val="20"/>
          <w:szCs w:val="20"/>
          <w:u w:val="single"/>
        </w:rPr>
        <w:t>Change in Control Payment</w:t>
      </w:r>
      <w:r>
        <w:rPr>
          <w:rFonts w:ascii="Arial" w:eastAsia="Arial" w:hAnsi="Arial" w:cs="Arial"/>
          <w:sz w:val="20"/>
          <w:szCs w:val="20"/>
        </w:rPr>
        <w:t>. The provisions of t</w:t>
      </w:r>
      <w:r>
        <w:rPr>
          <w:rFonts w:ascii="Arial" w:eastAsia="Arial" w:hAnsi="Arial" w:cs="Arial"/>
          <w:sz w:val="20"/>
          <w:szCs w:val="20"/>
        </w:rPr>
        <w:t>his Section 6 set forth certain terms of an agreement reached between the Executive and the Company regarding the Executive’s rights and obligations upon the occurrence of a Change in Control of the Company. These provisions are intended to assure and enco</w:t>
      </w:r>
      <w:r>
        <w:rPr>
          <w:rFonts w:ascii="Arial" w:eastAsia="Arial" w:hAnsi="Arial" w:cs="Arial"/>
          <w:sz w:val="20"/>
          <w:szCs w:val="20"/>
        </w:rPr>
        <w:t xml:space="preserve">urage in advance the Executive’s continued attention and dedication to her assigned duties and her objectivity during the pendency and after the occurrence of any such event. These provisions shall apply in lieu of, and expressly supersede, the provisions </w:t>
      </w:r>
      <w:r>
        <w:rPr>
          <w:rFonts w:ascii="Arial" w:eastAsia="Arial" w:hAnsi="Arial" w:cs="Arial"/>
          <w:sz w:val="20"/>
          <w:szCs w:val="20"/>
        </w:rPr>
        <w:t>of Section 5 regarding severance pay and benefits upon a termination of employment, if such termination of employment occurs within 12 months after the occurrence of the first event constituting a Change in Control (the “Change in Control Period”). The pro</w:t>
      </w:r>
      <w:r>
        <w:rPr>
          <w:rFonts w:ascii="Arial" w:eastAsia="Arial" w:hAnsi="Arial" w:cs="Arial"/>
          <w:sz w:val="20"/>
          <w:szCs w:val="20"/>
        </w:rPr>
        <w:t>visions in this Section 6 shall terminate and be of no further force or effect beginning after the Change in Control Period has ended.</w:t>
      </w:r>
    </w:p>
    <w:p w:rsidR="000728AD" w:rsidRDefault="000728AD">
      <w:pPr>
        <w:spacing w:line="196" w:lineRule="exact"/>
        <w:rPr>
          <w:rFonts w:ascii="Arial" w:eastAsia="Arial" w:hAnsi="Arial" w:cs="Arial"/>
          <w:sz w:val="20"/>
          <w:szCs w:val="20"/>
        </w:rPr>
      </w:pPr>
    </w:p>
    <w:p w:rsidR="000728AD" w:rsidRDefault="000561BE">
      <w:pPr>
        <w:numPr>
          <w:ilvl w:val="1"/>
          <w:numId w:val="51"/>
        </w:numPr>
        <w:tabs>
          <w:tab w:val="left" w:pos="1286"/>
        </w:tabs>
        <w:spacing w:line="244" w:lineRule="auto"/>
        <w:ind w:right="20" w:firstLine="980"/>
        <w:rPr>
          <w:rFonts w:ascii="Arial" w:eastAsia="Arial" w:hAnsi="Arial" w:cs="Arial"/>
          <w:sz w:val="20"/>
          <w:szCs w:val="20"/>
        </w:rPr>
      </w:pPr>
      <w:r>
        <w:rPr>
          <w:rFonts w:ascii="Arial" w:eastAsia="Arial" w:hAnsi="Arial" w:cs="Arial"/>
          <w:sz w:val="20"/>
          <w:szCs w:val="20"/>
          <w:u w:val="single"/>
        </w:rPr>
        <w:t>Change in Control</w:t>
      </w:r>
      <w:r>
        <w:rPr>
          <w:rFonts w:ascii="Arial" w:eastAsia="Arial" w:hAnsi="Arial" w:cs="Arial"/>
          <w:sz w:val="20"/>
          <w:szCs w:val="20"/>
        </w:rPr>
        <w:t xml:space="preserve">. During the Term, if during the Change in Control Period, the Executive’s employment is terminated by </w:t>
      </w:r>
      <w:r>
        <w:rPr>
          <w:rFonts w:ascii="Arial" w:eastAsia="Arial" w:hAnsi="Arial" w:cs="Arial"/>
          <w:sz w:val="20"/>
          <w:szCs w:val="20"/>
        </w:rPr>
        <w:t>the Company without Cause as provided in Section 3(d) or the Executive terminates her employment for Good Reason as provided in Section 3(e), then, subject to the signing of the Separation Agreement and Release by the Executive and the Separation Agreement</w:t>
      </w:r>
      <w:r>
        <w:rPr>
          <w:rFonts w:ascii="Arial" w:eastAsia="Arial" w:hAnsi="Arial" w:cs="Arial"/>
          <w:sz w:val="20"/>
          <w:szCs w:val="20"/>
        </w:rPr>
        <w:t xml:space="preserve"> and Release becoming irrevocable, during the time frame set forth in the Separation Agreement and Release but in no event more than 60 days after the Date of Termination:</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43" w:lineRule="exact"/>
        <w:rPr>
          <w:sz w:val="20"/>
          <w:szCs w:val="20"/>
        </w:rPr>
      </w:pPr>
    </w:p>
    <w:p w:rsidR="000728AD" w:rsidRDefault="000561BE">
      <w:pPr>
        <w:jc w:val="center"/>
        <w:rPr>
          <w:sz w:val="20"/>
          <w:szCs w:val="20"/>
        </w:rPr>
      </w:pPr>
      <w:r>
        <w:rPr>
          <w:rFonts w:ascii="Arial" w:eastAsia="Arial" w:hAnsi="Arial" w:cs="Arial"/>
        </w:rPr>
        <w:t>6</w:t>
      </w:r>
    </w:p>
    <w:p w:rsidR="000728AD" w:rsidRDefault="000728AD">
      <w:pPr>
        <w:sectPr w:rsidR="000728AD">
          <w:pgSz w:w="11900" w:h="16838"/>
          <w:pgMar w:top="115" w:right="339" w:bottom="1440" w:left="320" w:header="0" w:footer="0" w:gutter="0"/>
          <w:cols w:space="720" w:equalWidth="0">
            <w:col w:w="11240"/>
          </w:cols>
        </w:sectPr>
      </w:pPr>
    </w:p>
    <w:p w:rsidR="000728AD" w:rsidRDefault="000561BE">
      <w:pPr>
        <w:jc w:val="right"/>
        <w:rPr>
          <w:sz w:val="20"/>
          <w:szCs w:val="20"/>
        </w:rPr>
      </w:pPr>
      <w:bookmarkStart w:id="107" w:name="page107"/>
      <w:bookmarkEnd w:id="107"/>
      <w:r>
        <w:rPr>
          <w:rFonts w:ascii="Arial" w:eastAsia="Arial" w:hAnsi="Arial" w:cs="Arial"/>
          <w:b/>
          <w:bCs/>
          <w:sz w:val="20"/>
          <w:szCs w:val="20"/>
        </w:rPr>
        <w:lastRenderedPageBreak/>
        <w:t>Exhibit 10.1</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73" w:lineRule="exact"/>
        <w:rPr>
          <w:sz w:val="20"/>
          <w:szCs w:val="20"/>
        </w:rPr>
      </w:pPr>
    </w:p>
    <w:p w:rsidR="000728AD" w:rsidRDefault="000561BE">
      <w:pPr>
        <w:numPr>
          <w:ilvl w:val="0"/>
          <w:numId w:val="52"/>
        </w:numPr>
        <w:tabs>
          <w:tab w:val="left" w:pos="1942"/>
        </w:tabs>
        <w:spacing w:line="282" w:lineRule="auto"/>
        <w:ind w:right="80" w:firstLine="1547"/>
        <w:rPr>
          <w:rFonts w:ascii="Arial" w:eastAsia="Arial" w:hAnsi="Arial" w:cs="Arial"/>
          <w:sz w:val="18"/>
          <w:szCs w:val="18"/>
        </w:rPr>
      </w:pPr>
      <w:r>
        <w:rPr>
          <w:rFonts w:ascii="Arial" w:eastAsia="Arial" w:hAnsi="Arial" w:cs="Arial"/>
          <w:sz w:val="18"/>
          <w:szCs w:val="18"/>
        </w:rPr>
        <w:t xml:space="preserve">the Company shall pay the </w:t>
      </w:r>
      <w:r>
        <w:rPr>
          <w:rFonts w:ascii="Arial" w:eastAsia="Arial" w:hAnsi="Arial" w:cs="Arial"/>
          <w:sz w:val="18"/>
          <w:szCs w:val="18"/>
        </w:rPr>
        <w:t>Executive a lump sum in cash in an amount equal to 1 times the sum of (A) the Executive’s then current Base Salary (or the Executive’s Base Salary in effect immediately prior to the Change in Control, if higher) plus (B) the Executive’s Target Bonus for th</w:t>
      </w:r>
      <w:r>
        <w:rPr>
          <w:rFonts w:ascii="Arial" w:eastAsia="Arial" w:hAnsi="Arial" w:cs="Arial"/>
          <w:sz w:val="18"/>
          <w:szCs w:val="18"/>
        </w:rPr>
        <w:t>e then-current year (the “</w:t>
      </w:r>
      <w:r>
        <w:rPr>
          <w:rFonts w:ascii="Arial" w:eastAsia="Arial" w:hAnsi="Arial" w:cs="Arial"/>
          <w:sz w:val="18"/>
          <w:szCs w:val="18"/>
          <w:u w:val="single"/>
        </w:rPr>
        <w:t>Change in Control Payment</w:t>
      </w:r>
      <w:r>
        <w:rPr>
          <w:rFonts w:ascii="Arial" w:eastAsia="Arial" w:hAnsi="Arial" w:cs="Arial"/>
          <w:sz w:val="18"/>
          <w:szCs w:val="18"/>
        </w:rPr>
        <w:t>”), provided the Change in Control Payment shall be reduced by the amount of the Restrictive Covenants Agreement Setoff, if applicable, paid or to be paid in the same calendar year; and</w:t>
      </w:r>
    </w:p>
    <w:p w:rsidR="000728AD" w:rsidRDefault="000728AD">
      <w:pPr>
        <w:spacing w:line="161" w:lineRule="exact"/>
        <w:rPr>
          <w:rFonts w:ascii="Arial" w:eastAsia="Arial" w:hAnsi="Arial" w:cs="Arial"/>
          <w:sz w:val="18"/>
          <w:szCs w:val="18"/>
        </w:rPr>
      </w:pPr>
    </w:p>
    <w:p w:rsidR="000728AD" w:rsidRDefault="000561BE">
      <w:pPr>
        <w:numPr>
          <w:ilvl w:val="0"/>
          <w:numId w:val="52"/>
        </w:numPr>
        <w:tabs>
          <w:tab w:val="left" w:pos="1943"/>
        </w:tabs>
        <w:spacing w:line="272" w:lineRule="auto"/>
        <w:ind w:right="20" w:firstLine="1547"/>
        <w:rPr>
          <w:rFonts w:ascii="Arial" w:eastAsia="Arial" w:hAnsi="Arial" w:cs="Arial"/>
          <w:sz w:val="18"/>
          <w:szCs w:val="18"/>
        </w:rPr>
      </w:pPr>
      <w:r>
        <w:rPr>
          <w:rFonts w:ascii="Arial" w:eastAsia="Arial" w:hAnsi="Arial" w:cs="Arial"/>
          <w:sz w:val="18"/>
          <w:szCs w:val="18"/>
        </w:rPr>
        <w:t>notwithstanding an</w:t>
      </w:r>
      <w:r>
        <w:rPr>
          <w:rFonts w:ascii="Arial" w:eastAsia="Arial" w:hAnsi="Arial" w:cs="Arial"/>
          <w:sz w:val="18"/>
          <w:szCs w:val="18"/>
        </w:rPr>
        <w:t>ything to the contrary in any applicable option agreement or other stock-based award agreement, all time-based stock options and other stock-based awards subject to time-based vesting held by the Executive (the “</w:t>
      </w:r>
      <w:r>
        <w:rPr>
          <w:rFonts w:ascii="Arial" w:eastAsia="Arial" w:hAnsi="Arial" w:cs="Arial"/>
          <w:sz w:val="18"/>
          <w:szCs w:val="18"/>
          <w:u w:val="single"/>
        </w:rPr>
        <w:t>Time-Based Equity</w:t>
      </w:r>
      <w:r>
        <w:rPr>
          <w:rFonts w:ascii="Arial" w:eastAsia="Arial" w:hAnsi="Arial" w:cs="Arial"/>
          <w:sz w:val="18"/>
          <w:szCs w:val="18"/>
        </w:rPr>
        <w:t xml:space="preserve"> </w:t>
      </w:r>
      <w:r>
        <w:rPr>
          <w:rFonts w:ascii="Arial" w:eastAsia="Arial" w:hAnsi="Arial" w:cs="Arial"/>
          <w:sz w:val="18"/>
          <w:szCs w:val="18"/>
          <w:u w:val="single"/>
        </w:rPr>
        <w:t>Awards</w:t>
      </w:r>
      <w:r>
        <w:rPr>
          <w:rFonts w:ascii="Arial" w:eastAsia="Arial" w:hAnsi="Arial" w:cs="Arial"/>
          <w:sz w:val="18"/>
          <w:szCs w:val="18"/>
        </w:rPr>
        <w:t>”) shall immediately</w:t>
      </w:r>
      <w:r>
        <w:rPr>
          <w:rFonts w:ascii="Arial" w:eastAsia="Arial" w:hAnsi="Arial" w:cs="Arial"/>
          <w:sz w:val="18"/>
          <w:szCs w:val="18"/>
        </w:rPr>
        <w:t xml:space="preserve"> accelerate and become fully exercisable or non-forfeitable as of the later of (i) the Date of Termination or (ii) the Effective Date of the Separation Agreement and Release (the “</w:t>
      </w:r>
      <w:r>
        <w:rPr>
          <w:rFonts w:ascii="Arial" w:eastAsia="Arial" w:hAnsi="Arial" w:cs="Arial"/>
          <w:sz w:val="18"/>
          <w:szCs w:val="18"/>
          <w:u w:val="single"/>
        </w:rPr>
        <w:t>Accelerated Vesting Date</w:t>
      </w:r>
      <w:r>
        <w:rPr>
          <w:rFonts w:ascii="Arial" w:eastAsia="Arial" w:hAnsi="Arial" w:cs="Arial"/>
          <w:sz w:val="18"/>
          <w:szCs w:val="18"/>
        </w:rPr>
        <w:t>”); provided that any termination or forfeiture of t</w:t>
      </w:r>
      <w:r>
        <w:rPr>
          <w:rFonts w:ascii="Arial" w:eastAsia="Arial" w:hAnsi="Arial" w:cs="Arial"/>
          <w:sz w:val="18"/>
          <w:szCs w:val="18"/>
        </w:rPr>
        <w:t xml:space="preserve">he unvested portion of such Time-Based Equity Awards that would otherwise occur on the Date of Termination in the absence of this Agreement will be delayed until the Effective Date of the Separation Agreement and Release and will only occur if the vesting </w:t>
      </w:r>
      <w:r>
        <w:rPr>
          <w:rFonts w:ascii="Arial" w:eastAsia="Arial" w:hAnsi="Arial" w:cs="Arial"/>
          <w:sz w:val="18"/>
          <w:szCs w:val="18"/>
        </w:rPr>
        <w:t>pursuant to this subsection does not occur due to the absence of the Separation Agreement and Release becoming fully effective within the time period set forth herein. Notwithstanding the foregoing, no additional vesting of the Time-Based Equity Awards sha</w:t>
      </w:r>
      <w:r>
        <w:rPr>
          <w:rFonts w:ascii="Arial" w:eastAsia="Arial" w:hAnsi="Arial" w:cs="Arial"/>
          <w:sz w:val="18"/>
          <w:szCs w:val="18"/>
        </w:rPr>
        <w:t>ll occur during the period between the Executive’s Date of Termination and the Accelerated Vesting Date; and</w:t>
      </w:r>
    </w:p>
    <w:p w:rsidR="000728AD" w:rsidRDefault="000728AD">
      <w:pPr>
        <w:spacing w:line="170" w:lineRule="exact"/>
        <w:rPr>
          <w:rFonts w:ascii="Arial" w:eastAsia="Arial" w:hAnsi="Arial" w:cs="Arial"/>
          <w:sz w:val="18"/>
          <w:szCs w:val="18"/>
        </w:rPr>
      </w:pPr>
    </w:p>
    <w:p w:rsidR="000728AD" w:rsidRDefault="000561BE">
      <w:pPr>
        <w:numPr>
          <w:ilvl w:val="0"/>
          <w:numId w:val="52"/>
        </w:numPr>
        <w:tabs>
          <w:tab w:val="left" w:pos="1944"/>
        </w:tabs>
        <w:spacing w:line="255" w:lineRule="auto"/>
        <w:ind w:right="40" w:firstLine="1547"/>
        <w:rPr>
          <w:rFonts w:ascii="Arial" w:eastAsia="Arial" w:hAnsi="Arial" w:cs="Arial"/>
          <w:sz w:val="19"/>
          <w:szCs w:val="19"/>
        </w:rPr>
      </w:pPr>
      <w:r>
        <w:rPr>
          <w:rFonts w:ascii="Arial" w:eastAsia="Arial" w:hAnsi="Arial" w:cs="Arial"/>
          <w:sz w:val="19"/>
          <w:szCs w:val="19"/>
        </w:rPr>
        <w:t>subject to the Executive’s copayment of premium amounts at the active employees’ rate and the Executive’s proper election to receive benefits unde</w:t>
      </w:r>
      <w:r>
        <w:rPr>
          <w:rFonts w:ascii="Arial" w:eastAsia="Arial" w:hAnsi="Arial" w:cs="Arial"/>
          <w:sz w:val="19"/>
          <w:szCs w:val="19"/>
        </w:rPr>
        <w:t>r COBRA, the Company shall pay the monthly employer contribution that the Company would have made to provide health insurance to the Executive if the Executive had remained employed by the Company until the earliest of (A) the twelve (12) month anniversary</w:t>
      </w:r>
      <w:r>
        <w:rPr>
          <w:rFonts w:ascii="Arial" w:eastAsia="Arial" w:hAnsi="Arial" w:cs="Arial"/>
          <w:sz w:val="19"/>
          <w:szCs w:val="19"/>
        </w:rPr>
        <w:t xml:space="preserve"> of the Date of Termination; (B) the Executive’s eligibility for group medical plan benefits under any other employer’s group medical plan; or (C) the cessation of the Executive’s continuation rights under COBRA; provided, however, if the Company determine</w:t>
      </w:r>
      <w:r>
        <w:rPr>
          <w:rFonts w:ascii="Arial" w:eastAsia="Arial" w:hAnsi="Arial" w:cs="Arial"/>
          <w:sz w:val="19"/>
          <w:szCs w:val="19"/>
        </w:rPr>
        <w:t>s that it cannot pay such amounts without potentially violating applicable law (including, without limitation, Section 2716 of the Public Health Service Act), then the Company will convert such payments to payroll payments directly to the Executive for the</w:t>
      </w:r>
      <w:r>
        <w:rPr>
          <w:rFonts w:ascii="Arial" w:eastAsia="Arial" w:hAnsi="Arial" w:cs="Arial"/>
          <w:sz w:val="19"/>
          <w:szCs w:val="19"/>
        </w:rPr>
        <w:t xml:space="preserve"> time period specified above. Such payments shall be subject to tax-related deductions and withholdings and paid on the Company’s regular payroll dates. For the avoidance of doubt, the taxable payments described above may be used for any purpose, including</w:t>
      </w:r>
      <w:r>
        <w:rPr>
          <w:rFonts w:ascii="Arial" w:eastAsia="Arial" w:hAnsi="Arial" w:cs="Arial"/>
          <w:sz w:val="19"/>
          <w:szCs w:val="19"/>
        </w:rPr>
        <w:t>, but not limited to, continuation coverage under COBRA.</w:t>
      </w:r>
    </w:p>
    <w:p w:rsidR="000728AD" w:rsidRDefault="000728AD">
      <w:pPr>
        <w:spacing w:line="189" w:lineRule="exact"/>
        <w:rPr>
          <w:rFonts w:ascii="Arial" w:eastAsia="Arial" w:hAnsi="Arial" w:cs="Arial"/>
          <w:sz w:val="19"/>
          <w:szCs w:val="19"/>
        </w:rPr>
      </w:pPr>
    </w:p>
    <w:p w:rsidR="000728AD" w:rsidRDefault="000561BE">
      <w:pPr>
        <w:numPr>
          <w:ilvl w:val="0"/>
          <w:numId w:val="52"/>
        </w:numPr>
        <w:tabs>
          <w:tab w:val="left" w:pos="1933"/>
        </w:tabs>
        <w:spacing w:line="269" w:lineRule="auto"/>
        <w:ind w:right="60" w:firstLine="1547"/>
        <w:rPr>
          <w:rFonts w:ascii="Arial" w:eastAsia="Arial" w:hAnsi="Arial" w:cs="Arial"/>
          <w:sz w:val="19"/>
          <w:szCs w:val="19"/>
        </w:rPr>
      </w:pPr>
      <w:r>
        <w:rPr>
          <w:rFonts w:ascii="Arial" w:eastAsia="Arial" w:hAnsi="Arial" w:cs="Arial"/>
          <w:sz w:val="19"/>
          <w:szCs w:val="19"/>
        </w:rPr>
        <w:t xml:space="preserve">The amounts payable under this Section 6(a) shall be paid or commence to be paid within 60 days after the Date of Termination; provided, however, that if the 60-day period begins in one </w:t>
      </w:r>
      <w:r>
        <w:rPr>
          <w:rFonts w:ascii="Arial" w:eastAsia="Arial" w:hAnsi="Arial" w:cs="Arial"/>
          <w:sz w:val="19"/>
          <w:szCs w:val="19"/>
        </w:rPr>
        <w:t>calendar year and ends in a second calendar year, such payment shall be paid or commence to be paid in the second calendar year by the last day of such 60-day period.</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18" w:lineRule="exact"/>
        <w:rPr>
          <w:sz w:val="20"/>
          <w:szCs w:val="20"/>
        </w:rPr>
      </w:pPr>
    </w:p>
    <w:p w:rsidR="000728AD" w:rsidRDefault="000561BE">
      <w:pPr>
        <w:jc w:val="center"/>
        <w:rPr>
          <w:sz w:val="20"/>
          <w:szCs w:val="20"/>
        </w:rPr>
      </w:pPr>
      <w:r>
        <w:rPr>
          <w:rFonts w:ascii="Arial" w:eastAsia="Arial" w:hAnsi="Arial" w:cs="Arial"/>
        </w:rPr>
        <w:t>7</w:t>
      </w:r>
    </w:p>
    <w:p w:rsidR="000728AD" w:rsidRDefault="000728AD">
      <w:pPr>
        <w:sectPr w:rsidR="000728AD">
          <w:pgSz w:w="11900" w:h="16838"/>
          <w:pgMar w:top="115" w:right="339" w:bottom="1440" w:left="320" w:header="0" w:footer="0" w:gutter="0"/>
          <w:cols w:space="720" w:equalWidth="0">
            <w:col w:w="11240"/>
          </w:cols>
        </w:sectPr>
      </w:pPr>
    </w:p>
    <w:p w:rsidR="000728AD" w:rsidRDefault="000561BE">
      <w:pPr>
        <w:jc w:val="right"/>
        <w:rPr>
          <w:sz w:val="20"/>
          <w:szCs w:val="20"/>
        </w:rPr>
      </w:pPr>
      <w:bookmarkStart w:id="108" w:name="page108"/>
      <w:bookmarkEnd w:id="108"/>
      <w:r>
        <w:rPr>
          <w:rFonts w:ascii="Arial" w:eastAsia="Arial" w:hAnsi="Arial" w:cs="Arial"/>
          <w:b/>
          <w:bCs/>
          <w:sz w:val="20"/>
          <w:szCs w:val="20"/>
        </w:rPr>
        <w:lastRenderedPageBreak/>
        <w:t>Exhibit 10.1</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73" w:lineRule="exact"/>
        <w:rPr>
          <w:sz w:val="20"/>
          <w:szCs w:val="20"/>
        </w:rPr>
      </w:pPr>
    </w:p>
    <w:p w:rsidR="000728AD" w:rsidRDefault="000561BE">
      <w:pPr>
        <w:numPr>
          <w:ilvl w:val="0"/>
          <w:numId w:val="53"/>
        </w:numPr>
        <w:tabs>
          <w:tab w:val="left" w:pos="1300"/>
        </w:tabs>
        <w:ind w:left="1300" w:hanging="320"/>
        <w:rPr>
          <w:rFonts w:ascii="Arial" w:eastAsia="Arial" w:hAnsi="Arial" w:cs="Arial"/>
          <w:sz w:val="20"/>
          <w:szCs w:val="20"/>
        </w:rPr>
      </w:pPr>
      <w:r>
        <w:rPr>
          <w:rFonts w:ascii="Arial" w:eastAsia="Arial" w:hAnsi="Arial" w:cs="Arial"/>
          <w:sz w:val="20"/>
          <w:szCs w:val="20"/>
          <w:u w:val="single"/>
        </w:rPr>
        <w:t>Additional Limitation</w:t>
      </w:r>
      <w:r>
        <w:rPr>
          <w:rFonts w:ascii="Arial" w:eastAsia="Arial" w:hAnsi="Arial" w:cs="Arial"/>
          <w:sz w:val="20"/>
          <w:szCs w:val="20"/>
        </w:rPr>
        <w:t>.</w:t>
      </w:r>
    </w:p>
    <w:p w:rsidR="000728AD" w:rsidRDefault="000728AD">
      <w:pPr>
        <w:spacing w:line="215" w:lineRule="exact"/>
        <w:rPr>
          <w:rFonts w:ascii="Arial" w:eastAsia="Arial" w:hAnsi="Arial" w:cs="Arial"/>
          <w:sz w:val="20"/>
          <w:szCs w:val="20"/>
        </w:rPr>
      </w:pPr>
    </w:p>
    <w:p w:rsidR="000728AD" w:rsidRDefault="000561BE">
      <w:pPr>
        <w:numPr>
          <w:ilvl w:val="1"/>
          <w:numId w:val="53"/>
        </w:numPr>
        <w:tabs>
          <w:tab w:val="left" w:pos="1942"/>
        </w:tabs>
        <w:spacing w:line="270" w:lineRule="auto"/>
        <w:ind w:right="20" w:firstLine="1547"/>
        <w:rPr>
          <w:rFonts w:ascii="Arial" w:eastAsia="Arial" w:hAnsi="Arial" w:cs="Arial"/>
          <w:sz w:val="18"/>
          <w:szCs w:val="18"/>
        </w:rPr>
      </w:pPr>
      <w:r>
        <w:rPr>
          <w:rFonts w:ascii="Arial" w:eastAsia="Arial" w:hAnsi="Arial" w:cs="Arial"/>
          <w:sz w:val="18"/>
          <w:szCs w:val="18"/>
        </w:rPr>
        <w:t xml:space="preserve">Anything in </w:t>
      </w:r>
      <w:r>
        <w:rPr>
          <w:rFonts w:ascii="Arial" w:eastAsia="Arial" w:hAnsi="Arial" w:cs="Arial"/>
          <w:sz w:val="18"/>
          <w:szCs w:val="18"/>
        </w:rPr>
        <w:t>this Agreement to the contrary notwithstanding, in the event that the amount of any compensation, payment or distribution by the Company to or for the benefit of the Executive, whether paid or payable or distributed or distributable pursuant to the terms o</w:t>
      </w:r>
      <w:r>
        <w:rPr>
          <w:rFonts w:ascii="Arial" w:eastAsia="Arial" w:hAnsi="Arial" w:cs="Arial"/>
          <w:sz w:val="18"/>
          <w:szCs w:val="18"/>
        </w:rPr>
        <w:t>f this Agreement or otherwise, calculated in a manner consistent with Section 280G of the Code and the applicable regulations thereunder (the “</w:t>
      </w:r>
      <w:r>
        <w:rPr>
          <w:rFonts w:ascii="Arial" w:eastAsia="Arial" w:hAnsi="Arial" w:cs="Arial"/>
          <w:sz w:val="18"/>
          <w:szCs w:val="18"/>
          <w:u w:val="single"/>
        </w:rPr>
        <w:t>Aggregate Payments</w:t>
      </w:r>
      <w:r>
        <w:rPr>
          <w:rFonts w:ascii="Arial" w:eastAsia="Arial" w:hAnsi="Arial" w:cs="Arial"/>
          <w:sz w:val="18"/>
          <w:szCs w:val="18"/>
        </w:rPr>
        <w:t xml:space="preserve">”), would be subject to the excise tax imposed by Section 4999 of the Code, then the Aggregate </w:t>
      </w:r>
      <w:r>
        <w:rPr>
          <w:rFonts w:ascii="Arial" w:eastAsia="Arial" w:hAnsi="Arial" w:cs="Arial"/>
          <w:sz w:val="18"/>
          <w:szCs w:val="18"/>
        </w:rPr>
        <w:t>Payments shall be reduced (but not below zero) so that the sum of all of the Aggregate Payments shall be $1.00 less than the amount at which the Executive becomes subject to the excise tax imposed by Section 4999 of the Code; provided that such reduction s</w:t>
      </w:r>
      <w:r>
        <w:rPr>
          <w:rFonts w:ascii="Arial" w:eastAsia="Arial" w:hAnsi="Arial" w:cs="Arial"/>
          <w:sz w:val="18"/>
          <w:szCs w:val="18"/>
        </w:rPr>
        <w:t>hall only occur if it would result in the Executive receiving a higher After Tax Amount (as defined below) than the Executive would receive if the Aggregate Payments were not subject to such reduction. In such event, the Aggregate Payments shall be reduced</w:t>
      </w:r>
      <w:r>
        <w:rPr>
          <w:rFonts w:ascii="Arial" w:eastAsia="Arial" w:hAnsi="Arial" w:cs="Arial"/>
          <w:sz w:val="18"/>
          <w:szCs w:val="18"/>
        </w:rPr>
        <w:t xml:space="preserve"> in the following order, in each case, in reverse chronological order beginning with the Aggregate Payments that are to be paid the furthest in time from consummation of the transaction that is subject to Section 280G of the Code: (1) cash payments not sub</w:t>
      </w:r>
      <w:r>
        <w:rPr>
          <w:rFonts w:ascii="Arial" w:eastAsia="Arial" w:hAnsi="Arial" w:cs="Arial"/>
          <w:sz w:val="18"/>
          <w:szCs w:val="18"/>
        </w:rPr>
        <w:t>ject to Section 409A of the Code; (2) cash payments subject to Section 409A of the Code; (3) equity-based payments and acceleration; and (4) non-cash forms of benefits; provided that in the case of all the foregoing Aggregate Payments all amounts or paymen</w:t>
      </w:r>
      <w:r>
        <w:rPr>
          <w:rFonts w:ascii="Arial" w:eastAsia="Arial" w:hAnsi="Arial" w:cs="Arial"/>
          <w:sz w:val="18"/>
          <w:szCs w:val="18"/>
        </w:rPr>
        <w:t>ts that are not subject to calculation under Treas. Reg. §1.280G-1, Q&amp;A-24(b) or (c) shall be reduced before any amounts that are subject to calculation under Treas. Reg. §1.280G-1, Q&amp;A-24(b) or (c).</w:t>
      </w:r>
    </w:p>
    <w:p w:rsidR="000728AD" w:rsidRDefault="000728AD">
      <w:pPr>
        <w:spacing w:line="172" w:lineRule="exact"/>
        <w:rPr>
          <w:rFonts w:ascii="Arial" w:eastAsia="Arial" w:hAnsi="Arial" w:cs="Arial"/>
          <w:sz w:val="18"/>
          <w:szCs w:val="18"/>
        </w:rPr>
      </w:pPr>
    </w:p>
    <w:p w:rsidR="000728AD" w:rsidRDefault="000561BE">
      <w:pPr>
        <w:numPr>
          <w:ilvl w:val="1"/>
          <w:numId w:val="53"/>
        </w:numPr>
        <w:tabs>
          <w:tab w:val="left" w:pos="1943"/>
        </w:tabs>
        <w:spacing w:line="276" w:lineRule="auto"/>
        <w:ind w:right="100" w:firstLine="1547"/>
        <w:rPr>
          <w:rFonts w:ascii="Arial" w:eastAsia="Arial" w:hAnsi="Arial" w:cs="Arial"/>
          <w:sz w:val="18"/>
          <w:szCs w:val="18"/>
        </w:rPr>
      </w:pPr>
      <w:r>
        <w:rPr>
          <w:rFonts w:ascii="Arial" w:eastAsia="Arial" w:hAnsi="Arial" w:cs="Arial"/>
          <w:sz w:val="18"/>
          <w:szCs w:val="18"/>
        </w:rPr>
        <w:t>For purposes of this Section 6(b), the “</w:t>
      </w:r>
      <w:r>
        <w:rPr>
          <w:rFonts w:ascii="Arial" w:eastAsia="Arial" w:hAnsi="Arial" w:cs="Arial"/>
          <w:sz w:val="18"/>
          <w:szCs w:val="18"/>
          <w:u w:val="single"/>
        </w:rPr>
        <w:t>After Tax Amoun</w:t>
      </w:r>
      <w:r>
        <w:rPr>
          <w:rFonts w:ascii="Arial" w:eastAsia="Arial" w:hAnsi="Arial" w:cs="Arial"/>
          <w:sz w:val="18"/>
          <w:szCs w:val="18"/>
          <w:u w:val="single"/>
        </w:rPr>
        <w:t>t</w:t>
      </w:r>
      <w:r>
        <w:rPr>
          <w:rFonts w:ascii="Arial" w:eastAsia="Arial" w:hAnsi="Arial" w:cs="Arial"/>
          <w:sz w:val="18"/>
          <w:szCs w:val="18"/>
        </w:rPr>
        <w:t>” means the amount of the Aggregate Payments less all federal, state, and local income, excise and employment taxes imposed on the Executive as a result of the Executive’s receipt of the Aggregate Payments. For purposes of determining the After Tax Amount</w:t>
      </w:r>
      <w:r>
        <w:rPr>
          <w:rFonts w:ascii="Arial" w:eastAsia="Arial" w:hAnsi="Arial" w:cs="Arial"/>
          <w:sz w:val="18"/>
          <w:szCs w:val="18"/>
        </w:rPr>
        <w:t>, the Executive shall be deemed to pay federal income taxes at the highest marginal rate of federal income taxation applicable to individuals for the calendar year in which the determination is to be made, and state and local income taxes at the highest ma</w:t>
      </w:r>
      <w:r>
        <w:rPr>
          <w:rFonts w:ascii="Arial" w:eastAsia="Arial" w:hAnsi="Arial" w:cs="Arial"/>
          <w:sz w:val="18"/>
          <w:szCs w:val="18"/>
        </w:rPr>
        <w:t>rginal rates of individual taxation in each applicable state and locality, net of the maximum reduction in federal income taxes which could be obtained from deduction of such state and local taxes.</w:t>
      </w:r>
    </w:p>
    <w:p w:rsidR="000728AD" w:rsidRDefault="000728AD">
      <w:pPr>
        <w:spacing w:line="164" w:lineRule="exact"/>
        <w:rPr>
          <w:rFonts w:ascii="Arial" w:eastAsia="Arial" w:hAnsi="Arial" w:cs="Arial"/>
          <w:sz w:val="18"/>
          <w:szCs w:val="18"/>
        </w:rPr>
      </w:pPr>
    </w:p>
    <w:p w:rsidR="000728AD" w:rsidRDefault="000561BE">
      <w:pPr>
        <w:numPr>
          <w:ilvl w:val="1"/>
          <w:numId w:val="53"/>
        </w:numPr>
        <w:tabs>
          <w:tab w:val="left" w:pos="1944"/>
        </w:tabs>
        <w:spacing w:line="244" w:lineRule="auto"/>
        <w:ind w:right="60" w:firstLine="1547"/>
        <w:jc w:val="both"/>
        <w:rPr>
          <w:rFonts w:ascii="Arial" w:eastAsia="Arial" w:hAnsi="Arial" w:cs="Arial"/>
          <w:sz w:val="20"/>
          <w:szCs w:val="20"/>
        </w:rPr>
      </w:pPr>
      <w:r>
        <w:rPr>
          <w:rFonts w:ascii="Arial" w:eastAsia="Arial" w:hAnsi="Arial" w:cs="Arial"/>
          <w:sz w:val="20"/>
          <w:szCs w:val="20"/>
        </w:rPr>
        <w:t xml:space="preserve">The determination as to whether a reduction in the </w:t>
      </w:r>
      <w:r>
        <w:rPr>
          <w:rFonts w:ascii="Arial" w:eastAsia="Arial" w:hAnsi="Arial" w:cs="Arial"/>
          <w:sz w:val="20"/>
          <w:szCs w:val="20"/>
        </w:rPr>
        <w:t>Aggregate Payments shall be made pursuant to Section 6(b)(i) shall be made by a nationally recognized accounting firm selected and paid by the Company (the “</w:t>
      </w:r>
      <w:r>
        <w:rPr>
          <w:rFonts w:ascii="Arial" w:eastAsia="Arial" w:hAnsi="Arial" w:cs="Arial"/>
          <w:sz w:val="20"/>
          <w:szCs w:val="20"/>
          <w:u w:val="single"/>
        </w:rPr>
        <w:t>Accounting Firm</w:t>
      </w:r>
      <w:r>
        <w:rPr>
          <w:rFonts w:ascii="Arial" w:eastAsia="Arial" w:hAnsi="Arial" w:cs="Arial"/>
          <w:sz w:val="20"/>
          <w:szCs w:val="20"/>
        </w:rPr>
        <w:t xml:space="preserve">”), which shall provide detailed supporting calculations both to the Company and </w:t>
      </w:r>
      <w:r>
        <w:rPr>
          <w:rFonts w:ascii="Arial" w:eastAsia="Arial" w:hAnsi="Arial" w:cs="Arial"/>
          <w:sz w:val="20"/>
          <w:szCs w:val="20"/>
        </w:rPr>
        <w:t>the Executive within 15 business days of the Date of Termination, if applicable, or at such earlier time as is reasonably requested by the Company or the Executive. Any determination by the Accounting Firm shall be binding upon the Company and the Executiv</w:t>
      </w:r>
      <w:r>
        <w:rPr>
          <w:rFonts w:ascii="Arial" w:eastAsia="Arial" w:hAnsi="Arial" w:cs="Arial"/>
          <w:sz w:val="20"/>
          <w:szCs w:val="20"/>
        </w:rPr>
        <w:t>e.</w:t>
      </w:r>
    </w:p>
    <w:p w:rsidR="000728AD" w:rsidRDefault="000728AD">
      <w:pPr>
        <w:spacing w:line="194" w:lineRule="exact"/>
        <w:rPr>
          <w:rFonts w:ascii="Arial" w:eastAsia="Arial" w:hAnsi="Arial" w:cs="Arial"/>
          <w:sz w:val="20"/>
          <w:szCs w:val="20"/>
        </w:rPr>
      </w:pPr>
    </w:p>
    <w:p w:rsidR="000728AD" w:rsidRDefault="000561BE">
      <w:pPr>
        <w:numPr>
          <w:ilvl w:val="0"/>
          <w:numId w:val="53"/>
        </w:numPr>
        <w:tabs>
          <w:tab w:val="left" w:pos="1300"/>
        </w:tabs>
        <w:ind w:left="1300" w:hanging="320"/>
        <w:rPr>
          <w:rFonts w:ascii="Arial" w:eastAsia="Arial" w:hAnsi="Arial" w:cs="Arial"/>
          <w:sz w:val="20"/>
          <w:szCs w:val="20"/>
        </w:rPr>
      </w:pPr>
      <w:r>
        <w:rPr>
          <w:rFonts w:ascii="Arial" w:eastAsia="Arial" w:hAnsi="Arial" w:cs="Arial"/>
          <w:sz w:val="20"/>
          <w:szCs w:val="20"/>
          <w:u w:val="single"/>
        </w:rPr>
        <w:t>Definitions</w:t>
      </w:r>
      <w:r>
        <w:rPr>
          <w:rFonts w:ascii="Arial" w:eastAsia="Arial" w:hAnsi="Arial" w:cs="Arial"/>
          <w:sz w:val="20"/>
          <w:szCs w:val="20"/>
        </w:rPr>
        <w:t>. For purposes of this Section 6, the following terms shall have the following meanings:</w:t>
      </w:r>
    </w:p>
    <w:p w:rsidR="000728AD" w:rsidRDefault="000728AD">
      <w:pPr>
        <w:spacing w:line="216" w:lineRule="exact"/>
        <w:rPr>
          <w:sz w:val="20"/>
          <w:szCs w:val="20"/>
        </w:rPr>
      </w:pPr>
    </w:p>
    <w:p w:rsidR="000728AD" w:rsidRDefault="000561BE">
      <w:pPr>
        <w:ind w:left="660"/>
        <w:rPr>
          <w:sz w:val="20"/>
          <w:szCs w:val="20"/>
        </w:rPr>
      </w:pPr>
      <w:r>
        <w:rPr>
          <w:rFonts w:ascii="Arial" w:eastAsia="Arial" w:hAnsi="Arial" w:cs="Arial"/>
          <w:sz w:val="20"/>
          <w:szCs w:val="20"/>
        </w:rPr>
        <w:t>“</w:t>
      </w:r>
      <w:r>
        <w:rPr>
          <w:rFonts w:ascii="Arial" w:eastAsia="Arial" w:hAnsi="Arial" w:cs="Arial"/>
          <w:sz w:val="20"/>
          <w:szCs w:val="20"/>
          <w:u w:val="single"/>
        </w:rPr>
        <w:t>Change in Control</w:t>
      </w:r>
      <w:r>
        <w:rPr>
          <w:rFonts w:ascii="Arial" w:eastAsia="Arial" w:hAnsi="Arial" w:cs="Arial"/>
          <w:sz w:val="20"/>
          <w:szCs w:val="20"/>
        </w:rPr>
        <w:t>” shall have the meaning of “</w:t>
      </w:r>
      <w:r>
        <w:rPr>
          <w:rFonts w:ascii="Arial" w:eastAsia="Arial" w:hAnsi="Arial" w:cs="Arial"/>
          <w:sz w:val="20"/>
          <w:szCs w:val="20"/>
          <w:u w:val="single"/>
        </w:rPr>
        <w:t>Sale Event</w:t>
      </w:r>
      <w:r>
        <w:rPr>
          <w:rFonts w:ascii="Arial" w:eastAsia="Arial" w:hAnsi="Arial" w:cs="Arial"/>
          <w:sz w:val="20"/>
          <w:szCs w:val="20"/>
        </w:rPr>
        <w:t>” as defined in the Stock Plan or any successor plan.</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56" w:lineRule="exact"/>
        <w:rPr>
          <w:sz w:val="20"/>
          <w:szCs w:val="20"/>
        </w:rPr>
      </w:pPr>
    </w:p>
    <w:p w:rsidR="000728AD" w:rsidRDefault="000561BE">
      <w:pPr>
        <w:jc w:val="center"/>
        <w:rPr>
          <w:sz w:val="20"/>
          <w:szCs w:val="20"/>
        </w:rPr>
      </w:pPr>
      <w:r>
        <w:rPr>
          <w:rFonts w:ascii="Arial" w:eastAsia="Arial" w:hAnsi="Arial" w:cs="Arial"/>
        </w:rPr>
        <w:t>8</w:t>
      </w:r>
    </w:p>
    <w:p w:rsidR="000728AD" w:rsidRDefault="000728AD">
      <w:pPr>
        <w:sectPr w:rsidR="000728AD">
          <w:pgSz w:w="11900" w:h="16838"/>
          <w:pgMar w:top="115" w:right="339" w:bottom="1440" w:left="320" w:header="0" w:footer="0" w:gutter="0"/>
          <w:cols w:space="720" w:equalWidth="0">
            <w:col w:w="11240"/>
          </w:cols>
        </w:sectPr>
      </w:pPr>
    </w:p>
    <w:p w:rsidR="000728AD" w:rsidRDefault="000561BE">
      <w:pPr>
        <w:jc w:val="right"/>
        <w:rPr>
          <w:sz w:val="20"/>
          <w:szCs w:val="20"/>
        </w:rPr>
      </w:pPr>
      <w:bookmarkStart w:id="109" w:name="page109"/>
      <w:bookmarkEnd w:id="109"/>
      <w:r>
        <w:rPr>
          <w:rFonts w:ascii="Arial" w:eastAsia="Arial" w:hAnsi="Arial" w:cs="Arial"/>
          <w:b/>
          <w:bCs/>
          <w:sz w:val="20"/>
          <w:szCs w:val="20"/>
        </w:rPr>
        <w:lastRenderedPageBreak/>
        <w:t>Exhibit 10.1</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73" w:lineRule="exact"/>
        <w:rPr>
          <w:sz w:val="20"/>
          <w:szCs w:val="20"/>
        </w:rPr>
      </w:pPr>
    </w:p>
    <w:p w:rsidR="000728AD" w:rsidRDefault="000561BE">
      <w:pPr>
        <w:numPr>
          <w:ilvl w:val="0"/>
          <w:numId w:val="54"/>
        </w:numPr>
        <w:tabs>
          <w:tab w:val="left" w:pos="1300"/>
        </w:tabs>
        <w:ind w:left="1300" w:hanging="644"/>
        <w:rPr>
          <w:rFonts w:ascii="Arial" w:eastAsia="Arial" w:hAnsi="Arial" w:cs="Arial"/>
          <w:sz w:val="20"/>
          <w:szCs w:val="20"/>
        </w:rPr>
      </w:pPr>
      <w:r>
        <w:rPr>
          <w:rFonts w:ascii="Arial" w:eastAsia="Arial" w:hAnsi="Arial" w:cs="Arial"/>
          <w:sz w:val="20"/>
          <w:szCs w:val="20"/>
          <w:u w:val="single"/>
        </w:rPr>
        <w:t>Section 409A</w:t>
      </w:r>
      <w:r>
        <w:rPr>
          <w:rFonts w:ascii="Arial" w:eastAsia="Arial" w:hAnsi="Arial" w:cs="Arial"/>
          <w:sz w:val="20"/>
          <w:szCs w:val="20"/>
        </w:rPr>
        <w:t>.</w:t>
      </w:r>
    </w:p>
    <w:p w:rsidR="000728AD" w:rsidRDefault="000728AD">
      <w:pPr>
        <w:spacing w:line="215" w:lineRule="exact"/>
        <w:rPr>
          <w:rFonts w:ascii="Arial" w:eastAsia="Arial" w:hAnsi="Arial" w:cs="Arial"/>
          <w:sz w:val="20"/>
          <w:szCs w:val="20"/>
        </w:rPr>
      </w:pPr>
    </w:p>
    <w:p w:rsidR="000728AD" w:rsidRDefault="000561BE">
      <w:pPr>
        <w:numPr>
          <w:ilvl w:val="1"/>
          <w:numId w:val="54"/>
        </w:numPr>
        <w:tabs>
          <w:tab w:val="left" w:pos="1286"/>
        </w:tabs>
        <w:spacing w:line="272" w:lineRule="auto"/>
        <w:ind w:right="80" w:firstLine="980"/>
        <w:rPr>
          <w:rFonts w:ascii="Arial" w:eastAsia="Arial" w:hAnsi="Arial" w:cs="Arial"/>
          <w:sz w:val="18"/>
          <w:szCs w:val="18"/>
        </w:rPr>
      </w:pPr>
      <w:r>
        <w:rPr>
          <w:rFonts w:ascii="Arial" w:eastAsia="Arial" w:hAnsi="Arial" w:cs="Arial"/>
          <w:sz w:val="18"/>
          <w:szCs w:val="18"/>
        </w:rPr>
        <w:t>Anything in this Agreement to the contrary notwithstanding, if at the time of the Executive’s separation from service within the meaning of Section 409A of the Code, the Company determines that the Executive is a “</w:t>
      </w:r>
      <w:r>
        <w:rPr>
          <w:rFonts w:ascii="Arial" w:eastAsia="Arial" w:hAnsi="Arial" w:cs="Arial"/>
          <w:sz w:val="18"/>
          <w:szCs w:val="18"/>
          <w:u w:val="single"/>
        </w:rPr>
        <w:t xml:space="preserve">specified </w:t>
      </w:r>
      <w:r>
        <w:rPr>
          <w:rFonts w:ascii="Arial" w:eastAsia="Arial" w:hAnsi="Arial" w:cs="Arial"/>
          <w:sz w:val="18"/>
          <w:szCs w:val="18"/>
          <w:u w:val="single"/>
        </w:rPr>
        <w:t>employee</w:t>
      </w:r>
      <w:r>
        <w:rPr>
          <w:rFonts w:ascii="Arial" w:eastAsia="Arial" w:hAnsi="Arial" w:cs="Arial"/>
          <w:sz w:val="18"/>
          <w:szCs w:val="18"/>
        </w:rPr>
        <w:t>” within the meaning of Section 409A(a)(2)(B)(i) of the Code, then to the extent any payment or benefit that the Executive becomes entitled to under this Agreement on account of the Executive’s separation from service would be considered deferred c</w:t>
      </w:r>
      <w:r>
        <w:rPr>
          <w:rFonts w:ascii="Arial" w:eastAsia="Arial" w:hAnsi="Arial" w:cs="Arial"/>
          <w:sz w:val="18"/>
          <w:szCs w:val="18"/>
        </w:rPr>
        <w:t xml:space="preserve">ompensation otherwise subject to the 20 percent additional tax imposed pursuant to Section 409A(a) of the Code as a result of the application of Section 409A(a)(2)(B)(i) of the Code, such payment shall not be payable and such benefit shall not be provided </w:t>
      </w:r>
      <w:r>
        <w:rPr>
          <w:rFonts w:ascii="Arial" w:eastAsia="Arial" w:hAnsi="Arial" w:cs="Arial"/>
          <w:sz w:val="18"/>
          <w:szCs w:val="18"/>
        </w:rPr>
        <w:t>until the date that is the earlier of (A) six months and one day after the Executive’s separation from service, or (B) the Executive’s death. If any such delayed cash payment is otherwise payable on an installment basis, the first payment shall include a c</w:t>
      </w:r>
      <w:r>
        <w:rPr>
          <w:rFonts w:ascii="Arial" w:eastAsia="Arial" w:hAnsi="Arial" w:cs="Arial"/>
          <w:sz w:val="18"/>
          <w:szCs w:val="18"/>
        </w:rPr>
        <w:t>atch-up payment covering amounts that would otherwise have been paid during the six-month period but for the application of this provision, and the balance of the installments shall be payable in accordance with the original schedule.</w:t>
      </w:r>
    </w:p>
    <w:p w:rsidR="000728AD" w:rsidRDefault="000728AD">
      <w:pPr>
        <w:spacing w:line="170" w:lineRule="exact"/>
        <w:rPr>
          <w:rFonts w:ascii="Arial" w:eastAsia="Arial" w:hAnsi="Arial" w:cs="Arial"/>
          <w:sz w:val="18"/>
          <w:szCs w:val="18"/>
        </w:rPr>
      </w:pPr>
    </w:p>
    <w:p w:rsidR="000728AD" w:rsidRDefault="000561BE">
      <w:pPr>
        <w:numPr>
          <w:ilvl w:val="1"/>
          <w:numId w:val="54"/>
        </w:numPr>
        <w:tabs>
          <w:tab w:val="left" w:pos="1284"/>
        </w:tabs>
        <w:spacing w:line="243" w:lineRule="auto"/>
        <w:ind w:right="100" w:firstLine="980"/>
        <w:rPr>
          <w:rFonts w:ascii="Arial" w:eastAsia="Arial" w:hAnsi="Arial" w:cs="Arial"/>
          <w:sz w:val="20"/>
          <w:szCs w:val="20"/>
        </w:rPr>
      </w:pPr>
      <w:r>
        <w:rPr>
          <w:rFonts w:ascii="Arial" w:eastAsia="Arial" w:hAnsi="Arial" w:cs="Arial"/>
          <w:sz w:val="20"/>
          <w:szCs w:val="20"/>
        </w:rPr>
        <w:t>All in-kind benefits</w:t>
      </w:r>
      <w:r>
        <w:rPr>
          <w:rFonts w:ascii="Arial" w:eastAsia="Arial" w:hAnsi="Arial" w:cs="Arial"/>
          <w:sz w:val="20"/>
          <w:szCs w:val="20"/>
        </w:rPr>
        <w:t xml:space="preserve"> provided and expenses eligible for reimbursement under this Agreement shall be provided by the Company or incurred by the Executive during the time periods set forth in this Agreement. All reimbursements shall be paid as soon as administratively practicab</w:t>
      </w:r>
      <w:r>
        <w:rPr>
          <w:rFonts w:ascii="Arial" w:eastAsia="Arial" w:hAnsi="Arial" w:cs="Arial"/>
          <w:sz w:val="20"/>
          <w:szCs w:val="20"/>
        </w:rPr>
        <w:t>le, but in no event shall any reimbursement be paid after the last day of the taxable year following the taxable year in which the expense was incurred. The amount of in-kind benefits provided, or reimbursable expenses incurred in one taxable year shall no</w:t>
      </w:r>
      <w:r>
        <w:rPr>
          <w:rFonts w:ascii="Arial" w:eastAsia="Arial" w:hAnsi="Arial" w:cs="Arial"/>
          <w:sz w:val="20"/>
          <w:szCs w:val="20"/>
        </w:rPr>
        <w:t>t affect the in-kind benefits to be provided or the expenses eligible for reimbursement in any other taxable year (except for any lifetime or other aggregate limitation applicable to medical expenses). Such right to reimbursement or in-kind benefits is not</w:t>
      </w:r>
      <w:r>
        <w:rPr>
          <w:rFonts w:ascii="Arial" w:eastAsia="Arial" w:hAnsi="Arial" w:cs="Arial"/>
          <w:sz w:val="20"/>
          <w:szCs w:val="20"/>
        </w:rPr>
        <w:t xml:space="preserve"> subject to liquidation or exchange for another benefit.</w:t>
      </w:r>
    </w:p>
    <w:p w:rsidR="000728AD" w:rsidRDefault="000728AD">
      <w:pPr>
        <w:spacing w:line="192" w:lineRule="exact"/>
        <w:rPr>
          <w:rFonts w:ascii="Arial" w:eastAsia="Arial" w:hAnsi="Arial" w:cs="Arial"/>
          <w:sz w:val="20"/>
          <w:szCs w:val="20"/>
        </w:rPr>
      </w:pPr>
    </w:p>
    <w:p w:rsidR="000728AD" w:rsidRDefault="000561BE">
      <w:pPr>
        <w:numPr>
          <w:ilvl w:val="1"/>
          <w:numId w:val="54"/>
        </w:numPr>
        <w:tabs>
          <w:tab w:val="left" w:pos="1286"/>
        </w:tabs>
        <w:spacing w:line="244" w:lineRule="auto"/>
        <w:ind w:right="140" w:firstLine="980"/>
        <w:rPr>
          <w:rFonts w:ascii="Arial" w:eastAsia="Arial" w:hAnsi="Arial" w:cs="Arial"/>
          <w:sz w:val="20"/>
          <w:szCs w:val="20"/>
        </w:rPr>
      </w:pPr>
      <w:r>
        <w:rPr>
          <w:rFonts w:ascii="Arial" w:eastAsia="Arial" w:hAnsi="Arial" w:cs="Arial"/>
          <w:sz w:val="20"/>
          <w:szCs w:val="20"/>
        </w:rPr>
        <w:t>To the extent that any payment or benefit described in this Agreement constitutes “non-qualified deferred compensation” under Section 409A of the Code, and to the extent that such payment or benefit</w:t>
      </w:r>
      <w:r>
        <w:rPr>
          <w:rFonts w:ascii="Arial" w:eastAsia="Arial" w:hAnsi="Arial" w:cs="Arial"/>
          <w:sz w:val="20"/>
          <w:szCs w:val="20"/>
        </w:rPr>
        <w:t xml:space="preserve"> is payable upon the Executive’s termination of employment, then such payments or benefits shall be payable only upon the Executive’s “separation from service.” The determination of whether and when a separation from service has occurred shall be made in a</w:t>
      </w:r>
      <w:r>
        <w:rPr>
          <w:rFonts w:ascii="Arial" w:eastAsia="Arial" w:hAnsi="Arial" w:cs="Arial"/>
          <w:sz w:val="20"/>
          <w:szCs w:val="20"/>
        </w:rPr>
        <w:t>ccordance with the presumptions set forth in Treasury Regulation Section 1.409A-1(h).</w:t>
      </w:r>
    </w:p>
    <w:p w:rsidR="000728AD" w:rsidRDefault="000728AD">
      <w:pPr>
        <w:spacing w:line="194" w:lineRule="exact"/>
        <w:rPr>
          <w:rFonts w:ascii="Arial" w:eastAsia="Arial" w:hAnsi="Arial" w:cs="Arial"/>
          <w:sz w:val="20"/>
          <w:szCs w:val="20"/>
        </w:rPr>
      </w:pPr>
    </w:p>
    <w:p w:rsidR="000728AD" w:rsidRDefault="000561BE">
      <w:pPr>
        <w:numPr>
          <w:ilvl w:val="1"/>
          <w:numId w:val="54"/>
        </w:numPr>
        <w:tabs>
          <w:tab w:val="left" w:pos="1284"/>
        </w:tabs>
        <w:spacing w:line="276" w:lineRule="auto"/>
        <w:ind w:right="120" w:firstLine="980"/>
        <w:rPr>
          <w:rFonts w:ascii="Arial" w:eastAsia="Arial" w:hAnsi="Arial" w:cs="Arial"/>
          <w:sz w:val="18"/>
          <w:szCs w:val="18"/>
        </w:rPr>
      </w:pPr>
      <w:r>
        <w:rPr>
          <w:rFonts w:ascii="Arial" w:eastAsia="Arial" w:hAnsi="Arial" w:cs="Arial"/>
          <w:sz w:val="18"/>
          <w:szCs w:val="18"/>
        </w:rPr>
        <w:t xml:space="preserve">The parties intend that this Agreement will be administered in accordance with Section 409A of the Code. To the extent that any provision of this Agreement is ambiguous </w:t>
      </w:r>
      <w:r>
        <w:rPr>
          <w:rFonts w:ascii="Arial" w:eastAsia="Arial" w:hAnsi="Arial" w:cs="Arial"/>
          <w:sz w:val="18"/>
          <w:szCs w:val="18"/>
        </w:rPr>
        <w:t>as to its compliance with Section 409A of the Code, the provision shall be read in such a manner so that all payments hereunder comply with Section 409A of the Code. Each payment pursuant to this Agreement is intended to constitute a separate payment for p</w:t>
      </w:r>
      <w:r>
        <w:rPr>
          <w:rFonts w:ascii="Arial" w:eastAsia="Arial" w:hAnsi="Arial" w:cs="Arial"/>
          <w:sz w:val="18"/>
          <w:szCs w:val="18"/>
        </w:rPr>
        <w:t>urposes of Treasury Regulation Section 1.409A2(b)(2). The parties agree that this Agreement may be amended, as reasonably requested by either party, and as may be necessary to fully comply with Section 409A of the Code and all related rules and regulations</w:t>
      </w:r>
      <w:r>
        <w:rPr>
          <w:rFonts w:ascii="Arial" w:eastAsia="Arial" w:hAnsi="Arial" w:cs="Arial"/>
          <w:sz w:val="18"/>
          <w:szCs w:val="18"/>
        </w:rPr>
        <w:t xml:space="preserve"> in order to preserve the payments and benefits provided hereunder without additional cost to either party.</w:t>
      </w:r>
    </w:p>
    <w:p w:rsidR="000728AD" w:rsidRDefault="000728AD">
      <w:pPr>
        <w:spacing w:line="164" w:lineRule="exact"/>
        <w:rPr>
          <w:rFonts w:ascii="Arial" w:eastAsia="Arial" w:hAnsi="Arial" w:cs="Arial"/>
          <w:sz w:val="18"/>
          <w:szCs w:val="18"/>
        </w:rPr>
      </w:pPr>
    </w:p>
    <w:p w:rsidR="000728AD" w:rsidRDefault="000561BE">
      <w:pPr>
        <w:numPr>
          <w:ilvl w:val="1"/>
          <w:numId w:val="54"/>
        </w:numPr>
        <w:tabs>
          <w:tab w:val="left" w:pos="1286"/>
        </w:tabs>
        <w:spacing w:line="250" w:lineRule="auto"/>
        <w:ind w:right="240" w:firstLine="980"/>
        <w:rPr>
          <w:rFonts w:ascii="Arial" w:eastAsia="Arial" w:hAnsi="Arial" w:cs="Arial"/>
          <w:sz w:val="20"/>
          <w:szCs w:val="20"/>
        </w:rPr>
      </w:pPr>
      <w:r>
        <w:rPr>
          <w:rFonts w:ascii="Arial" w:eastAsia="Arial" w:hAnsi="Arial" w:cs="Arial"/>
          <w:sz w:val="20"/>
          <w:szCs w:val="20"/>
        </w:rPr>
        <w:t>The Company makes no representation or warranty and shall have no liability to the Executive or any other person if any provisions of this Agreemen</w:t>
      </w:r>
      <w:r>
        <w:rPr>
          <w:rFonts w:ascii="Arial" w:eastAsia="Arial" w:hAnsi="Arial" w:cs="Arial"/>
          <w:sz w:val="20"/>
          <w:szCs w:val="20"/>
        </w:rPr>
        <w:t>t are determined to constitute deferred compensation subject to Section 409A of the Code but do not satisfy an exemption from, or the conditions of, such Section.</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34" w:lineRule="exact"/>
        <w:rPr>
          <w:sz w:val="20"/>
          <w:szCs w:val="20"/>
        </w:rPr>
      </w:pPr>
    </w:p>
    <w:p w:rsidR="000728AD" w:rsidRDefault="000561BE">
      <w:pPr>
        <w:jc w:val="center"/>
        <w:rPr>
          <w:sz w:val="20"/>
          <w:szCs w:val="20"/>
        </w:rPr>
      </w:pPr>
      <w:r>
        <w:rPr>
          <w:rFonts w:ascii="Arial" w:eastAsia="Arial" w:hAnsi="Arial" w:cs="Arial"/>
        </w:rPr>
        <w:t>9</w:t>
      </w:r>
    </w:p>
    <w:p w:rsidR="000728AD" w:rsidRDefault="000728AD">
      <w:pPr>
        <w:sectPr w:rsidR="000728AD">
          <w:pgSz w:w="11900" w:h="16838"/>
          <w:pgMar w:top="115" w:right="339" w:bottom="1440" w:left="320" w:header="0" w:footer="0" w:gutter="0"/>
          <w:cols w:space="720" w:equalWidth="0">
            <w:col w:w="11240"/>
          </w:cols>
        </w:sectPr>
      </w:pPr>
    </w:p>
    <w:p w:rsidR="000728AD" w:rsidRDefault="000561BE">
      <w:pPr>
        <w:jc w:val="right"/>
        <w:rPr>
          <w:sz w:val="20"/>
          <w:szCs w:val="20"/>
        </w:rPr>
      </w:pPr>
      <w:bookmarkStart w:id="110" w:name="page110"/>
      <w:bookmarkEnd w:id="110"/>
      <w:r>
        <w:rPr>
          <w:rFonts w:ascii="Arial" w:eastAsia="Arial" w:hAnsi="Arial" w:cs="Arial"/>
          <w:b/>
          <w:bCs/>
          <w:sz w:val="20"/>
          <w:szCs w:val="20"/>
        </w:rPr>
        <w:lastRenderedPageBreak/>
        <w:t>Exhibit 10.1</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73" w:lineRule="exact"/>
        <w:rPr>
          <w:sz w:val="20"/>
          <w:szCs w:val="20"/>
        </w:rPr>
      </w:pPr>
    </w:p>
    <w:p w:rsidR="000728AD" w:rsidRDefault="000561BE">
      <w:pPr>
        <w:numPr>
          <w:ilvl w:val="0"/>
          <w:numId w:val="55"/>
        </w:numPr>
        <w:tabs>
          <w:tab w:val="left" w:pos="1296"/>
        </w:tabs>
        <w:spacing w:line="263" w:lineRule="auto"/>
        <w:ind w:right="20" w:firstLine="656"/>
        <w:jc w:val="both"/>
        <w:rPr>
          <w:rFonts w:ascii="Arial" w:eastAsia="Arial" w:hAnsi="Arial" w:cs="Arial"/>
          <w:sz w:val="19"/>
          <w:szCs w:val="19"/>
        </w:rPr>
      </w:pPr>
      <w:r>
        <w:rPr>
          <w:rFonts w:ascii="Arial" w:eastAsia="Arial" w:hAnsi="Arial" w:cs="Arial"/>
          <w:sz w:val="19"/>
          <w:szCs w:val="19"/>
          <w:u w:val="single"/>
        </w:rPr>
        <w:t>Restrictive Covenants Agreement</w:t>
      </w:r>
      <w:r>
        <w:rPr>
          <w:rFonts w:ascii="Arial" w:eastAsia="Arial" w:hAnsi="Arial" w:cs="Arial"/>
          <w:sz w:val="19"/>
          <w:szCs w:val="19"/>
        </w:rPr>
        <w:t xml:space="preserve">. As a </w:t>
      </w:r>
      <w:r>
        <w:rPr>
          <w:rFonts w:ascii="Arial" w:eastAsia="Arial" w:hAnsi="Arial" w:cs="Arial"/>
          <w:sz w:val="19"/>
          <w:szCs w:val="19"/>
        </w:rPr>
        <w:t>condition of employment, the Executive is required to enter into the Employee Confidentiality, Assignment, Nonsolicitation and Noncompetition Agreement attached hereto as Exhibit A (the “</w:t>
      </w:r>
      <w:r>
        <w:rPr>
          <w:rFonts w:ascii="Arial" w:eastAsia="Arial" w:hAnsi="Arial" w:cs="Arial"/>
          <w:sz w:val="19"/>
          <w:szCs w:val="19"/>
          <w:u w:val="single"/>
        </w:rPr>
        <w:t>Restrictive Covenants</w:t>
      </w:r>
      <w:r>
        <w:rPr>
          <w:rFonts w:ascii="Arial" w:eastAsia="Arial" w:hAnsi="Arial" w:cs="Arial"/>
          <w:sz w:val="19"/>
          <w:szCs w:val="19"/>
        </w:rPr>
        <w:t xml:space="preserve"> </w:t>
      </w:r>
      <w:r>
        <w:rPr>
          <w:rFonts w:ascii="Arial" w:eastAsia="Arial" w:hAnsi="Arial" w:cs="Arial"/>
          <w:sz w:val="19"/>
          <w:szCs w:val="19"/>
          <w:u w:val="single"/>
        </w:rPr>
        <w:t>Agreement</w:t>
      </w:r>
      <w:r>
        <w:rPr>
          <w:rFonts w:ascii="Arial" w:eastAsia="Arial" w:hAnsi="Arial" w:cs="Arial"/>
          <w:sz w:val="19"/>
          <w:szCs w:val="19"/>
        </w:rPr>
        <w:t>”). The Executive acknowledges and agr</w:t>
      </w:r>
      <w:r>
        <w:rPr>
          <w:rFonts w:ascii="Arial" w:eastAsia="Arial" w:hAnsi="Arial" w:cs="Arial"/>
          <w:sz w:val="19"/>
          <w:szCs w:val="19"/>
        </w:rPr>
        <w:t>ees that the Executive received the Restrictive Covenants Agreement with this Agreement and at least ten (10) business days before the commencement of the Executive’s employment.</w:t>
      </w:r>
    </w:p>
    <w:p w:rsidR="000728AD" w:rsidRDefault="000728AD">
      <w:pPr>
        <w:spacing w:line="176" w:lineRule="exact"/>
        <w:rPr>
          <w:rFonts w:ascii="Arial" w:eastAsia="Arial" w:hAnsi="Arial" w:cs="Arial"/>
          <w:sz w:val="19"/>
          <w:szCs w:val="19"/>
        </w:rPr>
      </w:pPr>
    </w:p>
    <w:p w:rsidR="000728AD" w:rsidRDefault="000561BE">
      <w:pPr>
        <w:numPr>
          <w:ilvl w:val="0"/>
          <w:numId w:val="55"/>
        </w:numPr>
        <w:tabs>
          <w:tab w:val="left" w:pos="1296"/>
        </w:tabs>
        <w:spacing w:line="272" w:lineRule="auto"/>
        <w:ind w:firstLine="656"/>
        <w:rPr>
          <w:rFonts w:ascii="Arial" w:eastAsia="Arial" w:hAnsi="Arial" w:cs="Arial"/>
          <w:sz w:val="18"/>
          <w:szCs w:val="18"/>
        </w:rPr>
      </w:pPr>
      <w:r>
        <w:rPr>
          <w:rFonts w:ascii="Arial" w:eastAsia="Arial" w:hAnsi="Arial" w:cs="Arial"/>
          <w:sz w:val="18"/>
          <w:szCs w:val="18"/>
          <w:u w:val="single"/>
        </w:rPr>
        <w:t>Litigation and Regulatory Cooperation</w:t>
      </w:r>
      <w:r>
        <w:rPr>
          <w:rFonts w:ascii="Arial" w:eastAsia="Arial" w:hAnsi="Arial" w:cs="Arial"/>
          <w:sz w:val="18"/>
          <w:szCs w:val="18"/>
        </w:rPr>
        <w:t>. During and after the Executive’s empl</w:t>
      </w:r>
      <w:r>
        <w:rPr>
          <w:rFonts w:ascii="Arial" w:eastAsia="Arial" w:hAnsi="Arial" w:cs="Arial"/>
          <w:sz w:val="18"/>
          <w:szCs w:val="18"/>
        </w:rPr>
        <w:t xml:space="preserve">oyment, the Executive shall reasonably cooperate fully with the Company in the defense or prosecution of any claims or actions now in existence or which may be brought in the future against or on behalf of the Company which relate to events or occurrences </w:t>
      </w:r>
      <w:r>
        <w:rPr>
          <w:rFonts w:ascii="Arial" w:eastAsia="Arial" w:hAnsi="Arial" w:cs="Arial"/>
          <w:sz w:val="18"/>
          <w:szCs w:val="18"/>
        </w:rPr>
        <w:t xml:space="preserve">that transpired while the Executive was employed by the Company. The Executive’s full cooperation in connection with such claims or actions shall include, but not be limited to, being available to meet with counsel to prepare for discovery or trial and to </w:t>
      </w:r>
      <w:r>
        <w:rPr>
          <w:rFonts w:ascii="Arial" w:eastAsia="Arial" w:hAnsi="Arial" w:cs="Arial"/>
          <w:sz w:val="18"/>
          <w:szCs w:val="18"/>
        </w:rPr>
        <w:t>act as a witness on behalf of the Company at mutually convenient times. During and after the Executive’s employment, the Executive also shall cooperate fully with the Company in connection with any investigation or review of any federal, state or local reg</w:t>
      </w:r>
      <w:r>
        <w:rPr>
          <w:rFonts w:ascii="Arial" w:eastAsia="Arial" w:hAnsi="Arial" w:cs="Arial"/>
          <w:sz w:val="18"/>
          <w:szCs w:val="18"/>
        </w:rPr>
        <w:t>ulatory authority as any such investigation or review relates to events or occurrences that transpired while the Executive was employed by the Company. The Company shall reimburse the Executive for any reasonable outofpocket expenses including reasonable a</w:t>
      </w:r>
      <w:r>
        <w:rPr>
          <w:rFonts w:ascii="Arial" w:eastAsia="Arial" w:hAnsi="Arial" w:cs="Arial"/>
          <w:sz w:val="18"/>
          <w:szCs w:val="18"/>
        </w:rPr>
        <w:t>ttorney’s fees incurred by Executive in connection with the Executive’s performance of obligations pursuant to this Section 9.</w:t>
      </w:r>
    </w:p>
    <w:p w:rsidR="000728AD" w:rsidRDefault="000728AD">
      <w:pPr>
        <w:spacing w:line="170" w:lineRule="exact"/>
        <w:rPr>
          <w:rFonts w:ascii="Arial" w:eastAsia="Arial" w:hAnsi="Arial" w:cs="Arial"/>
          <w:sz w:val="18"/>
          <w:szCs w:val="18"/>
        </w:rPr>
      </w:pPr>
    </w:p>
    <w:p w:rsidR="000728AD" w:rsidRDefault="000561BE">
      <w:pPr>
        <w:numPr>
          <w:ilvl w:val="0"/>
          <w:numId w:val="55"/>
        </w:numPr>
        <w:tabs>
          <w:tab w:val="left" w:pos="1287"/>
        </w:tabs>
        <w:spacing w:line="260" w:lineRule="auto"/>
        <w:ind w:right="660" w:firstLine="656"/>
        <w:rPr>
          <w:rFonts w:ascii="Arial" w:eastAsia="Arial" w:hAnsi="Arial" w:cs="Arial"/>
          <w:sz w:val="20"/>
          <w:szCs w:val="20"/>
        </w:rPr>
      </w:pPr>
      <w:r>
        <w:rPr>
          <w:rFonts w:ascii="Arial" w:eastAsia="Arial" w:hAnsi="Arial" w:cs="Arial"/>
          <w:sz w:val="20"/>
          <w:szCs w:val="20"/>
          <w:u w:val="single"/>
        </w:rPr>
        <w:t>Survival</w:t>
      </w:r>
      <w:r>
        <w:rPr>
          <w:rFonts w:ascii="Arial" w:eastAsia="Arial" w:hAnsi="Arial" w:cs="Arial"/>
          <w:sz w:val="20"/>
          <w:szCs w:val="20"/>
        </w:rPr>
        <w:t>. The provisions of this Agreement shall survive the termination of the Executive’s employment to the extent necessary t</w:t>
      </w:r>
      <w:r>
        <w:rPr>
          <w:rFonts w:ascii="Arial" w:eastAsia="Arial" w:hAnsi="Arial" w:cs="Arial"/>
          <w:sz w:val="20"/>
          <w:szCs w:val="20"/>
        </w:rPr>
        <w:t>o effectuate the terms contained herein.</w:t>
      </w:r>
    </w:p>
    <w:p w:rsidR="000728AD" w:rsidRDefault="000728AD">
      <w:pPr>
        <w:spacing w:line="176" w:lineRule="exact"/>
        <w:rPr>
          <w:rFonts w:ascii="Arial" w:eastAsia="Arial" w:hAnsi="Arial" w:cs="Arial"/>
          <w:sz w:val="20"/>
          <w:szCs w:val="20"/>
        </w:rPr>
      </w:pPr>
    </w:p>
    <w:p w:rsidR="000728AD" w:rsidRDefault="000561BE">
      <w:pPr>
        <w:numPr>
          <w:ilvl w:val="0"/>
          <w:numId w:val="55"/>
        </w:numPr>
        <w:tabs>
          <w:tab w:val="left" w:pos="1279"/>
        </w:tabs>
        <w:spacing w:line="246" w:lineRule="auto"/>
        <w:ind w:right="100" w:firstLine="656"/>
        <w:rPr>
          <w:rFonts w:ascii="Arial" w:eastAsia="Arial" w:hAnsi="Arial" w:cs="Arial"/>
          <w:sz w:val="20"/>
          <w:szCs w:val="20"/>
        </w:rPr>
      </w:pPr>
      <w:r>
        <w:rPr>
          <w:rFonts w:ascii="Arial" w:eastAsia="Arial" w:hAnsi="Arial" w:cs="Arial"/>
          <w:sz w:val="20"/>
          <w:szCs w:val="20"/>
          <w:u w:val="single"/>
        </w:rPr>
        <w:t>Waiver</w:t>
      </w:r>
      <w:r>
        <w:rPr>
          <w:rFonts w:ascii="Arial" w:eastAsia="Arial" w:hAnsi="Arial" w:cs="Arial"/>
          <w:sz w:val="20"/>
          <w:szCs w:val="20"/>
        </w:rPr>
        <w:t xml:space="preserve">. No waiver of any of Executive’s obligations under this Agreement shall be effective unless made in writing by the Company. The failure of the Company to require Executive’s performance of any term or </w:t>
      </w:r>
      <w:r>
        <w:rPr>
          <w:rFonts w:ascii="Arial" w:eastAsia="Arial" w:hAnsi="Arial" w:cs="Arial"/>
          <w:sz w:val="20"/>
          <w:szCs w:val="20"/>
        </w:rPr>
        <w:t>obligation of this Agreement, or the waiver of any breach of this Agreement, shall not prevent the Company’s subsequent enforcement of such term or obligation or be deemed a waiver of any subsequent breach.</w:t>
      </w:r>
    </w:p>
    <w:p w:rsidR="000728AD" w:rsidRDefault="000728AD">
      <w:pPr>
        <w:spacing w:line="191" w:lineRule="exact"/>
        <w:rPr>
          <w:rFonts w:ascii="Arial" w:eastAsia="Arial" w:hAnsi="Arial" w:cs="Arial"/>
          <w:sz w:val="20"/>
          <w:szCs w:val="20"/>
        </w:rPr>
      </w:pPr>
    </w:p>
    <w:p w:rsidR="000728AD" w:rsidRDefault="000561BE">
      <w:pPr>
        <w:numPr>
          <w:ilvl w:val="0"/>
          <w:numId w:val="55"/>
        </w:numPr>
        <w:tabs>
          <w:tab w:val="left" w:pos="1287"/>
        </w:tabs>
        <w:spacing w:line="243" w:lineRule="auto"/>
        <w:ind w:right="80" w:firstLine="656"/>
        <w:rPr>
          <w:rFonts w:ascii="Arial" w:eastAsia="Arial" w:hAnsi="Arial" w:cs="Arial"/>
          <w:sz w:val="20"/>
          <w:szCs w:val="20"/>
        </w:rPr>
      </w:pPr>
      <w:r>
        <w:rPr>
          <w:rFonts w:ascii="Arial" w:eastAsia="Arial" w:hAnsi="Arial" w:cs="Arial"/>
          <w:sz w:val="20"/>
          <w:szCs w:val="20"/>
          <w:u w:val="single"/>
        </w:rPr>
        <w:t>Severability</w:t>
      </w:r>
      <w:r>
        <w:rPr>
          <w:rFonts w:ascii="Arial" w:eastAsia="Arial" w:hAnsi="Arial" w:cs="Arial"/>
          <w:sz w:val="20"/>
          <w:szCs w:val="20"/>
        </w:rPr>
        <w:t xml:space="preserve">. In case any provisions (or </w:t>
      </w:r>
      <w:r>
        <w:rPr>
          <w:rFonts w:ascii="Arial" w:eastAsia="Arial" w:hAnsi="Arial" w:cs="Arial"/>
          <w:sz w:val="20"/>
          <w:szCs w:val="20"/>
        </w:rPr>
        <w:t>portions thereof) contained in this Agreement shall, for any reason, be held invalid, illegal or unenforceable in any respect, such invalidity, illegality or unenforceability shall not affect the other provisions of this Agreement, and this Agreement shall</w:t>
      </w:r>
      <w:r>
        <w:rPr>
          <w:rFonts w:ascii="Arial" w:eastAsia="Arial" w:hAnsi="Arial" w:cs="Arial"/>
          <w:sz w:val="20"/>
          <w:szCs w:val="20"/>
        </w:rPr>
        <w:t xml:space="preserve"> be construed as if such invalid, illegal or unenforceable provision had never been contained herein. If, moreover, any one or more of the provisions contained in this Agreement shall for any reason be held to be excessively broad as to duration, geographi</w:t>
      </w:r>
      <w:r>
        <w:rPr>
          <w:rFonts w:ascii="Arial" w:eastAsia="Arial" w:hAnsi="Arial" w:cs="Arial"/>
          <w:sz w:val="20"/>
          <w:szCs w:val="20"/>
        </w:rPr>
        <w:t>cal scope, activity or subject, it shall be construed by limiting and reducing it, so as to be enforceable to the extent compatible with the applicable law as it shall then appear.</w:t>
      </w:r>
    </w:p>
    <w:p w:rsidR="000728AD" w:rsidRDefault="000728AD">
      <w:pPr>
        <w:spacing w:line="195" w:lineRule="exact"/>
        <w:rPr>
          <w:rFonts w:ascii="Arial" w:eastAsia="Arial" w:hAnsi="Arial" w:cs="Arial"/>
          <w:sz w:val="20"/>
          <w:szCs w:val="20"/>
        </w:rPr>
      </w:pPr>
    </w:p>
    <w:p w:rsidR="000728AD" w:rsidRDefault="000561BE">
      <w:pPr>
        <w:numPr>
          <w:ilvl w:val="0"/>
          <w:numId w:val="55"/>
        </w:numPr>
        <w:tabs>
          <w:tab w:val="left" w:pos="1287"/>
        </w:tabs>
        <w:spacing w:line="270" w:lineRule="auto"/>
        <w:ind w:right="60" w:firstLine="656"/>
        <w:jc w:val="both"/>
        <w:rPr>
          <w:rFonts w:ascii="Arial" w:eastAsia="Arial" w:hAnsi="Arial" w:cs="Arial"/>
          <w:sz w:val="18"/>
          <w:szCs w:val="18"/>
        </w:rPr>
      </w:pPr>
      <w:r>
        <w:rPr>
          <w:rFonts w:ascii="Arial" w:eastAsia="Arial" w:hAnsi="Arial" w:cs="Arial"/>
          <w:sz w:val="18"/>
          <w:szCs w:val="18"/>
          <w:u w:val="single"/>
        </w:rPr>
        <w:t>Choice of Law and Jurisdiction</w:t>
      </w:r>
      <w:r>
        <w:rPr>
          <w:rFonts w:ascii="Arial" w:eastAsia="Arial" w:hAnsi="Arial" w:cs="Arial"/>
          <w:sz w:val="18"/>
          <w:szCs w:val="18"/>
        </w:rPr>
        <w:t>. This Agreement will be deemed to be made a</w:t>
      </w:r>
      <w:r>
        <w:rPr>
          <w:rFonts w:ascii="Arial" w:eastAsia="Arial" w:hAnsi="Arial" w:cs="Arial"/>
          <w:sz w:val="18"/>
          <w:szCs w:val="18"/>
        </w:rPr>
        <w:t>nd entered into in the Commonwealth of Massachusetts, and will in all respects be interpreted, enforced, and governed under the laws of the Commonwealth of Massachusetts. Executive hereby consents to personal jurisdiction of the state and federal courts si</w:t>
      </w:r>
      <w:r>
        <w:rPr>
          <w:rFonts w:ascii="Arial" w:eastAsia="Arial" w:hAnsi="Arial" w:cs="Arial"/>
          <w:sz w:val="18"/>
          <w:szCs w:val="18"/>
        </w:rPr>
        <w:t xml:space="preserve">tuated within Massachusetts for purposes of enforcing this Agreement, and waives any objection that Executive might have to personal jurisdiction or venue in those courts. </w:t>
      </w:r>
      <w:r>
        <w:rPr>
          <w:rFonts w:ascii="Arial" w:eastAsia="Arial" w:hAnsi="Arial" w:cs="Arial"/>
          <w:b/>
          <w:bCs/>
          <w:sz w:val="18"/>
          <w:szCs w:val="18"/>
        </w:rPr>
        <w:t>ANY ACTION,</w:t>
      </w:r>
    </w:p>
    <w:p w:rsidR="000728AD" w:rsidRDefault="000728AD">
      <w:pPr>
        <w:spacing w:line="2" w:lineRule="exact"/>
        <w:rPr>
          <w:rFonts w:ascii="Arial" w:eastAsia="Arial" w:hAnsi="Arial" w:cs="Arial"/>
          <w:sz w:val="18"/>
          <w:szCs w:val="18"/>
        </w:rPr>
      </w:pPr>
    </w:p>
    <w:p w:rsidR="000728AD" w:rsidRDefault="000561BE">
      <w:pPr>
        <w:spacing w:line="241" w:lineRule="auto"/>
        <w:ind w:right="200"/>
        <w:rPr>
          <w:rFonts w:ascii="Arial" w:eastAsia="Arial" w:hAnsi="Arial" w:cs="Arial"/>
          <w:sz w:val="18"/>
          <w:szCs w:val="18"/>
        </w:rPr>
      </w:pPr>
      <w:r>
        <w:rPr>
          <w:rFonts w:ascii="Arial" w:eastAsia="Arial" w:hAnsi="Arial" w:cs="Arial"/>
          <w:b/>
          <w:bCs/>
          <w:sz w:val="20"/>
          <w:szCs w:val="20"/>
        </w:rPr>
        <w:t>DEMAND, CLAIM OR COUNTERCLAIM ARISING UNDER OR RELATING TO THIS AGREEME</w:t>
      </w:r>
      <w:r>
        <w:rPr>
          <w:rFonts w:ascii="Arial" w:eastAsia="Arial" w:hAnsi="Arial" w:cs="Arial"/>
          <w:b/>
          <w:bCs/>
          <w:sz w:val="20"/>
          <w:szCs w:val="20"/>
        </w:rPr>
        <w:t>NT OR THE EXECUTIVE’S EMPLOYMENT WITH THE COMPANY, INCLUDING WITHOUT LIMITATION ANY CLAIMS OF DISCRIMINATION ARISING UNDER STATE OR FEDERAL LAW, WILL BE RESOLVED BY A JUDGE ALONE AND EACH OF THE COMPANY AND THE EXECUTIVE WAIVES ANY RIGHT TO A JURY TRIAL TH</w:t>
      </w:r>
      <w:r>
        <w:rPr>
          <w:rFonts w:ascii="Arial" w:eastAsia="Arial" w:hAnsi="Arial" w:cs="Arial"/>
          <w:b/>
          <w:bCs/>
          <w:sz w:val="20"/>
          <w:szCs w:val="20"/>
        </w:rPr>
        <w:t>EREOF</w:t>
      </w:r>
      <w:r>
        <w:rPr>
          <w:rFonts w:ascii="Arial" w:eastAsia="Arial" w:hAnsi="Arial" w:cs="Arial"/>
          <w:sz w:val="20"/>
          <w:szCs w:val="20"/>
        </w:rPr>
        <w:t>.</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43" w:lineRule="exact"/>
        <w:rPr>
          <w:sz w:val="20"/>
          <w:szCs w:val="20"/>
        </w:rPr>
      </w:pPr>
    </w:p>
    <w:p w:rsidR="000728AD" w:rsidRDefault="000561BE">
      <w:pPr>
        <w:jc w:val="center"/>
        <w:rPr>
          <w:sz w:val="20"/>
          <w:szCs w:val="20"/>
        </w:rPr>
      </w:pPr>
      <w:r>
        <w:rPr>
          <w:rFonts w:ascii="Arial" w:eastAsia="Arial" w:hAnsi="Arial" w:cs="Arial"/>
        </w:rPr>
        <w:t>10</w:t>
      </w:r>
    </w:p>
    <w:p w:rsidR="000728AD" w:rsidRDefault="000728AD">
      <w:pPr>
        <w:sectPr w:rsidR="000728AD">
          <w:pgSz w:w="11900" w:h="16838"/>
          <w:pgMar w:top="115" w:right="339" w:bottom="1440" w:left="320" w:header="0" w:footer="0" w:gutter="0"/>
          <w:cols w:space="720" w:equalWidth="0">
            <w:col w:w="11240"/>
          </w:cols>
        </w:sectPr>
      </w:pPr>
    </w:p>
    <w:p w:rsidR="000728AD" w:rsidRDefault="000561BE">
      <w:pPr>
        <w:jc w:val="right"/>
        <w:rPr>
          <w:sz w:val="20"/>
          <w:szCs w:val="20"/>
        </w:rPr>
      </w:pPr>
      <w:bookmarkStart w:id="111" w:name="page111"/>
      <w:bookmarkEnd w:id="111"/>
      <w:r>
        <w:rPr>
          <w:rFonts w:ascii="Arial" w:eastAsia="Arial" w:hAnsi="Arial" w:cs="Arial"/>
          <w:b/>
          <w:bCs/>
          <w:sz w:val="20"/>
          <w:szCs w:val="20"/>
        </w:rPr>
        <w:lastRenderedPageBreak/>
        <w:t>Exhibit 10.1</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73" w:lineRule="exact"/>
        <w:rPr>
          <w:sz w:val="20"/>
          <w:szCs w:val="20"/>
        </w:rPr>
      </w:pPr>
    </w:p>
    <w:p w:rsidR="000728AD" w:rsidRDefault="000561BE">
      <w:pPr>
        <w:numPr>
          <w:ilvl w:val="0"/>
          <w:numId w:val="56"/>
        </w:numPr>
        <w:tabs>
          <w:tab w:val="left" w:pos="1287"/>
        </w:tabs>
        <w:spacing w:line="244" w:lineRule="auto"/>
        <w:ind w:firstLine="656"/>
        <w:rPr>
          <w:rFonts w:ascii="Arial" w:eastAsia="Arial" w:hAnsi="Arial" w:cs="Arial"/>
          <w:sz w:val="20"/>
          <w:szCs w:val="20"/>
        </w:rPr>
      </w:pPr>
      <w:r>
        <w:rPr>
          <w:rFonts w:ascii="Arial" w:eastAsia="Arial" w:hAnsi="Arial" w:cs="Arial"/>
          <w:sz w:val="20"/>
          <w:szCs w:val="20"/>
          <w:u w:val="single"/>
        </w:rPr>
        <w:t>Successor to the Executive</w:t>
      </w:r>
      <w:r>
        <w:rPr>
          <w:rFonts w:ascii="Arial" w:eastAsia="Arial" w:hAnsi="Arial" w:cs="Arial"/>
          <w:sz w:val="20"/>
          <w:szCs w:val="20"/>
        </w:rPr>
        <w:t xml:space="preserve">. This Agreement shall inure to the benefit of and be enforceable by the Executive’s personal representatives, executors, administrators, heirs, distributees, devisees and </w:t>
      </w:r>
      <w:r>
        <w:rPr>
          <w:rFonts w:ascii="Arial" w:eastAsia="Arial" w:hAnsi="Arial" w:cs="Arial"/>
          <w:sz w:val="20"/>
          <w:szCs w:val="20"/>
        </w:rPr>
        <w:t>legatees. In the event of the Executive’s death after her termination of employment but prior to the completion by the Company of all payments due them under this Agreement, the Company shall continue such payments to the Executive’s beneficiary designated</w:t>
      </w:r>
      <w:r>
        <w:rPr>
          <w:rFonts w:ascii="Arial" w:eastAsia="Arial" w:hAnsi="Arial" w:cs="Arial"/>
          <w:sz w:val="20"/>
          <w:szCs w:val="20"/>
        </w:rPr>
        <w:t xml:space="preserve"> in writing to the Company prior to her death (or to her estate, if the Executive fails to make such designation).</w:t>
      </w:r>
    </w:p>
    <w:p w:rsidR="000728AD" w:rsidRDefault="000728AD">
      <w:pPr>
        <w:spacing w:line="194" w:lineRule="exact"/>
        <w:rPr>
          <w:rFonts w:ascii="Arial" w:eastAsia="Arial" w:hAnsi="Arial" w:cs="Arial"/>
          <w:sz w:val="20"/>
          <w:szCs w:val="20"/>
        </w:rPr>
      </w:pPr>
    </w:p>
    <w:p w:rsidR="000728AD" w:rsidRDefault="000561BE">
      <w:pPr>
        <w:numPr>
          <w:ilvl w:val="0"/>
          <w:numId w:val="56"/>
        </w:numPr>
        <w:tabs>
          <w:tab w:val="left" w:pos="1287"/>
        </w:tabs>
        <w:spacing w:line="328" w:lineRule="auto"/>
        <w:ind w:right="100" w:firstLine="656"/>
        <w:rPr>
          <w:rFonts w:ascii="Arial" w:eastAsia="Arial" w:hAnsi="Arial" w:cs="Arial"/>
          <w:sz w:val="16"/>
          <w:szCs w:val="16"/>
        </w:rPr>
      </w:pPr>
      <w:r>
        <w:rPr>
          <w:rFonts w:ascii="Arial" w:eastAsia="Arial" w:hAnsi="Arial" w:cs="Arial"/>
          <w:sz w:val="16"/>
          <w:szCs w:val="16"/>
          <w:u w:val="single"/>
        </w:rPr>
        <w:t>Successor to Company</w:t>
      </w:r>
      <w:r>
        <w:rPr>
          <w:rFonts w:ascii="Arial" w:eastAsia="Arial" w:hAnsi="Arial" w:cs="Arial"/>
          <w:sz w:val="16"/>
          <w:szCs w:val="16"/>
        </w:rPr>
        <w:t xml:space="preserve">. The Company shall require any successor (whether direct or indirect, by purchase, merger, consolidation or </w:t>
      </w:r>
      <w:r>
        <w:rPr>
          <w:rFonts w:ascii="Arial" w:eastAsia="Arial" w:hAnsi="Arial" w:cs="Arial"/>
          <w:sz w:val="16"/>
          <w:szCs w:val="16"/>
        </w:rPr>
        <w:t>otherwise) to all or substantially all of the business or assets of the Company expressly to assume and agree to perform this Agreement to the same extent that the Company would be required to perform it if no succession had taken place. Failure of the Com</w:t>
      </w:r>
      <w:r>
        <w:rPr>
          <w:rFonts w:ascii="Arial" w:eastAsia="Arial" w:hAnsi="Arial" w:cs="Arial"/>
          <w:sz w:val="16"/>
          <w:szCs w:val="16"/>
        </w:rPr>
        <w:t>pany to obtain an assumption of this Agreement at or prior to the effectiveness of any succession shall be a material breach of this Agreement.</w:t>
      </w:r>
    </w:p>
    <w:p w:rsidR="000728AD" w:rsidRDefault="000728AD">
      <w:pPr>
        <w:spacing w:line="128" w:lineRule="exact"/>
        <w:rPr>
          <w:rFonts w:ascii="Arial" w:eastAsia="Arial" w:hAnsi="Arial" w:cs="Arial"/>
          <w:sz w:val="16"/>
          <w:szCs w:val="16"/>
        </w:rPr>
      </w:pPr>
    </w:p>
    <w:p w:rsidR="000728AD" w:rsidRDefault="000561BE">
      <w:pPr>
        <w:numPr>
          <w:ilvl w:val="0"/>
          <w:numId w:val="56"/>
        </w:numPr>
        <w:tabs>
          <w:tab w:val="left" w:pos="1287"/>
        </w:tabs>
        <w:spacing w:line="246" w:lineRule="auto"/>
        <w:ind w:right="220" w:firstLine="656"/>
        <w:rPr>
          <w:rFonts w:ascii="Arial" w:eastAsia="Arial" w:hAnsi="Arial" w:cs="Arial"/>
          <w:sz w:val="20"/>
          <w:szCs w:val="20"/>
        </w:rPr>
      </w:pPr>
      <w:r>
        <w:rPr>
          <w:rFonts w:ascii="Arial" w:eastAsia="Arial" w:hAnsi="Arial" w:cs="Arial"/>
          <w:sz w:val="20"/>
          <w:szCs w:val="20"/>
          <w:u w:val="single"/>
        </w:rPr>
        <w:t>Notices</w:t>
      </w:r>
      <w:r>
        <w:rPr>
          <w:rFonts w:ascii="Arial" w:eastAsia="Arial" w:hAnsi="Arial" w:cs="Arial"/>
          <w:sz w:val="20"/>
          <w:szCs w:val="20"/>
        </w:rPr>
        <w:t>. Any notices, requests, demands and other communications provided for by this Agreement shall be suffic</w:t>
      </w:r>
      <w:r>
        <w:rPr>
          <w:rFonts w:ascii="Arial" w:eastAsia="Arial" w:hAnsi="Arial" w:cs="Arial"/>
          <w:sz w:val="20"/>
          <w:szCs w:val="20"/>
        </w:rPr>
        <w:t>ient if in writing and delivered in person or sent by a nationally recognized overnight courier service or by registered or certified mail, postage prepaid, return receipt requested, to the Executive at the last address the Executive has filed in writing w</w:t>
      </w:r>
      <w:r>
        <w:rPr>
          <w:rFonts w:ascii="Arial" w:eastAsia="Arial" w:hAnsi="Arial" w:cs="Arial"/>
          <w:sz w:val="20"/>
          <w:szCs w:val="20"/>
        </w:rPr>
        <w:t>ith the Company or, in the case of the Company, at its main offices, attention of the Board.</w:t>
      </w:r>
    </w:p>
    <w:p w:rsidR="000728AD" w:rsidRDefault="000728AD">
      <w:pPr>
        <w:spacing w:line="191" w:lineRule="exact"/>
        <w:rPr>
          <w:rFonts w:ascii="Arial" w:eastAsia="Arial" w:hAnsi="Arial" w:cs="Arial"/>
          <w:sz w:val="20"/>
          <w:szCs w:val="20"/>
        </w:rPr>
      </w:pPr>
    </w:p>
    <w:p w:rsidR="000728AD" w:rsidRDefault="000561BE">
      <w:pPr>
        <w:numPr>
          <w:ilvl w:val="0"/>
          <w:numId w:val="56"/>
        </w:numPr>
        <w:tabs>
          <w:tab w:val="left" w:pos="1287"/>
        </w:tabs>
        <w:spacing w:line="244" w:lineRule="auto"/>
        <w:ind w:right="40" w:firstLine="656"/>
        <w:rPr>
          <w:rFonts w:ascii="Arial" w:eastAsia="Arial" w:hAnsi="Arial" w:cs="Arial"/>
          <w:sz w:val="20"/>
          <w:szCs w:val="20"/>
        </w:rPr>
      </w:pPr>
      <w:r>
        <w:rPr>
          <w:rFonts w:ascii="Arial" w:eastAsia="Arial" w:hAnsi="Arial" w:cs="Arial"/>
          <w:sz w:val="20"/>
          <w:szCs w:val="20"/>
          <w:u w:val="single"/>
        </w:rPr>
        <w:t>Counterparts</w:t>
      </w:r>
      <w:r>
        <w:rPr>
          <w:rFonts w:ascii="Arial" w:eastAsia="Arial" w:hAnsi="Arial" w:cs="Arial"/>
          <w:sz w:val="20"/>
          <w:szCs w:val="20"/>
        </w:rPr>
        <w:t>. This Agreement may be executed in any number of counterparts, each of which when so executed and delivered shall be taken to be an original; but suc</w:t>
      </w:r>
      <w:r>
        <w:rPr>
          <w:rFonts w:ascii="Arial" w:eastAsia="Arial" w:hAnsi="Arial" w:cs="Arial"/>
          <w:sz w:val="20"/>
          <w:szCs w:val="20"/>
        </w:rPr>
        <w:t>h counterparts shall together constitute one and the same document. Delivery of an executed counterpart’s signature page of this Agreement, by facsimile, electronic mail in portable document format (.pdf), or by any other electronic means intended to prese</w:t>
      </w:r>
      <w:r>
        <w:rPr>
          <w:rFonts w:ascii="Arial" w:eastAsia="Arial" w:hAnsi="Arial" w:cs="Arial"/>
          <w:sz w:val="20"/>
          <w:szCs w:val="20"/>
        </w:rPr>
        <w:t>rve the original graphic and pictorial appearance of a document, has the same effect as delivery of an executed original of this Agreement.</w:t>
      </w:r>
    </w:p>
    <w:p w:rsidR="000728AD" w:rsidRDefault="000728AD">
      <w:pPr>
        <w:spacing w:line="194" w:lineRule="exact"/>
        <w:rPr>
          <w:rFonts w:ascii="Arial" w:eastAsia="Arial" w:hAnsi="Arial" w:cs="Arial"/>
          <w:sz w:val="20"/>
          <w:szCs w:val="20"/>
        </w:rPr>
      </w:pPr>
    </w:p>
    <w:p w:rsidR="000728AD" w:rsidRDefault="000561BE">
      <w:pPr>
        <w:numPr>
          <w:ilvl w:val="0"/>
          <w:numId w:val="56"/>
        </w:numPr>
        <w:tabs>
          <w:tab w:val="left" w:pos="1287"/>
        </w:tabs>
        <w:spacing w:line="250" w:lineRule="auto"/>
        <w:ind w:right="200" w:firstLine="656"/>
        <w:rPr>
          <w:rFonts w:ascii="Arial" w:eastAsia="Arial" w:hAnsi="Arial" w:cs="Arial"/>
          <w:sz w:val="20"/>
          <w:szCs w:val="20"/>
        </w:rPr>
      </w:pPr>
      <w:r>
        <w:rPr>
          <w:rFonts w:ascii="Arial" w:eastAsia="Arial" w:hAnsi="Arial" w:cs="Arial"/>
          <w:sz w:val="20"/>
          <w:szCs w:val="20"/>
          <w:u w:val="single"/>
        </w:rPr>
        <w:t>Gender Neutral</w:t>
      </w:r>
      <w:r>
        <w:rPr>
          <w:rFonts w:ascii="Arial" w:eastAsia="Arial" w:hAnsi="Arial" w:cs="Arial"/>
          <w:sz w:val="20"/>
          <w:szCs w:val="20"/>
        </w:rPr>
        <w:t xml:space="preserve">. Wherever used herein, a pronoun in the masculine gender shall be considered as including the </w:t>
      </w:r>
      <w:r>
        <w:rPr>
          <w:rFonts w:ascii="Arial" w:eastAsia="Arial" w:hAnsi="Arial" w:cs="Arial"/>
          <w:sz w:val="20"/>
          <w:szCs w:val="20"/>
        </w:rPr>
        <w:t>feminine gender unless the context clearly indicates otherwise. Plural pronouns shall be considered as including singular pronouns, male and female, unless the context clearly indicates otherwise.</w:t>
      </w:r>
    </w:p>
    <w:p w:rsidR="000728AD" w:rsidRDefault="000728AD">
      <w:pPr>
        <w:spacing w:line="185" w:lineRule="exact"/>
        <w:rPr>
          <w:rFonts w:ascii="Arial" w:eastAsia="Arial" w:hAnsi="Arial" w:cs="Arial"/>
          <w:sz w:val="20"/>
          <w:szCs w:val="20"/>
        </w:rPr>
      </w:pPr>
    </w:p>
    <w:p w:rsidR="000728AD" w:rsidRDefault="000561BE">
      <w:pPr>
        <w:numPr>
          <w:ilvl w:val="0"/>
          <w:numId w:val="56"/>
        </w:numPr>
        <w:tabs>
          <w:tab w:val="left" w:pos="1287"/>
        </w:tabs>
        <w:spacing w:line="257" w:lineRule="auto"/>
        <w:ind w:right="20" w:firstLine="656"/>
        <w:rPr>
          <w:rFonts w:ascii="Arial" w:eastAsia="Arial" w:hAnsi="Arial" w:cs="Arial"/>
          <w:sz w:val="19"/>
          <w:szCs w:val="19"/>
        </w:rPr>
      </w:pPr>
      <w:r>
        <w:rPr>
          <w:rFonts w:ascii="Arial" w:eastAsia="Arial" w:hAnsi="Arial" w:cs="Arial"/>
          <w:sz w:val="19"/>
          <w:szCs w:val="19"/>
          <w:u w:val="single"/>
        </w:rPr>
        <w:t>Entire Agreement; Amendment</w:t>
      </w:r>
      <w:r>
        <w:rPr>
          <w:rFonts w:ascii="Arial" w:eastAsia="Arial" w:hAnsi="Arial" w:cs="Arial"/>
          <w:sz w:val="19"/>
          <w:szCs w:val="19"/>
        </w:rPr>
        <w:t>. This Agreement, the Restricti</w:t>
      </w:r>
      <w:r>
        <w:rPr>
          <w:rFonts w:ascii="Arial" w:eastAsia="Arial" w:hAnsi="Arial" w:cs="Arial"/>
          <w:sz w:val="19"/>
          <w:szCs w:val="19"/>
        </w:rPr>
        <w:t xml:space="preserve">ve Covenants Agreement, any applicable option agreement or other stock-based award agreement and the Stock Plan constitute the entire agreement between the Company and Executive with respect to the subject matter hereof, and supersede all prior agreements </w:t>
      </w:r>
      <w:r>
        <w:rPr>
          <w:rFonts w:ascii="Arial" w:eastAsia="Arial" w:hAnsi="Arial" w:cs="Arial"/>
          <w:sz w:val="19"/>
          <w:szCs w:val="19"/>
        </w:rPr>
        <w:t>or understandings, both written and oral, between the Company and Executive with respect to the subject matter hereof, but does not in any way merge with or supersede any other confidentiality, assignment of inventions or other restrictive covenant agreeme</w:t>
      </w:r>
      <w:r>
        <w:rPr>
          <w:rFonts w:ascii="Arial" w:eastAsia="Arial" w:hAnsi="Arial" w:cs="Arial"/>
          <w:sz w:val="19"/>
          <w:szCs w:val="19"/>
        </w:rPr>
        <w:t>nt or obligation entered into by the Company and Executive, which agreements and obligations shall supplement, and shall not limit or be limited by, this Agreement. This Agreement may be amended only in a written agreement executed by a duly authorized off</w:t>
      </w:r>
      <w:r>
        <w:rPr>
          <w:rFonts w:ascii="Arial" w:eastAsia="Arial" w:hAnsi="Arial" w:cs="Arial"/>
          <w:sz w:val="19"/>
          <w:szCs w:val="19"/>
        </w:rPr>
        <w:t>icer of the Company and Executive.</w:t>
      </w:r>
    </w:p>
    <w:p w:rsidR="000728AD" w:rsidRDefault="000728AD">
      <w:pPr>
        <w:spacing w:line="185" w:lineRule="exact"/>
        <w:rPr>
          <w:sz w:val="20"/>
          <w:szCs w:val="20"/>
        </w:rPr>
      </w:pPr>
    </w:p>
    <w:p w:rsidR="000728AD" w:rsidRDefault="000561BE">
      <w:pPr>
        <w:jc w:val="center"/>
        <w:rPr>
          <w:sz w:val="20"/>
          <w:szCs w:val="20"/>
        </w:rPr>
      </w:pPr>
      <w:r>
        <w:rPr>
          <w:rFonts w:ascii="Arial" w:eastAsia="Arial" w:hAnsi="Arial" w:cs="Arial"/>
          <w:sz w:val="20"/>
          <w:szCs w:val="20"/>
        </w:rPr>
        <w:t>[Remainder of page intentionally left blank]</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64" w:lineRule="exact"/>
        <w:rPr>
          <w:sz w:val="20"/>
          <w:szCs w:val="20"/>
        </w:rPr>
      </w:pPr>
    </w:p>
    <w:p w:rsidR="000728AD" w:rsidRDefault="000561BE">
      <w:pPr>
        <w:jc w:val="center"/>
        <w:rPr>
          <w:sz w:val="20"/>
          <w:szCs w:val="20"/>
        </w:rPr>
      </w:pPr>
      <w:r>
        <w:rPr>
          <w:rFonts w:ascii="Arial" w:eastAsia="Arial" w:hAnsi="Arial" w:cs="Arial"/>
        </w:rPr>
        <w:t>11</w:t>
      </w:r>
    </w:p>
    <w:p w:rsidR="000728AD" w:rsidRDefault="000728AD">
      <w:pPr>
        <w:sectPr w:rsidR="000728AD">
          <w:pgSz w:w="11900" w:h="16838"/>
          <w:pgMar w:top="115" w:right="339" w:bottom="1440" w:left="320" w:header="0" w:footer="0" w:gutter="0"/>
          <w:cols w:space="720" w:equalWidth="0">
            <w:col w:w="11240"/>
          </w:cols>
        </w:sectPr>
      </w:pPr>
    </w:p>
    <w:p w:rsidR="000728AD" w:rsidRDefault="000561BE">
      <w:pPr>
        <w:jc w:val="right"/>
        <w:rPr>
          <w:sz w:val="20"/>
          <w:szCs w:val="20"/>
        </w:rPr>
      </w:pPr>
      <w:bookmarkStart w:id="112" w:name="page112"/>
      <w:bookmarkEnd w:id="112"/>
      <w:r>
        <w:rPr>
          <w:rFonts w:ascii="Arial" w:eastAsia="Arial" w:hAnsi="Arial" w:cs="Arial"/>
          <w:b/>
          <w:bCs/>
          <w:sz w:val="20"/>
          <w:szCs w:val="20"/>
        </w:rPr>
        <w:lastRenderedPageBreak/>
        <w:t>Exhibit 10.1</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73" w:lineRule="exact"/>
        <w:rPr>
          <w:sz w:val="20"/>
          <w:szCs w:val="20"/>
        </w:rPr>
      </w:pPr>
    </w:p>
    <w:p w:rsidR="000728AD" w:rsidRDefault="000561BE">
      <w:pPr>
        <w:rPr>
          <w:sz w:val="20"/>
          <w:szCs w:val="20"/>
        </w:rPr>
      </w:pPr>
      <w:r>
        <w:rPr>
          <w:rFonts w:ascii="Arial" w:eastAsia="Arial" w:hAnsi="Arial" w:cs="Arial"/>
          <w:sz w:val="20"/>
          <w:szCs w:val="20"/>
        </w:rPr>
        <w:t>IN WITNESS WHEREOF, the parties have executed this Agreement effective on the date and year first above written.</w:t>
      </w:r>
    </w:p>
    <w:p w:rsidR="000728AD" w:rsidRDefault="000728AD">
      <w:pPr>
        <w:spacing w:line="200" w:lineRule="exact"/>
        <w:rPr>
          <w:sz w:val="20"/>
          <w:szCs w:val="20"/>
        </w:rPr>
      </w:pPr>
    </w:p>
    <w:p w:rsidR="000728AD" w:rsidRDefault="000728AD">
      <w:pPr>
        <w:spacing w:line="293" w:lineRule="exact"/>
        <w:rPr>
          <w:sz w:val="20"/>
          <w:szCs w:val="20"/>
        </w:rPr>
      </w:pPr>
    </w:p>
    <w:p w:rsidR="000728AD" w:rsidRDefault="000561BE">
      <w:pPr>
        <w:ind w:left="5280"/>
        <w:rPr>
          <w:sz w:val="20"/>
          <w:szCs w:val="20"/>
        </w:rPr>
      </w:pPr>
      <w:r>
        <w:rPr>
          <w:rFonts w:ascii="Arial" w:eastAsia="Arial" w:hAnsi="Arial" w:cs="Arial"/>
          <w:b/>
          <w:bCs/>
          <w:sz w:val="20"/>
          <w:szCs w:val="20"/>
        </w:rPr>
        <w:t>AXCELLA HEALTH INC.</w:t>
      </w:r>
    </w:p>
    <w:p w:rsidR="000728AD" w:rsidRDefault="000728AD">
      <w:pPr>
        <w:spacing w:line="338" w:lineRule="exact"/>
        <w:rPr>
          <w:sz w:val="20"/>
          <w:szCs w:val="20"/>
        </w:rPr>
      </w:pPr>
    </w:p>
    <w:tbl>
      <w:tblPr>
        <w:tblW w:w="0" w:type="auto"/>
        <w:tblInd w:w="5240" w:type="dxa"/>
        <w:tblLayout w:type="fixed"/>
        <w:tblCellMar>
          <w:left w:w="0" w:type="dxa"/>
          <w:right w:w="0" w:type="dxa"/>
        </w:tblCellMar>
        <w:tblLook w:val="04A0" w:firstRow="1" w:lastRow="0" w:firstColumn="1" w:lastColumn="0" w:noHBand="0" w:noVBand="1"/>
      </w:tblPr>
      <w:tblGrid>
        <w:gridCol w:w="520"/>
        <w:gridCol w:w="5480"/>
      </w:tblGrid>
      <w:tr w:rsidR="000728AD">
        <w:trPr>
          <w:trHeight w:val="282"/>
        </w:trPr>
        <w:tc>
          <w:tcPr>
            <w:tcW w:w="520" w:type="dxa"/>
            <w:vAlign w:val="bottom"/>
          </w:tcPr>
          <w:p w:rsidR="000728AD" w:rsidRDefault="000561BE">
            <w:pPr>
              <w:rPr>
                <w:sz w:val="20"/>
                <w:szCs w:val="20"/>
              </w:rPr>
            </w:pPr>
            <w:r>
              <w:rPr>
                <w:rFonts w:ascii="Arial" w:eastAsia="Arial" w:hAnsi="Arial" w:cs="Arial"/>
                <w:sz w:val="20"/>
                <w:szCs w:val="20"/>
              </w:rPr>
              <w:t>By:</w:t>
            </w:r>
          </w:p>
        </w:tc>
        <w:tc>
          <w:tcPr>
            <w:tcW w:w="5480" w:type="dxa"/>
            <w:vAlign w:val="bottom"/>
          </w:tcPr>
          <w:p w:rsidR="000728AD" w:rsidRDefault="000561BE">
            <w:pPr>
              <w:ind w:left="60"/>
              <w:rPr>
                <w:sz w:val="20"/>
                <w:szCs w:val="20"/>
              </w:rPr>
            </w:pPr>
            <w:r>
              <w:rPr>
                <w:rFonts w:ascii="Arial" w:eastAsia="Arial" w:hAnsi="Arial" w:cs="Arial"/>
              </w:rPr>
              <w:t>/s/ William R. Hinshaw, Jr.</w:t>
            </w:r>
          </w:p>
        </w:tc>
      </w:tr>
      <w:tr w:rsidR="000728AD">
        <w:trPr>
          <w:trHeight w:val="23"/>
        </w:trPr>
        <w:tc>
          <w:tcPr>
            <w:tcW w:w="520" w:type="dxa"/>
            <w:vAlign w:val="bottom"/>
          </w:tcPr>
          <w:p w:rsidR="000728AD" w:rsidRDefault="000728AD">
            <w:pPr>
              <w:rPr>
                <w:sz w:val="2"/>
                <w:szCs w:val="2"/>
              </w:rPr>
            </w:pPr>
          </w:p>
        </w:tc>
        <w:tc>
          <w:tcPr>
            <w:tcW w:w="5480" w:type="dxa"/>
            <w:tcBorders>
              <w:bottom w:val="single" w:sz="8" w:space="0" w:color="auto"/>
            </w:tcBorders>
            <w:vAlign w:val="bottom"/>
          </w:tcPr>
          <w:p w:rsidR="000728AD" w:rsidRDefault="000728AD">
            <w:pPr>
              <w:rPr>
                <w:sz w:val="2"/>
                <w:szCs w:val="2"/>
              </w:rPr>
            </w:pPr>
          </w:p>
        </w:tc>
      </w:tr>
      <w:tr w:rsidR="000728AD">
        <w:trPr>
          <w:trHeight w:val="268"/>
        </w:trPr>
        <w:tc>
          <w:tcPr>
            <w:tcW w:w="520" w:type="dxa"/>
            <w:vAlign w:val="bottom"/>
          </w:tcPr>
          <w:p w:rsidR="000728AD" w:rsidRDefault="000728AD">
            <w:pPr>
              <w:rPr>
                <w:sz w:val="23"/>
                <w:szCs w:val="23"/>
              </w:rPr>
            </w:pPr>
          </w:p>
        </w:tc>
        <w:tc>
          <w:tcPr>
            <w:tcW w:w="5480" w:type="dxa"/>
            <w:vAlign w:val="bottom"/>
          </w:tcPr>
          <w:p w:rsidR="000728AD" w:rsidRDefault="000561BE">
            <w:pPr>
              <w:ind w:left="60"/>
              <w:rPr>
                <w:sz w:val="20"/>
                <w:szCs w:val="20"/>
              </w:rPr>
            </w:pPr>
            <w:r>
              <w:rPr>
                <w:rFonts w:ascii="Arial" w:eastAsia="Arial" w:hAnsi="Arial" w:cs="Arial"/>
                <w:sz w:val="20"/>
                <w:szCs w:val="20"/>
              </w:rPr>
              <w:t>William R. Hinshaw, Jr.</w:t>
            </w:r>
          </w:p>
        </w:tc>
      </w:tr>
      <w:tr w:rsidR="000728AD">
        <w:trPr>
          <w:trHeight w:val="297"/>
        </w:trPr>
        <w:tc>
          <w:tcPr>
            <w:tcW w:w="520" w:type="dxa"/>
            <w:vAlign w:val="bottom"/>
          </w:tcPr>
          <w:p w:rsidR="000728AD" w:rsidRDefault="000561BE">
            <w:pPr>
              <w:rPr>
                <w:sz w:val="20"/>
                <w:szCs w:val="20"/>
              </w:rPr>
            </w:pPr>
            <w:r>
              <w:rPr>
                <w:rFonts w:ascii="Arial" w:eastAsia="Arial" w:hAnsi="Arial" w:cs="Arial"/>
                <w:sz w:val="20"/>
                <w:szCs w:val="20"/>
              </w:rPr>
              <w:t>Its:</w:t>
            </w:r>
          </w:p>
        </w:tc>
        <w:tc>
          <w:tcPr>
            <w:tcW w:w="5480" w:type="dxa"/>
            <w:vAlign w:val="bottom"/>
          </w:tcPr>
          <w:p w:rsidR="000728AD" w:rsidRDefault="000561BE">
            <w:pPr>
              <w:ind w:left="60"/>
              <w:rPr>
                <w:sz w:val="20"/>
                <w:szCs w:val="20"/>
              </w:rPr>
            </w:pPr>
            <w:r>
              <w:rPr>
                <w:rFonts w:ascii="Arial" w:eastAsia="Arial" w:hAnsi="Arial" w:cs="Arial"/>
                <w:sz w:val="20"/>
                <w:szCs w:val="20"/>
              </w:rPr>
              <w:t>President, Chief Executive Officer and Director</w:t>
            </w:r>
          </w:p>
        </w:tc>
      </w:tr>
    </w:tbl>
    <w:p w:rsidR="000728AD" w:rsidRDefault="000728AD">
      <w:pPr>
        <w:spacing w:line="200" w:lineRule="exact"/>
        <w:rPr>
          <w:sz w:val="20"/>
          <w:szCs w:val="20"/>
        </w:rPr>
      </w:pPr>
    </w:p>
    <w:p w:rsidR="000728AD" w:rsidRDefault="000728AD">
      <w:pPr>
        <w:spacing w:line="313" w:lineRule="exact"/>
        <w:rPr>
          <w:sz w:val="20"/>
          <w:szCs w:val="20"/>
        </w:rPr>
      </w:pPr>
    </w:p>
    <w:p w:rsidR="000728AD" w:rsidRDefault="000561BE">
      <w:pPr>
        <w:ind w:left="480"/>
        <w:jc w:val="center"/>
        <w:rPr>
          <w:sz w:val="20"/>
          <w:szCs w:val="20"/>
        </w:rPr>
      </w:pPr>
      <w:r>
        <w:rPr>
          <w:rFonts w:ascii="Arial" w:eastAsia="Arial" w:hAnsi="Arial" w:cs="Arial"/>
          <w:b/>
          <w:bCs/>
          <w:sz w:val="20"/>
          <w:szCs w:val="20"/>
        </w:rPr>
        <w:t>EXECUTIVE</w:t>
      </w:r>
    </w:p>
    <w:p w:rsidR="000728AD" w:rsidRDefault="000728AD">
      <w:pPr>
        <w:spacing w:line="338" w:lineRule="exact"/>
        <w:rPr>
          <w:sz w:val="20"/>
          <w:szCs w:val="20"/>
        </w:rPr>
      </w:pPr>
    </w:p>
    <w:p w:rsidR="000728AD" w:rsidRDefault="000561BE">
      <w:pPr>
        <w:tabs>
          <w:tab w:val="left" w:pos="5800"/>
        </w:tabs>
        <w:ind w:left="5240"/>
        <w:rPr>
          <w:sz w:val="20"/>
          <w:szCs w:val="20"/>
        </w:rPr>
      </w:pPr>
      <w:r>
        <w:rPr>
          <w:rFonts w:ascii="Arial" w:eastAsia="Arial" w:hAnsi="Arial" w:cs="Arial"/>
          <w:sz w:val="20"/>
          <w:szCs w:val="20"/>
        </w:rPr>
        <w:t>By:</w:t>
      </w:r>
      <w:r>
        <w:rPr>
          <w:sz w:val="20"/>
          <w:szCs w:val="20"/>
        </w:rPr>
        <w:tab/>
      </w:r>
      <w:r>
        <w:rPr>
          <w:rFonts w:ascii="Arial" w:eastAsia="Arial" w:hAnsi="Arial" w:cs="Arial"/>
        </w:rPr>
        <w:t>/s/ Virginia Dean</w:t>
      </w:r>
    </w:p>
    <w:p w:rsidR="000728AD" w:rsidRDefault="000561BE">
      <w:pPr>
        <w:spacing w:line="20" w:lineRule="exact"/>
        <w:rPr>
          <w:sz w:val="20"/>
          <w:szCs w:val="20"/>
        </w:rPr>
      </w:pPr>
      <w:r>
        <w:rPr>
          <w:noProof/>
          <w:sz w:val="20"/>
          <w:szCs w:val="20"/>
        </w:rPr>
        <w:drawing>
          <wp:anchor distT="0" distB="0" distL="114300" distR="114300" simplePos="0" relativeHeight="251712512" behindDoc="1" locked="0" layoutInCell="0" allowOverlap="1">
            <wp:simplePos x="0" y="0"/>
            <wp:positionH relativeFrom="column">
              <wp:posOffset>3656965</wp:posOffset>
            </wp:positionH>
            <wp:positionV relativeFrom="paragraph">
              <wp:posOffset>33020</wp:posOffset>
            </wp:positionV>
            <wp:extent cx="3480435" cy="825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4"/>
                    <a:srcRect/>
                    <a:stretch>
                      <a:fillRect/>
                    </a:stretch>
                  </pic:blipFill>
                  <pic:spPr bwMode="auto">
                    <a:xfrm>
                      <a:off x="0" y="0"/>
                      <a:ext cx="3480435" cy="8255"/>
                    </a:xfrm>
                    <a:prstGeom prst="rect">
                      <a:avLst/>
                    </a:prstGeom>
                    <a:noFill/>
                  </pic:spPr>
                </pic:pic>
              </a:graphicData>
            </a:graphic>
          </wp:anchor>
        </w:drawing>
      </w:r>
    </w:p>
    <w:p w:rsidR="000728AD" w:rsidRDefault="000728AD">
      <w:pPr>
        <w:spacing w:line="69" w:lineRule="exact"/>
        <w:rPr>
          <w:sz w:val="20"/>
          <w:szCs w:val="20"/>
        </w:rPr>
      </w:pPr>
    </w:p>
    <w:p w:rsidR="000728AD" w:rsidRDefault="000561BE">
      <w:pPr>
        <w:ind w:left="5820"/>
        <w:rPr>
          <w:sz w:val="20"/>
          <w:szCs w:val="20"/>
        </w:rPr>
      </w:pPr>
      <w:r>
        <w:rPr>
          <w:rFonts w:ascii="Arial" w:eastAsia="Arial" w:hAnsi="Arial" w:cs="Arial"/>
          <w:sz w:val="20"/>
          <w:szCs w:val="20"/>
        </w:rPr>
        <w:t>Virginia Dean</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385" w:lineRule="exact"/>
        <w:rPr>
          <w:sz w:val="20"/>
          <w:szCs w:val="20"/>
        </w:rPr>
      </w:pPr>
    </w:p>
    <w:p w:rsidR="000728AD" w:rsidRDefault="000561BE">
      <w:pPr>
        <w:jc w:val="center"/>
        <w:rPr>
          <w:sz w:val="20"/>
          <w:szCs w:val="20"/>
        </w:rPr>
      </w:pPr>
      <w:r>
        <w:rPr>
          <w:rFonts w:ascii="Arial" w:eastAsia="Arial" w:hAnsi="Arial" w:cs="Arial"/>
        </w:rPr>
        <w:t>12</w:t>
      </w:r>
    </w:p>
    <w:p w:rsidR="000728AD" w:rsidRDefault="000728AD">
      <w:pPr>
        <w:sectPr w:rsidR="000728AD">
          <w:pgSz w:w="11900" w:h="16838"/>
          <w:pgMar w:top="115" w:right="339" w:bottom="1440" w:left="320" w:header="0" w:footer="0" w:gutter="0"/>
          <w:cols w:space="720" w:equalWidth="0">
            <w:col w:w="11240"/>
          </w:cols>
        </w:sectPr>
      </w:pPr>
    </w:p>
    <w:p w:rsidR="000728AD" w:rsidRDefault="000561BE">
      <w:pPr>
        <w:jc w:val="right"/>
        <w:rPr>
          <w:sz w:val="20"/>
          <w:szCs w:val="20"/>
        </w:rPr>
      </w:pPr>
      <w:bookmarkStart w:id="113" w:name="page113"/>
      <w:bookmarkEnd w:id="113"/>
      <w:r>
        <w:rPr>
          <w:rFonts w:ascii="Arial" w:eastAsia="Arial" w:hAnsi="Arial" w:cs="Arial"/>
          <w:b/>
          <w:bCs/>
          <w:sz w:val="20"/>
          <w:szCs w:val="20"/>
        </w:rPr>
        <w:lastRenderedPageBreak/>
        <w:t>Exhibit 31.1</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67" w:lineRule="exact"/>
        <w:rPr>
          <w:sz w:val="20"/>
          <w:szCs w:val="20"/>
        </w:rPr>
      </w:pPr>
    </w:p>
    <w:p w:rsidR="000728AD" w:rsidRDefault="000561BE">
      <w:pPr>
        <w:jc w:val="center"/>
        <w:rPr>
          <w:sz w:val="20"/>
          <w:szCs w:val="20"/>
        </w:rPr>
      </w:pPr>
      <w:r>
        <w:rPr>
          <w:rFonts w:ascii="Arial" w:eastAsia="Arial" w:hAnsi="Arial" w:cs="Arial"/>
          <w:b/>
          <w:bCs/>
          <w:sz w:val="20"/>
          <w:szCs w:val="20"/>
        </w:rPr>
        <w:t>CERTIFICATION OF PRINCIPAL EXECUTIVE OFFICER</w:t>
      </w:r>
    </w:p>
    <w:p w:rsidR="000728AD" w:rsidRDefault="000728AD">
      <w:pPr>
        <w:spacing w:line="22" w:lineRule="exact"/>
        <w:rPr>
          <w:sz w:val="20"/>
          <w:szCs w:val="20"/>
        </w:rPr>
      </w:pPr>
    </w:p>
    <w:p w:rsidR="000728AD" w:rsidRDefault="000561BE">
      <w:pPr>
        <w:jc w:val="center"/>
        <w:rPr>
          <w:sz w:val="20"/>
          <w:szCs w:val="20"/>
        </w:rPr>
      </w:pPr>
      <w:r>
        <w:rPr>
          <w:rFonts w:ascii="Arial" w:eastAsia="Arial" w:hAnsi="Arial" w:cs="Arial"/>
          <w:b/>
          <w:bCs/>
          <w:sz w:val="20"/>
          <w:szCs w:val="20"/>
        </w:rPr>
        <w:t>PURSUANT TO SECTION 302 OF THE SARBANES-OXLEY ACT OF 2002</w:t>
      </w:r>
    </w:p>
    <w:p w:rsidR="000728AD" w:rsidRDefault="000728AD">
      <w:pPr>
        <w:spacing w:line="308" w:lineRule="exact"/>
        <w:rPr>
          <w:sz w:val="20"/>
          <w:szCs w:val="20"/>
        </w:rPr>
      </w:pPr>
    </w:p>
    <w:p w:rsidR="000728AD" w:rsidRDefault="000561BE">
      <w:pPr>
        <w:rPr>
          <w:sz w:val="20"/>
          <w:szCs w:val="20"/>
        </w:rPr>
      </w:pPr>
      <w:r>
        <w:rPr>
          <w:rFonts w:ascii="Arial" w:eastAsia="Arial" w:hAnsi="Arial" w:cs="Arial"/>
          <w:sz w:val="20"/>
          <w:szCs w:val="20"/>
        </w:rPr>
        <w:t>I, William R. Hinshaw, Jr., certify that:</w:t>
      </w:r>
    </w:p>
    <w:p w:rsidR="000728AD" w:rsidRDefault="000728AD">
      <w:pPr>
        <w:spacing w:line="216" w:lineRule="exact"/>
        <w:rPr>
          <w:sz w:val="20"/>
          <w:szCs w:val="20"/>
        </w:rPr>
      </w:pPr>
    </w:p>
    <w:p w:rsidR="000728AD" w:rsidRDefault="000561BE">
      <w:pPr>
        <w:numPr>
          <w:ilvl w:val="0"/>
          <w:numId w:val="57"/>
        </w:numPr>
        <w:tabs>
          <w:tab w:val="left" w:pos="660"/>
        </w:tabs>
        <w:ind w:left="660" w:hanging="328"/>
        <w:rPr>
          <w:rFonts w:ascii="Arial" w:eastAsia="Arial" w:hAnsi="Arial" w:cs="Arial"/>
          <w:sz w:val="20"/>
          <w:szCs w:val="20"/>
        </w:rPr>
      </w:pPr>
      <w:r>
        <w:rPr>
          <w:rFonts w:ascii="Arial" w:eastAsia="Arial" w:hAnsi="Arial" w:cs="Arial"/>
          <w:sz w:val="20"/>
          <w:szCs w:val="20"/>
        </w:rPr>
        <w:t>I have reviewed this Quarterly Report on Form 10-Q for the period ended June 30, 2021 of Axcella Health Inc.</w:t>
      </w:r>
      <w:r>
        <w:rPr>
          <w:rFonts w:ascii="Arial" w:eastAsia="Arial" w:hAnsi="Arial" w:cs="Arial"/>
          <w:sz w:val="20"/>
          <w:szCs w:val="20"/>
        </w:rPr>
        <w:t>;</w:t>
      </w:r>
    </w:p>
    <w:p w:rsidR="000728AD" w:rsidRDefault="000728AD">
      <w:pPr>
        <w:spacing w:line="215" w:lineRule="exact"/>
        <w:rPr>
          <w:rFonts w:ascii="Arial" w:eastAsia="Arial" w:hAnsi="Arial" w:cs="Arial"/>
          <w:sz w:val="20"/>
          <w:szCs w:val="20"/>
        </w:rPr>
      </w:pPr>
    </w:p>
    <w:p w:rsidR="000728AD" w:rsidRDefault="000561BE">
      <w:pPr>
        <w:numPr>
          <w:ilvl w:val="0"/>
          <w:numId w:val="57"/>
        </w:numPr>
        <w:tabs>
          <w:tab w:val="left" w:pos="660"/>
        </w:tabs>
        <w:spacing w:line="250" w:lineRule="auto"/>
        <w:ind w:left="660" w:right="40" w:hanging="328"/>
        <w:rPr>
          <w:rFonts w:ascii="Arial" w:eastAsia="Arial" w:hAnsi="Arial" w:cs="Arial"/>
          <w:sz w:val="20"/>
          <w:szCs w:val="20"/>
        </w:rPr>
      </w:pPr>
      <w:r>
        <w:rPr>
          <w:rFonts w:ascii="Arial" w:eastAsia="Arial" w:hAnsi="Arial" w:cs="Arial"/>
          <w:sz w:val="20"/>
          <w:szCs w:val="20"/>
        </w:rPr>
        <w:t xml:space="preserve">Based on my knowledge, this report does not contain any untrue statement of a material fact or omit to state a material fact necessary to make the statements made, in light of the circumstances under which such statements were made, not </w:t>
      </w:r>
      <w:r>
        <w:rPr>
          <w:rFonts w:ascii="Arial" w:eastAsia="Arial" w:hAnsi="Arial" w:cs="Arial"/>
          <w:sz w:val="20"/>
          <w:szCs w:val="20"/>
        </w:rPr>
        <w:t>misleading with respect to the period covered by this report;</w:t>
      </w:r>
    </w:p>
    <w:p w:rsidR="000728AD" w:rsidRDefault="000728AD">
      <w:pPr>
        <w:spacing w:line="185" w:lineRule="exact"/>
        <w:rPr>
          <w:rFonts w:ascii="Arial" w:eastAsia="Arial" w:hAnsi="Arial" w:cs="Arial"/>
          <w:sz w:val="20"/>
          <w:szCs w:val="20"/>
        </w:rPr>
      </w:pPr>
    </w:p>
    <w:p w:rsidR="000728AD" w:rsidRDefault="000561BE">
      <w:pPr>
        <w:numPr>
          <w:ilvl w:val="0"/>
          <w:numId w:val="57"/>
        </w:numPr>
        <w:tabs>
          <w:tab w:val="left" w:pos="660"/>
        </w:tabs>
        <w:spacing w:line="250" w:lineRule="auto"/>
        <w:ind w:left="660" w:right="20" w:hanging="328"/>
        <w:rPr>
          <w:rFonts w:ascii="Arial" w:eastAsia="Arial" w:hAnsi="Arial" w:cs="Arial"/>
          <w:sz w:val="20"/>
          <w:szCs w:val="20"/>
        </w:rPr>
      </w:pPr>
      <w:r>
        <w:rPr>
          <w:rFonts w:ascii="Arial" w:eastAsia="Arial" w:hAnsi="Arial" w:cs="Arial"/>
          <w:sz w:val="20"/>
          <w:szCs w:val="20"/>
        </w:rPr>
        <w:t xml:space="preserve">Based on my knowledge, the financial statements, and other financial information included in this report, fairly present in all material respects the financial condition, results of operations </w:t>
      </w:r>
      <w:r>
        <w:rPr>
          <w:rFonts w:ascii="Arial" w:eastAsia="Arial" w:hAnsi="Arial" w:cs="Arial"/>
          <w:sz w:val="20"/>
          <w:szCs w:val="20"/>
        </w:rPr>
        <w:t>and cash flows of the registrant as of, and for, the periods presented in this report;</w:t>
      </w:r>
    </w:p>
    <w:p w:rsidR="000728AD" w:rsidRDefault="000728AD">
      <w:pPr>
        <w:spacing w:line="185" w:lineRule="exact"/>
        <w:rPr>
          <w:rFonts w:ascii="Arial" w:eastAsia="Arial" w:hAnsi="Arial" w:cs="Arial"/>
          <w:sz w:val="20"/>
          <w:szCs w:val="20"/>
        </w:rPr>
      </w:pPr>
    </w:p>
    <w:p w:rsidR="000728AD" w:rsidRDefault="000561BE">
      <w:pPr>
        <w:numPr>
          <w:ilvl w:val="0"/>
          <w:numId w:val="57"/>
        </w:numPr>
        <w:tabs>
          <w:tab w:val="left" w:pos="660"/>
        </w:tabs>
        <w:spacing w:line="250" w:lineRule="auto"/>
        <w:ind w:left="660" w:right="200" w:hanging="328"/>
        <w:rPr>
          <w:rFonts w:ascii="Arial" w:eastAsia="Arial" w:hAnsi="Arial" w:cs="Arial"/>
          <w:sz w:val="20"/>
          <w:szCs w:val="20"/>
        </w:rPr>
      </w:pPr>
      <w:r>
        <w:rPr>
          <w:rFonts w:ascii="Arial" w:eastAsia="Arial" w:hAnsi="Arial" w:cs="Arial"/>
          <w:sz w:val="20"/>
          <w:szCs w:val="20"/>
        </w:rPr>
        <w:t>The registrant’s other certifying officer(s) and I are responsible for establishing and maintaining disclosure controls and procedures (as defined in Exchange Act Rules</w:t>
      </w:r>
      <w:r>
        <w:rPr>
          <w:rFonts w:ascii="Arial" w:eastAsia="Arial" w:hAnsi="Arial" w:cs="Arial"/>
          <w:sz w:val="20"/>
          <w:szCs w:val="20"/>
        </w:rPr>
        <w:t xml:space="preserve"> 13a-15(e) and 15d-15(e)) and internal control over financial reporting (as defined in Exchange Act Rules 13a–15(f) and 15d–15(f)) for the registrant and have:</w:t>
      </w:r>
    </w:p>
    <w:p w:rsidR="000728AD" w:rsidRDefault="000728AD">
      <w:pPr>
        <w:spacing w:line="185" w:lineRule="exact"/>
        <w:rPr>
          <w:rFonts w:ascii="Arial" w:eastAsia="Arial" w:hAnsi="Arial" w:cs="Arial"/>
          <w:sz w:val="20"/>
          <w:szCs w:val="20"/>
        </w:rPr>
      </w:pPr>
    </w:p>
    <w:p w:rsidR="000728AD" w:rsidRDefault="000561BE">
      <w:pPr>
        <w:numPr>
          <w:ilvl w:val="1"/>
          <w:numId w:val="57"/>
        </w:numPr>
        <w:tabs>
          <w:tab w:val="left" w:pos="1289"/>
        </w:tabs>
        <w:spacing w:line="291" w:lineRule="auto"/>
        <w:ind w:left="1300" w:right="100" w:hanging="320"/>
        <w:rPr>
          <w:rFonts w:ascii="Arial" w:eastAsia="Arial" w:hAnsi="Arial" w:cs="Arial"/>
          <w:sz w:val="18"/>
          <w:szCs w:val="18"/>
        </w:rPr>
      </w:pPr>
      <w:r>
        <w:rPr>
          <w:rFonts w:ascii="Arial" w:eastAsia="Arial" w:hAnsi="Arial" w:cs="Arial"/>
          <w:sz w:val="18"/>
          <w:szCs w:val="18"/>
        </w:rPr>
        <w:t xml:space="preserve">Designed such disclosure controls and procedures, or caused such disclosure controls and </w:t>
      </w:r>
      <w:r>
        <w:rPr>
          <w:rFonts w:ascii="Arial" w:eastAsia="Arial" w:hAnsi="Arial" w:cs="Arial"/>
          <w:sz w:val="18"/>
          <w:szCs w:val="18"/>
        </w:rPr>
        <w:t>procedures to be designed under our supervision, to ensure that material information relating to the registrant, including its consolidated subsidiaries, is made known to us by others within those entities, particularly during the period in which this repo</w:t>
      </w:r>
      <w:r>
        <w:rPr>
          <w:rFonts w:ascii="Arial" w:eastAsia="Arial" w:hAnsi="Arial" w:cs="Arial"/>
          <w:sz w:val="18"/>
          <w:szCs w:val="18"/>
        </w:rPr>
        <w:t>rt is being prepared;</w:t>
      </w:r>
    </w:p>
    <w:p w:rsidR="000728AD" w:rsidRDefault="000728AD">
      <w:pPr>
        <w:spacing w:line="97" w:lineRule="exact"/>
        <w:rPr>
          <w:rFonts w:ascii="Arial" w:eastAsia="Arial" w:hAnsi="Arial" w:cs="Arial"/>
          <w:sz w:val="18"/>
          <w:szCs w:val="18"/>
        </w:rPr>
      </w:pPr>
    </w:p>
    <w:p w:rsidR="000728AD" w:rsidRDefault="000561BE">
      <w:pPr>
        <w:numPr>
          <w:ilvl w:val="1"/>
          <w:numId w:val="57"/>
        </w:numPr>
        <w:tabs>
          <w:tab w:val="left" w:pos="1300"/>
        </w:tabs>
        <w:spacing w:line="342" w:lineRule="auto"/>
        <w:ind w:left="1300" w:right="560" w:hanging="320"/>
        <w:rPr>
          <w:rFonts w:ascii="Arial" w:eastAsia="Arial" w:hAnsi="Arial" w:cs="Arial"/>
          <w:sz w:val="16"/>
          <w:szCs w:val="16"/>
        </w:rPr>
      </w:pPr>
      <w:r>
        <w:rPr>
          <w:rFonts w:ascii="Arial" w:eastAsia="Arial" w:hAnsi="Arial" w:cs="Arial"/>
          <w:sz w:val="16"/>
          <w:szCs w:val="16"/>
        </w:rPr>
        <w:t xml:space="preserve">Designed such internal control over financial reporting, or caused such internal control over financial reporting to be designed under our supervision, to provide reasonable assurance regarding the reliability of financial reporting </w:t>
      </w:r>
      <w:r>
        <w:rPr>
          <w:rFonts w:ascii="Arial" w:eastAsia="Arial" w:hAnsi="Arial" w:cs="Arial"/>
          <w:sz w:val="16"/>
          <w:szCs w:val="16"/>
        </w:rPr>
        <w:t>and the preparation of financial statements for external purposes in accordance with generally accepted accounting principles;</w:t>
      </w:r>
    </w:p>
    <w:p w:rsidR="000728AD" w:rsidRDefault="000728AD">
      <w:pPr>
        <w:spacing w:line="63" w:lineRule="exact"/>
        <w:rPr>
          <w:rFonts w:ascii="Arial" w:eastAsia="Arial" w:hAnsi="Arial" w:cs="Arial"/>
          <w:sz w:val="16"/>
          <w:szCs w:val="16"/>
        </w:rPr>
      </w:pPr>
    </w:p>
    <w:p w:rsidR="000728AD" w:rsidRDefault="000561BE">
      <w:pPr>
        <w:numPr>
          <w:ilvl w:val="1"/>
          <w:numId w:val="57"/>
        </w:numPr>
        <w:tabs>
          <w:tab w:val="left" w:pos="1289"/>
        </w:tabs>
        <w:spacing w:line="250" w:lineRule="auto"/>
        <w:ind w:left="1300" w:right="60" w:hanging="320"/>
        <w:rPr>
          <w:rFonts w:ascii="Arial" w:eastAsia="Arial" w:hAnsi="Arial" w:cs="Arial"/>
          <w:sz w:val="20"/>
          <w:szCs w:val="20"/>
        </w:rPr>
      </w:pPr>
      <w:r>
        <w:rPr>
          <w:rFonts w:ascii="Arial" w:eastAsia="Arial" w:hAnsi="Arial" w:cs="Arial"/>
          <w:sz w:val="20"/>
          <w:szCs w:val="20"/>
        </w:rPr>
        <w:t xml:space="preserve">Evaluated the effectiveness of the registrant’s disclosure controls and procedures and presented in this report our </w:t>
      </w:r>
      <w:r>
        <w:rPr>
          <w:rFonts w:ascii="Arial" w:eastAsia="Arial" w:hAnsi="Arial" w:cs="Arial"/>
          <w:sz w:val="20"/>
          <w:szCs w:val="20"/>
        </w:rPr>
        <w:t>conclusions about the effectiveness of the disclosure controls and procedures, as of the end of the period covered by this report based on such evaluation; and</w:t>
      </w:r>
    </w:p>
    <w:p w:rsidR="000728AD" w:rsidRDefault="000728AD">
      <w:pPr>
        <w:spacing w:line="131" w:lineRule="exact"/>
        <w:rPr>
          <w:rFonts w:ascii="Arial" w:eastAsia="Arial" w:hAnsi="Arial" w:cs="Arial"/>
          <w:sz w:val="20"/>
          <w:szCs w:val="20"/>
        </w:rPr>
      </w:pPr>
    </w:p>
    <w:p w:rsidR="000728AD" w:rsidRDefault="000561BE">
      <w:pPr>
        <w:numPr>
          <w:ilvl w:val="1"/>
          <w:numId w:val="57"/>
        </w:numPr>
        <w:tabs>
          <w:tab w:val="left" w:pos="1300"/>
        </w:tabs>
        <w:spacing w:line="291" w:lineRule="auto"/>
        <w:ind w:left="1300" w:right="80" w:hanging="320"/>
        <w:rPr>
          <w:rFonts w:ascii="Arial" w:eastAsia="Arial" w:hAnsi="Arial" w:cs="Arial"/>
          <w:sz w:val="18"/>
          <w:szCs w:val="18"/>
        </w:rPr>
      </w:pPr>
      <w:r>
        <w:rPr>
          <w:rFonts w:ascii="Arial" w:eastAsia="Arial" w:hAnsi="Arial" w:cs="Arial"/>
          <w:sz w:val="18"/>
          <w:szCs w:val="18"/>
        </w:rPr>
        <w:t>Disclosed in this report any change in the registrant’s internal control over financial reporti</w:t>
      </w:r>
      <w:r>
        <w:rPr>
          <w:rFonts w:ascii="Arial" w:eastAsia="Arial" w:hAnsi="Arial" w:cs="Arial"/>
          <w:sz w:val="18"/>
          <w:szCs w:val="18"/>
        </w:rPr>
        <w:t xml:space="preserve">ng that occurred during the registrant’s most recent fiscal quarter (the registrant’s fourth fiscal quarter in the case of an annual report) that has materially affected, or is reasonably likely to materially affect, the registrant’s internal control over </w:t>
      </w:r>
      <w:r>
        <w:rPr>
          <w:rFonts w:ascii="Arial" w:eastAsia="Arial" w:hAnsi="Arial" w:cs="Arial"/>
          <w:sz w:val="18"/>
          <w:szCs w:val="18"/>
        </w:rPr>
        <w:t>financial reporting; and</w:t>
      </w:r>
    </w:p>
    <w:p w:rsidR="000728AD" w:rsidRDefault="000728AD">
      <w:pPr>
        <w:spacing w:line="151" w:lineRule="exact"/>
        <w:rPr>
          <w:rFonts w:ascii="Arial" w:eastAsia="Arial" w:hAnsi="Arial" w:cs="Arial"/>
          <w:sz w:val="18"/>
          <w:szCs w:val="18"/>
        </w:rPr>
      </w:pPr>
    </w:p>
    <w:p w:rsidR="000728AD" w:rsidRDefault="000561BE">
      <w:pPr>
        <w:numPr>
          <w:ilvl w:val="0"/>
          <w:numId w:val="57"/>
        </w:numPr>
        <w:tabs>
          <w:tab w:val="left" w:pos="660"/>
        </w:tabs>
        <w:spacing w:line="250" w:lineRule="auto"/>
        <w:ind w:left="660" w:right="60" w:hanging="328"/>
        <w:rPr>
          <w:rFonts w:ascii="Arial" w:eastAsia="Arial" w:hAnsi="Arial" w:cs="Arial"/>
          <w:sz w:val="20"/>
          <w:szCs w:val="20"/>
        </w:rPr>
      </w:pPr>
      <w:r>
        <w:rPr>
          <w:rFonts w:ascii="Arial" w:eastAsia="Arial" w:hAnsi="Arial" w:cs="Arial"/>
          <w:sz w:val="20"/>
          <w:szCs w:val="20"/>
        </w:rPr>
        <w:t>The registrant’s other certifying officer(s) and I have disclosed, based on our most recent evaluation of internal control over financial reporting, to the registrant’s auditors and the audit committee of the registrant’s board of</w:t>
      </w:r>
      <w:r>
        <w:rPr>
          <w:rFonts w:ascii="Arial" w:eastAsia="Arial" w:hAnsi="Arial" w:cs="Arial"/>
          <w:sz w:val="20"/>
          <w:szCs w:val="20"/>
        </w:rPr>
        <w:t xml:space="preserve"> directors (or persons performing the equivalent functions):</w:t>
      </w:r>
    </w:p>
    <w:p w:rsidR="000728AD" w:rsidRDefault="000728AD">
      <w:pPr>
        <w:spacing w:line="185" w:lineRule="exact"/>
        <w:rPr>
          <w:rFonts w:ascii="Arial" w:eastAsia="Arial" w:hAnsi="Arial" w:cs="Arial"/>
          <w:sz w:val="20"/>
          <w:szCs w:val="20"/>
        </w:rPr>
      </w:pPr>
    </w:p>
    <w:p w:rsidR="000728AD" w:rsidRDefault="000561BE">
      <w:pPr>
        <w:numPr>
          <w:ilvl w:val="1"/>
          <w:numId w:val="57"/>
        </w:numPr>
        <w:tabs>
          <w:tab w:val="left" w:pos="1289"/>
        </w:tabs>
        <w:spacing w:line="250" w:lineRule="auto"/>
        <w:ind w:left="1300" w:right="340" w:hanging="320"/>
        <w:rPr>
          <w:rFonts w:ascii="Arial" w:eastAsia="Arial" w:hAnsi="Arial" w:cs="Arial"/>
          <w:sz w:val="20"/>
          <w:szCs w:val="20"/>
        </w:rPr>
      </w:pPr>
      <w:r>
        <w:rPr>
          <w:rFonts w:ascii="Arial" w:eastAsia="Arial" w:hAnsi="Arial" w:cs="Arial"/>
          <w:sz w:val="20"/>
          <w:szCs w:val="20"/>
        </w:rPr>
        <w:t>All significant deficiencies and material weaknesses in the design or operation of internal control over financial reporting which are reasonably likely to adversely affect the registrant’s abil</w:t>
      </w:r>
      <w:r>
        <w:rPr>
          <w:rFonts w:ascii="Arial" w:eastAsia="Arial" w:hAnsi="Arial" w:cs="Arial"/>
          <w:sz w:val="20"/>
          <w:szCs w:val="20"/>
        </w:rPr>
        <w:t>ity to record, process, summarize and report financial information; and</w:t>
      </w:r>
    </w:p>
    <w:p w:rsidR="000728AD" w:rsidRDefault="000728AD">
      <w:pPr>
        <w:spacing w:line="131" w:lineRule="exact"/>
        <w:rPr>
          <w:rFonts w:ascii="Arial" w:eastAsia="Arial" w:hAnsi="Arial" w:cs="Arial"/>
          <w:sz w:val="20"/>
          <w:szCs w:val="20"/>
        </w:rPr>
      </w:pPr>
    </w:p>
    <w:p w:rsidR="000728AD" w:rsidRDefault="000561BE">
      <w:pPr>
        <w:numPr>
          <w:ilvl w:val="1"/>
          <w:numId w:val="57"/>
        </w:numPr>
        <w:tabs>
          <w:tab w:val="left" w:pos="1300"/>
        </w:tabs>
        <w:spacing w:line="260" w:lineRule="auto"/>
        <w:ind w:left="1300" w:right="740" w:hanging="320"/>
        <w:rPr>
          <w:rFonts w:ascii="Arial" w:eastAsia="Arial" w:hAnsi="Arial" w:cs="Arial"/>
          <w:sz w:val="20"/>
          <w:szCs w:val="20"/>
        </w:rPr>
      </w:pPr>
      <w:r>
        <w:rPr>
          <w:rFonts w:ascii="Arial" w:eastAsia="Arial" w:hAnsi="Arial" w:cs="Arial"/>
          <w:sz w:val="20"/>
          <w:szCs w:val="20"/>
        </w:rPr>
        <w:t>Any fraud, whether or not material, that involves management or other employees who have a significant role in the registrant’s internal control over financial reporting.</w:t>
      </w:r>
    </w:p>
    <w:p w:rsidR="000728AD" w:rsidRDefault="000728AD">
      <w:pPr>
        <w:spacing w:line="379" w:lineRule="exact"/>
        <w:rPr>
          <w:sz w:val="20"/>
          <w:szCs w:val="20"/>
        </w:rPr>
      </w:pPr>
    </w:p>
    <w:p w:rsidR="000728AD" w:rsidRDefault="000561BE">
      <w:pPr>
        <w:tabs>
          <w:tab w:val="left" w:pos="4960"/>
        </w:tabs>
        <w:ind w:left="360"/>
        <w:rPr>
          <w:sz w:val="20"/>
          <w:szCs w:val="20"/>
        </w:rPr>
      </w:pPr>
      <w:r>
        <w:rPr>
          <w:rFonts w:ascii="Arial" w:eastAsia="Arial" w:hAnsi="Arial" w:cs="Arial"/>
          <w:sz w:val="20"/>
          <w:szCs w:val="20"/>
        </w:rPr>
        <w:t xml:space="preserve">Date: July </w:t>
      </w:r>
      <w:r>
        <w:rPr>
          <w:rFonts w:ascii="Arial" w:eastAsia="Arial" w:hAnsi="Arial" w:cs="Arial"/>
          <w:sz w:val="20"/>
          <w:szCs w:val="20"/>
        </w:rPr>
        <w:t>29, 2021</w:t>
      </w:r>
      <w:r>
        <w:rPr>
          <w:sz w:val="20"/>
          <w:szCs w:val="20"/>
        </w:rPr>
        <w:tab/>
      </w:r>
      <w:r>
        <w:rPr>
          <w:rFonts w:ascii="Arial" w:eastAsia="Arial" w:hAnsi="Arial" w:cs="Arial"/>
          <w:sz w:val="19"/>
          <w:szCs w:val="19"/>
        </w:rPr>
        <w:t>By: /s/ William R. Hinshaw, Jr.</w:t>
      </w:r>
    </w:p>
    <w:p w:rsidR="000728AD" w:rsidRDefault="000561BE">
      <w:pPr>
        <w:spacing w:line="20" w:lineRule="exact"/>
        <w:rPr>
          <w:sz w:val="20"/>
          <w:szCs w:val="20"/>
        </w:rPr>
      </w:pPr>
      <w:r>
        <w:rPr>
          <w:noProof/>
          <w:sz w:val="20"/>
          <w:szCs w:val="20"/>
        </w:rPr>
        <w:drawing>
          <wp:anchor distT="0" distB="0" distL="114300" distR="114300" simplePos="0" relativeHeight="251713536" behindDoc="1" locked="0" layoutInCell="0" allowOverlap="1">
            <wp:simplePos x="0" y="0"/>
            <wp:positionH relativeFrom="column">
              <wp:posOffset>3382645</wp:posOffset>
            </wp:positionH>
            <wp:positionV relativeFrom="paragraph">
              <wp:posOffset>10160</wp:posOffset>
            </wp:positionV>
            <wp:extent cx="3754755" cy="889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
                    <a:srcRect/>
                    <a:stretch>
                      <a:fillRect/>
                    </a:stretch>
                  </pic:blipFill>
                  <pic:spPr bwMode="auto">
                    <a:xfrm>
                      <a:off x="0" y="0"/>
                      <a:ext cx="3754755" cy="8890"/>
                    </a:xfrm>
                    <a:prstGeom prst="rect">
                      <a:avLst/>
                    </a:prstGeom>
                    <a:noFill/>
                  </pic:spPr>
                </pic:pic>
              </a:graphicData>
            </a:graphic>
          </wp:anchor>
        </w:drawing>
      </w:r>
    </w:p>
    <w:p w:rsidR="000728AD" w:rsidRDefault="000728AD">
      <w:pPr>
        <w:spacing w:line="74" w:lineRule="exact"/>
        <w:rPr>
          <w:sz w:val="20"/>
          <w:szCs w:val="20"/>
        </w:rPr>
      </w:pPr>
    </w:p>
    <w:p w:rsidR="000728AD" w:rsidRDefault="000561BE">
      <w:pPr>
        <w:ind w:left="5340"/>
        <w:rPr>
          <w:sz w:val="20"/>
          <w:szCs w:val="20"/>
        </w:rPr>
      </w:pPr>
      <w:r>
        <w:rPr>
          <w:rFonts w:ascii="Arial" w:eastAsia="Arial" w:hAnsi="Arial" w:cs="Arial"/>
          <w:sz w:val="20"/>
          <w:szCs w:val="20"/>
        </w:rPr>
        <w:t>William R. Hinshaw, Jr.</w:t>
      </w:r>
    </w:p>
    <w:p w:rsidR="000728AD" w:rsidRDefault="000728AD">
      <w:pPr>
        <w:spacing w:line="16" w:lineRule="exact"/>
        <w:rPr>
          <w:sz w:val="20"/>
          <w:szCs w:val="20"/>
        </w:rPr>
      </w:pPr>
    </w:p>
    <w:p w:rsidR="000728AD" w:rsidRDefault="000561BE">
      <w:pPr>
        <w:ind w:left="5340"/>
        <w:rPr>
          <w:sz w:val="20"/>
          <w:szCs w:val="20"/>
        </w:rPr>
      </w:pPr>
      <w:r>
        <w:rPr>
          <w:rFonts w:ascii="Arial" w:eastAsia="Arial" w:hAnsi="Arial" w:cs="Arial"/>
          <w:sz w:val="20"/>
          <w:szCs w:val="20"/>
        </w:rPr>
        <w:t>President, Chief Executive Officer and Director</w:t>
      </w:r>
    </w:p>
    <w:p w:rsidR="000728AD" w:rsidRDefault="000728AD">
      <w:pPr>
        <w:spacing w:line="4" w:lineRule="exact"/>
        <w:rPr>
          <w:sz w:val="20"/>
          <w:szCs w:val="20"/>
        </w:rPr>
      </w:pPr>
    </w:p>
    <w:p w:rsidR="000728AD" w:rsidRDefault="000561BE">
      <w:pPr>
        <w:ind w:left="5340"/>
        <w:rPr>
          <w:sz w:val="20"/>
          <w:szCs w:val="20"/>
        </w:rPr>
      </w:pPr>
      <w:r>
        <w:rPr>
          <w:rFonts w:ascii="Arial" w:eastAsia="Arial" w:hAnsi="Arial" w:cs="Arial"/>
          <w:sz w:val="20"/>
          <w:szCs w:val="20"/>
        </w:rPr>
        <w:t>(Principal Executive Officer)</w:t>
      </w:r>
    </w:p>
    <w:p w:rsidR="000728AD" w:rsidRDefault="000728AD">
      <w:pPr>
        <w:sectPr w:rsidR="000728AD">
          <w:pgSz w:w="11900" w:h="16838"/>
          <w:pgMar w:top="115" w:right="339" w:bottom="1440" w:left="320" w:header="0" w:footer="0" w:gutter="0"/>
          <w:cols w:space="720" w:equalWidth="0">
            <w:col w:w="11240"/>
          </w:cols>
        </w:sectPr>
      </w:pPr>
    </w:p>
    <w:p w:rsidR="000728AD" w:rsidRDefault="000561BE">
      <w:pPr>
        <w:jc w:val="right"/>
        <w:rPr>
          <w:sz w:val="20"/>
          <w:szCs w:val="20"/>
        </w:rPr>
      </w:pPr>
      <w:bookmarkStart w:id="114" w:name="page114"/>
      <w:bookmarkEnd w:id="114"/>
      <w:r>
        <w:rPr>
          <w:rFonts w:ascii="Arial" w:eastAsia="Arial" w:hAnsi="Arial" w:cs="Arial"/>
          <w:b/>
          <w:bCs/>
          <w:sz w:val="20"/>
          <w:szCs w:val="20"/>
        </w:rPr>
        <w:lastRenderedPageBreak/>
        <w:t>Exhibit 31.2</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81" w:lineRule="exact"/>
        <w:rPr>
          <w:sz w:val="20"/>
          <w:szCs w:val="20"/>
        </w:rPr>
      </w:pPr>
    </w:p>
    <w:p w:rsidR="000728AD" w:rsidRDefault="000561BE">
      <w:pPr>
        <w:jc w:val="center"/>
        <w:rPr>
          <w:sz w:val="20"/>
          <w:szCs w:val="20"/>
        </w:rPr>
      </w:pPr>
      <w:r>
        <w:rPr>
          <w:rFonts w:ascii="Arial" w:eastAsia="Arial" w:hAnsi="Arial" w:cs="Arial"/>
          <w:b/>
          <w:bCs/>
          <w:sz w:val="20"/>
          <w:szCs w:val="20"/>
        </w:rPr>
        <w:t>CERTIFICATION OF PRINCIPAL EXECUTIVE OFFICER</w:t>
      </w:r>
    </w:p>
    <w:p w:rsidR="000728AD" w:rsidRDefault="000728AD">
      <w:pPr>
        <w:spacing w:line="26" w:lineRule="exact"/>
        <w:rPr>
          <w:sz w:val="20"/>
          <w:szCs w:val="20"/>
        </w:rPr>
      </w:pPr>
    </w:p>
    <w:p w:rsidR="000728AD" w:rsidRDefault="000561BE">
      <w:pPr>
        <w:jc w:val="center"/>
        <w:rPr>
          <w:sz w:val="20"/>
          <w:szCs w:val="20"/>
        </w:rPr>
      </w:pPr>
      <w:r>
        <w:rPr>
          <w:rFonts w:ascii="Arial" w:eastAsia="Arial" w:hAnsi="Arial" w:cs="Arial"/>
          <w:b/>
          <w:bCs/>
          <w:sz w:val="20"/>
          <w:szCs w:val="20"/>
        </w:rPr>
        <w:t xml:space="preserve">PURSUANT TO </w:t>
      </w:r>
      <w:r>
        <w:rPr>
          <w:rFonts w:ascii="Arial" w:eastAsia="Arial" w:hAnsi="Arial" w:cs="Arial"/>
          <w:b/>
          <w:bCs/>
          <w:sz w:val="20"/>
          <w:szCs w:val="20"/>
        </w:rPr>
        <w:t>SECTION 302 OF THE SARBANES-OXLEY ACT OF 2002</w:t>
      </w:r>
    </w:p>
    <w:p w:rsidR="000728AD" w:rsidRDefault="000728AD">
      <w:pPr>
        <w:spacing w:line="316" w:lineRule="exact"/>
        <w:rPr>
          <w:sz w:val="20"/>
          <w:szCs w:val="20"/>
        </w:rPr>
      </w:pPr>
    </w:p>
    <w:p w:rsidR="000728AD" w:rsidRDefault="000561BE">
      <w:pPr>
        <w:rPr>
          <w:sz w:val="20"/>
          <w:szCs w:val="20"/>
        </w:rPr>
      </w:pPr>
      <w:r>
        <w:rPr>
          <w:rFonts w:ascii="Arial" w:eastAsia="Arial" w:hAnsi="Arial" w:cs="Arial"/>
          <w:sz w:val="20"/>
          <w:szCs w:val="20"/>
        </w:rPr>
        <w:t>I, Laurent Chardonnet, certify that:</w:t>
      </w:r>
    </w:p>
    <w:p w:rsidR="000728AD" w:rsidRDefault="000728AD">
      <w:pPr>
        <w:spacing w:line="216" w:lineRule="exact"/>
        <w:rPr>
          <w:sz w:val="20"/>
          <w:szCs w:val="20"/>
        </w:rPr>
      </w:pPr>
    </w:p>
    <w:p w:rsidR="000728AD" w:rsidRDefault="000561BE">
      <w:pPr>
        <w:numPr>
          <w:ilvl w:val="0"/>
          <w:numId w:val="58"/>
        </w:numPr>
        <w:tabs>
          <w:tab w:val="left" w:pos="660"/>
        </w:tabs>
        <w:ind w:left="660" w:hanging="328"/>
        <w:rPr>
          <w:rFonts w:ascii="Arial" w:eastAsia="Arial" w:hAnsi="Arial" w:cs="Arial"/>
          <w:sz w:val="20"/>
          <w:szCs w:val="20"/>
        </w:rPr>
      </w:pPr>
      <w:r>
        <w:rPr>
          <w:rFonts w:ascii="Arial" w:eastAsia="Arial" w:hAnsi="Arial" w:cs="Arial"/>
          <w:sz w:val="20"/>
          <w:szCs w:val="20"/>
        </w:rPr>
        <w:t>I have reviewed this Quarterly Report on Form 10-Q for the period ended June 30, 2021 of Axcella Health Inc.;</w:t>
      </w:r>
    </w:p>
    <w:p w:rsidR="000728AD" w:rsidRDefault="000728AD">
      <w:pPr>
        <w:spacing w:line="215" w:lineRule="exact"/>
        <w:rPr>
          <w:rFonts w:ascii="Arial" w:eastAsia="Arial" w:hAnsi="Arial" w:cs="Arial"/>
          <w:sz w:val="20"/>
          <w:szCs w:val="20"/>
        </w:rPr>
      </w:pPr>
    </w:p>
    <w:p w:rsidR="000728AD" w:rsidRDefault="000561BE">
      <w:pPr>
        <w:numPr>
          <w:ilvl w:val="0"/>
          <w:numId w:val="58"/>
        </w:numPr>
        <w:tabs>
          <w:tab w:val="left" w:pos="660"/>
        </w:tabs>
        <w:spacing w:line="250" w:lineRule="auto"/>
        <w:ind w:left="660" w:right="40" w:hanging="328"/>
        <w:rPr>
          <w:rFonts w:ascii="Arial" w:eastAsia="Arial" w:hAnsi="Arial" w:cs="Arial"/>
          <w:sz w:val="20"/>
          <w:szCs w:val="20"/>
        </w:rPr>
      </w:pPr>
      <w:r>
        <w:rPr>
          <w:rFonts w:ascii="Arial" w:eastAsia="Arial" w:hAnsi="Arial" w:cs="Arial"/>
          <w:sz w:val="20"/>
          <w:szCs w:val="20"/>
        </w:rPr>
        <w:t xml:space="preserve">Based on my knowledge, this report does not contain any </w:t>
      </w:r>
      <w:r>
        <w:rPr>
          <w:rFonts w:ascii="Arial" w:eastAsia="Arial" w:hAnsi="Arial" w:cs="Arial"/>
          <w:sz w:val="20"/>
          <w:szCs w:val="20"/>
        </w:rPr>
        <w:t>untrue statement of a material fact or omit to state a material fact necessary to make the statements made, in light of the circumstances under which such statements were made, not misleading with respect to the period covered by this report;</w:t>
      </w:r>
    </w:p>
    <w:p w:rsidR="000728AD" w:rsidRDefault="000728AD">
      <w:pPr>
        <w:spacing w:line="185" w:lineRule="exact"/>
        <w:rPr>
          <w:rFonts w:ascii="Arial" w:eastAsia="Arial" w:hAnsi="Arial" w:cs="Arial"/>
          <w:sz w:val="20"/>
          <w:szCs w:val="20"/>
        </w:rPr>
      </w:pPr>
    </w:p>
    <w:p w:rsidR="000728AD" w:rsidRDefault="000561BE">
      <w:pPr>
        <w:numPr>
          <w:ilvl w:val="0"/>
          <w:numId w:val="58"/>
        </w:numPr>
        <w:tabs>
          <w:tab w:val="left" w:pos="660"/>
        </w:tabs>
        <w:spacing w:line="250" w:lineRule="auto"/>
        <w:ind w:left="660" w:right="20" w:hanging="328"/>
        <w:rPr>
          <w:rFonts w:ascii="Arial" w:eastAsia="Arial" w:hAnsi="Arial" w:cs="Arial"/>
          <w:sz w:val="20"/>
          <w:szCs w:val="20"/>
        </w:rPr>
      </w:pPr>
      <w:r>
        <w:rPr>
          <w:rFonts w:ascii="Arial" w:eastAsia="Arial" w:hAnsi="Arial" w:cs="Arial"/>
          <w:sz w:val="20"/>
          <w:szCs w:val="20"/>
        </w:rPr>
        <w:t xml:space="preserve">Based on my </w:t>
      </w:r>
      <w:r>
        <w:rPr>
          <w:rFonts w:ascii="Arial" w:eastAsia="Arial" w:hAnsi="Arial" w:cs="Arial"/>
          <w:sz w:val="20"/>
          <w:szCs w:val="20"/>
        </w:rPr>
        <w:t>knowledge, the financial statements, and other financial information included in this report, fairly present in all material respects the financial condition, results of operations and cash flows of the registrant as of, and for, the periods presented in t</w:t>
      </w:r>
      <w:r>
        <w:rPr>
          <w:rFonts w:ascii="Arial" w:eastAsia="Arial" w:hAnsi="Arial" w:cs="Arial"/>
          <w:sz w:val="20"/>
          <w:szCs w:val="20"/>
        </w:rPr>
        <w:t>his report;</w:t>
      </w:r>
    </w:p>
    <w:p w:rsidR="000728AD" w:rsidRDefault="000728AD">
      <w:pPr>
        <w:spacing w:line="185" w:lineRule="exact"/>
        <w:rPr>
          <w:rFonts w:ascii="Arial" w:eastAsia="Arial" w:hAnsi="Arial" w:cs="Arial"/>
          <w:sz w:val="20"/>
          <w:szCs w:val="20"/>
        </w:rPr>
      </w:pPr>
    </w:p>
    <w:p w:rsidR="000728AD" w:rsidRDefault="000561BE">
      <w:pPr>
        <w:numPr>
          <w:ilvl w:val="0"/>
          <w:numId w:val="58"/>
        </w:numPr>
        <w:tabs>
          <w:tab w:val="left" w:pos="660"/>
        </w:tabs>
        <w:spacing w:line="250" w:lineRule="auto"/>
        <w:ind w:left="660" w:right="200" w:hanging="328"/>
        <w:rPr>
          <w:rFonts w:ascii="Arial" w:eastAsia="Arial" w:hAnsi="Arial" w:cs="Arial"/>
          <w:sz w:val="20"/>
          <w:szCs w:val="20"/>
        </w:rPr>
      </w:pPr>
      <w:r>
        <w:rPr>
          <w:rFonts w:ascii="Arial" w:eastAsia="Arial" w:hAnsi="Arial" w:cs="Arial"/>
          <w:sz w:val="20"/>
          <w:szCs w:val="20"/>
        </w:rPr>
        <w:t>The registrant’s other certifying officer(s) and I are responsible for establishing and maintaining disclosure controls and procedures (as defined in Exchange Act Rules 13a-15(e) and 15d-15(e)) and internal control over financial reporting (as</w:t>
      </w:r>
      <w:r>
        <w:rPr>
          <w:rFonts w:ascii="Arial" w:eastAsia="Arial" w:hAnsi="Arial" w:cs="Arial"/>
          <w:sz w:val="20"/>
          <w:szCs w:val="20"/>
        </w:rPr>
        <w:t xml:space="preserve"> defined in Exchange Act Rules 13a–15(f) and 15d–15(f)) for the registrant and have:</w:t>
      </w:r>
    </w:p>
    <w:p w:rsidR="000728AD" w:rsidRDefault="000728AD">
      <w:pPr>
        <w:spacing w:line="185" w:lineRule="exact"/>
        <w:rPr>
          <w:rFonts w:ascii="Arial" w:eastAsia="Arial" w:hAnsi="Arial" w:cs="Arial"/>
          <w:sz w:val="20"/>
          <w:szCs w:val="20"/>
        </w:rPr>
      </w:pPr>
    </w:p>
    <w:p w:rsidR="000728AD" w:rsidRDefault="000561BE">
      <w:pPr>
        <w:numPr>
          <w:ilvl w:val="1"/>
          <w:numId w:val="58"/>
        </w:numPr>
        <w:tabs>
          <w:tab w:val="left" w:pos="1289"/>
        </w:tabs>
        <w:spacing w:line="291" w:lineRule="auto"/>
        <w:ind w:left="1300" w:right="100" w:hanging="320"/>
        <w:rPr>
          <w:rFonts w:ascii="Arial" w:eastAsia="Arial" w:hAnsi="Arial" w:cs="Arial"/>
          <w:sz w:val="18"/>
          <w:szCs w:val="18"/>
        </w:rPr>
      </w:pPr>
      <w:r>
        <w:rPr>
          <w:rFonts w:ascii="Arial" w:eastAsia="Arial" w:hAnsi="Arial" w:cs="Arial"/>
          <w:sz w:val="18"/>
          <w:szCs w:val="18"/>
        </w:rPr>
        <w:t>Designed such disclosure controls and procedures, or caused such disclosure controls and procedures to be designed under our supervision, to ensure that material informat</w:t>
      </w:r>
      <w:r>
        <w:rPr>
          <w:rFonts w:ascii="Arial" w:eastAsia="Arial" w:hAnsi="Arial" w:cs="Arial"/>
          <w:sz w:val="18"/>
          <w:szCs w:val="18"/>
        </w:rPr>
        <w:t>ion relating to the registrant, including its consolidated subsidiaries, is made known to us by others within those entities, particularly during the period in which this report is being prepared;</w:t>
      </w:r>
    </w:p>
    <w:p w:rsidR="000728AD" w:rsidRDefault="000728AD">
      <w:pPr>
        <w:spacing w:line="97" w:lineRule="exact"/>
        <w:rPr>
          <w:rFonts w:ascii="Arial" w:eastAsia="Arial" w:hAnsi="Arial" w:cs="Arial"/>
          <w:sz w:val="18"/>
          <w:szCs w:val="18"/>
        </w:rPr>
      </w:pPr>
    </w:p>
    <w:p w:rsidR="000728AD" w:rsidRDefault="000561BE">
      <w:pPr>
        <w:numPr>
          <w:ilvl w:val="1"/>
          <w:numId w:val="58"/>
        </w:numPr>
        <w:tabs>
          <w:tab w:val="left" w:pos="1300"/>
        </w:tabs>
        <w:spacing w:line="342" w:lineRule="auto"/>
        <w:ind w:left="1300" w:right="560" w:hanging="320"/>
        <w:rPr>
          <w:rFonts w:ascii="Arial" w:eastAsia="Arial" w:hAnsi="Arial" w:cs="Arial"/>
          <w:sz w:val="16"/>
          <w:szCs w:val="16"/>
        </w:rPr>
      </w:pPr>
      <w:r>
        <w:rPr>
          <w:rFonts w:ascii="Arial" w:eastAsia="Arial" w:hAnsi="Arial" w:cs="Arial"/>
          <w:sz w:val="16"/>
          <w:szCs w:val="16"/>
        </w:rPr>
        <w:t>Designed such internal control over financial reporting, o</w:t>
      </w:r>
      <w:r>
        <w:rPr>
          <w:rFonts w:ascii="Arial" w:eastAsia="Arial" w:hAnsi="Arial" w:cs="Arial"/>
          <w:sz w:val="16"/>
          <w:szCs w:val="16"/>
        </w:rPr>
        <w:t>r caused such internal control over financial reporting to be designed under our supervision, to provide reasonable assurance regarding the reliability of financial reporting and the preparation of financial statements for external purposes in accordance w</w:t>
      </w:r>
      <w:r>
        <w:rPr>
          <w:rFonts w:ascii="Arial" w:eastAsia="Arial" w:hAnsi="Arial" w:cs="Arial"/>
          <w:sz w:val="16"/>
          <w:szCs w:val="16"/>
        </w:rPr>
        <w:t>ith generally accepted accounting principles;</w:t>
      </w:r>
    </w:p>
    <w:p w:rsidR="000728AD" w:rsidRDefault="000728AD">
      <w:pPr>
        <w:spacing w:line="63" w:lineRule="exact"/>
        <w:rPr>
          <w:rFonts w:ascii="Arial" w:eastAsia="Arial" w:hAnsi="Arial" w:cs="Arial"/>
          <w:sz w:val="16"/>
          <w:szCs w:val="16"/>
        </w:rPr>
      </w:pPr>
    </w:p>
    <w:p w:rsidR="000728AD" w:rsidRDefault="000561BE">
      <w:pPr>
        <w:numPr>
          <w:ilvl w:val="1"/>
          <w:numId w:val="58"/>
        </w:numPr>
        <w:tabs>
          <w:tab w:val="left" w:pos="1289"/>
        </w:tabs>
        <w:spacing w:line="250" w:lineRule="auto"/>
        <w:ind w:left="1300" w:right="60" w:hanging="320"/>
        <w:rPr>
          <w:rFonts w:ascii="Arial" w:eastAsia="Arial" w:hAnsi="Arial" w:cs="Arial"/>
          <w:sz w:val="20"/>
          <w:szCs w:val="20"/>
        </w:rPr>
      </w:pPr>
      <w:r>
        <w:rPr>
          <w:rFonts w:ascii="Arial" w:eastAsia="Arial" w:hAnsi="Arial" w:cs="Arial"/>
          <w:sz w:val="20"/>
          <w:szCs w:val="20"/>
        </w:rPr>
        <w:t xml:space="preserve">Evaluated the effectiveness of the registrant’s disclosure controls and procedures and presented in this report our conclusions about the effectiveness of the disclosure controls and procedures, as of the </w:t>
      </w:r>
      <w:r>
        <w:rPr>
          <w:rFonts w:ascii="Arial" w:eastAsia="Arial" w:hAnsi="Arial" w:cs="Arial"/>
          <w:sz w:val="20"/>
          <w:szCs w:val="20"/>
        </w:rPr>
        <w:t>end of the period covered by this report based on such evaluation; and</w:t>
      </w:r>
    </w:p>
    <w:p w:rsidR="000728AD" w:rsidRDefault="000728AD">
      <w:pPr>
        <w:spacing w:line="131" w:lineRule="exact"/>
        <w:rPr>
          <w:rFonts w:ascii="Arial" w:eastAsia="Arial" w:hAnsi="Arial" w:cs="Arial"/>
          <w:sz w:val="20"/>
          <w:szCs w:val="20"/>
        </w:rPr>
      </w:pPr>
    </w:p>
    <w:p w:rsidR="000728AD" w:rsidRDefault="000561BE">
      <w:pPr>
        <w:numPr>
          <w:ilvl w:val="1"/>
          <w:numId w:val="58"/>
        </w:numPr>
        <w:tabs>
          <w:tab w:val="left" w:pos="1300"/>
        </w:tabs>
        <w:spacing w:line="291" w:lineRule="auto"/>
        <w:ind w:left="1300" w:right="80" w:hanging="320"/>
        <w:rPr>
          <w:rFonts w:ascii="Arial" w:eastAsia="Arial" w:hAnsi="Arial" w:cs="Arial"/>
          <w:sz w:val="18"/>
          <w:szCs w:val="18"/>
        </w:rPr>
      </w:pPr>
      <w:r>
        <w:rPr>
          <w:rFonts w:ascii="Arial" w:eastAsia="Arial" w:hAnsi="Arial" w:cs="Arial"/>
          <w:sz w:val="18"/>
          <w:szCs w:val="18"/>
        </w:rPr>
        <w:t>Disclosed in this report any change in the registrant’s internal control over financial reporting that occurred during the registrant’s most recent fiscal quarter (the registrant’s fou</w:t>
      </w:r>
      <w:r>
        <w:rPr>
          <w:rFonts w:ascii="Arial" w:eastAsia="Arial" w:hAnsi="Arial" w:cs="Arial"/>
          <w:sz w:val="18"/>
          <w:szCs w:val="18"/>
        </w:rPr>
        <w:t>rth fiscal quarter in the case of an annual report) that has materially affected, or is reasonably likely to materially affect, the registrant’s internal control over financial reporting; and</w:t>
      </w:r>
    </w:p>
    <w:p w:rsidR="000728AD" w:rsidRDefault="000728AD">
      <w:pPr>
        <w:spacing w:line="151" w:lineRule="exact"/>
        <w:rPr>
          <w:rFonts w:ascii="Arial" w:eastAsia="Arial" w:hAnsi="Arial" w:cs="Arial"/>
          <w:sz w:val="18"/>
          <w:szCs w:val="18"/>
        </w:rPr>
      </w:pPr>
    </w:p>
    <w:p w:rsidR="000728AD" w:rsidRDefault="000561BE">
      <w:pPr>
        <w:numPr>
          <w:ilvl w:val="0"/>
          <w:numId w:val="58"/>
        </w:numPr>
        <w:tabs>
          <w:tab w:val="left" w:pos="660"/>
        </w:tabs>
        <w:spacing w:line="250" w:lineRule="auto"/>
        <w:ind w:left="660" w:right="60" w:hanging="328"/>
        <w:rPr>
          <w:rFonts w:ascii="Arial" w:eastAsia="Arial" w:hAnsi="Arial" w:cs="Arial"/>
          <w:sz w:val="20"/>
          <w:szCs w:val="20"/>
        </w:rPr>
      </w:pPr>
      <w:r>
        <w:rPr>
          <w:rFonts w:ascii="Arial" w:eastAsia="Arial" w:hAnsi="Arial" w:cs="Arial"/>
          <w:sz w:val="20"/>
          <w:szCs w:val="20"/>
        </w:rPr>
        <w:t>The registrant’s other certifying officer(s) and I have disclos</w:t>
      </w:r>
      <w:r>
        <w:rPr>
          <w:rFonts w:ascii="Arial" w:eastAsia="Arial" w:hAnsi="Arial" w:cs="Arial"/>
          <w:sz w:val="20"/>
          <w:szCs w:val="20"/>
        </w:rPr>
        <w:t>ed, based on our most recent evaluation of internal control over financial reporting, to the registrant’s auditors and the audit committee of the registrant’s board of directors (or persons performing the equivalent functions):</w:t>
      </w:r>
    </w:p>
    <w:p w:rsidR="000728AD" w:rsidRDefault="000728AD">
      <w:pPr>
        <w:spacing w:line="185" w:lineRule="exact"/>
        <w:rPr>
          <w:rFonts w:ascii="Arial" w:eastAsia="Arial" w:hAnsi="Arial" w:cs="Arial"/>
          <w:sz w:val="20"/>
          <w:szCs w:val="20"/>
        </w:rPr>
      </w:pPr>
    </w:p>
    <w:p w:rsidR="000728AD" w:rsidRDefault="000561BE">
      <w:pPr>
        <w:numPr>
          <w:ilvl w:val="1"/>
          <w:numId w:val="58"/>
        </w:numPr>
        <w:tabs>
          <w:tab w:val="left" w:pos="1289"/>
        </w:tabs>
        <w:spacing w:line="250" w:lineRule="auto"/>
        <w:ind w:left="1300" w:right="340" w:hanging="320"/>
        <w:rPr>
          <w:rFonts w:ascii="Arial" w:eastAsia="Arial" w:hAnsi="Arial" w:cs="Arial"/>
          <w:sz w:val="20"/>
          <w:szCs w:val="20"/>
        </w:rPr>
      </w:pPr>
      <w:r>
        <w:rPr>
          <w:rFonts w:ascii="Arial" w:eastAsia="Arial" w:hAnsi="Arial" w:cs="Arial"/>
          <w:sz w:val="20"/>
          <w:szCs w:val="20"/>
        </w:rPr>
        <w:t>All significant deficiencie</w:t>
      </w:r>
      <w:r>
        <w:rPr>
          <w:rFonts w:ascii="Arial" w:eastAsia="Arial" w:hAnsi="Arial" w:cs="Arial"/>
          <w:sz w:val="20"/>
          <w:szCs w:val="20"/>
        </w:rPr>
        <w:t>s and material weaknesses in the design or operation of internal control over financial reporting which are reasonably likely to adversely affect the registrant’s ability to record, process, summarize and report financial information; and</w:t>
      </w:r>
    </w:p>
    <w:p w:rsidR="000728AD" w:rsidRDefault="000728AD">
      <w:pPr>
        <w:spacing w:line="131" w:lineRule="exact"/>
        <w:rPr>
          <w:rFonts w:ascii="Arial" w:eastAsia="Arial" w:hAnsi="Arial" w:cs="Arial"/>
          <w:sz w:val="20"/>
          <w:szCs w:val="20"/>
        </w:rPr>
      </w:pPr>
    </w:p>
    <w:p w:rsidR="000728AD" w:rsidRDefault="000561BE">
      <w:pPr>
        <w:numPr>
          <w:ilvl w:val="1"/>
          <w:numId w:val="58"/>
        </w:numPr>
        <w:tabs>
          <w:tab w:val="left" w:pos="1300"/>
        </w:tabs>
        <w:spacing w:line="260" w:lineRule="auto"/>
        <w:ind w:left="1300" w:right="740" w:hanging="320"/>
        <w:rPr>
          <w:rFonts w:ascii="Arial" w:eastAsia="Arial" w:hAnsi="Arial" w:cs="Arial"/>
          <w:sz w:val="20"/>
          <w:szCs w:val="20"/>
        </w:rPr>
      </w:pPr>
      <w:r>
        <w:rPr>
          <w:rFonts w:ascii="Arial" w:eastAsia="Arial" w:hAnsi="Arial" w:cs="Arial"/>
          <w:sz w:val="20"/>
          <w:szCs w:val="20"/>
        </w:rPr>
        <w:t>Any fraud, wheth</w:t>
      </w:r>
      <w:r>
        <w:rPr>
          <w:rFonts w:ascii="Arial" w:eastAsia="Arial" w:hAnsi="Arial" w:cs="Arial"/>
          <w:sz w:val="20"/>
          <w:szCs w:val="20"/>
        </w:rPr>
        <w:t>er or not material, that involves management or other employees who have a significant role in the registrant’s internal control over financial reporting.</w:t>
      </w:r>
    </w:p>
    <w:p w:rsidR="000728AD" w:rsidRDefault="000728AD">
      <w:pPr>
        <w:spacing w:line="379" w:lineRule="exact"/>
        <w:rPr>
          <w:sz w:val="20"/>
          <w:szCs w:val="20"/>
        </w:rPr>
      </w:pPr>
    </w:p>
    <w:p w:rsidR="000728AD" w:rsidRDefault="000561BE">
      <w:pPr>
        <w:tabs>
          <w:tab w:val="left" w:pos="4960"/>
        </w:tabs>
        <w:ind w:left="360"/>
        <w:rPr>
          <w:sz w:val="20"/>
          <w:szCs w:val="20"/>
        </w:rPr>
      </w:pPr>
      <w:r>
        <w:rPr>
          <w:rFonts w:ascii="Arial" w:eastAsia="Arial" w:hAnsi="Arial" w:cs="Arial"/>
          <w:sz w:val="20"/>
          <w:szCs w:val="20"/>
        </w:rPr>
        <w:t>Date: July 29, 2021</w:t>
      </w:r>
      <w:r>
        <w:rPr>
          <w:sz w:val="20"/>
          <w:szCs w:val="20"/>
        </w:rPr>
        <w:tab/>
      </w:r>
      <w:r>
        <w:rPr>
          <w:rFonts w:ascii="Arial" w:eastAsia="Arial" w:hAnsi="Arial" w:cs="Arial"/>
          <w:sz w:val="18"/>
          <w:szCs w:val="18"/>
        </w:rPr>
        <w:t>By: /s/ Laurent Chardonnet</w:t>
      </w:r>
    </w:p>
    <w:p w:rsidR="000728AD" w:rsidRDefault="000561BE">
      <w:pPr>
        <w:spacing w:line="20" w:lineRule="exact"/>
        <w:rPr>
          <w:sz w:val="20"/>
          <w:szCs w:val="20"/>
        </w:rPr>
      </w:pPr>
      <w:r>
        <w:rPr>
          <w:noProof/>
          <w:sz w:val="20"/>
          <w:szCs w:val="20"/>
        </w:rPr>
        <w:drawing>
          <wp:anchor distT="0" distB="0" distL="114300" distR="114300" simplePos="0" relativeHeight="251714560" behindDoc="1" locked="0" layoutInCell="0" allowOverlap="1">
            <wp:simplePos x="0" y="0"/>
            <wp:positionH relativeFrom="column">
              <wp:posOffset>3382645</wp:posOffset>
            </wp:positionH>
            <wp:positionV relativeFrom="paragraph">
              <wp:posOffset>10160</wp:posOffset>
            </wp:positionV>
            <wp:extent cx="3754755" cy="889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
                    <a:srcRect/>
                    <a:stretch>
                      <a:fillRect/>
                    </a:stretch>
                  </pic:blipFill>
                  <pic:spPr bwMode="auto">
                    <a:xfrm>
                      <a:off x="0" y="0"/>
                      <a:ext cx="3754755" cy="8890"/>
                    </a:xfrm>
                    <a:prstGeom prst="rect">
                      <a:avLst/>
                    </a:prstGeom>
                    <a:noFill/>
                  </pic:spPr>
                </pic:pic>
              </a:graphicData>
            </a:graphic>
          </wp:anchor>
        </w:drawing>
      </w:r>
    </w:p>
    <w:p w:rsidR="000728AD" w:rsidRDefault="000728AD">
      <w:pPr>
        <w:spacing w:line="74" w:lineRule="exact"/>
        <w:rPr>
          <w:sz w:val="20"/>
          <w:szCs w:val="20"/>
        </w:rPr>
      </w:pPr>
    </w:p>
    <w:p w:rsidR="000728AD" w:rsidRDefault="000561BE">
      <w:pPr>
        <w:ind w:left="5340"/>
        <w:rPr>
          <w:sz w:val="20"/>
          <w:szCs w:val="20"/>
        </w:rPr>
      </w:pPr>
      <w:r>
        <w:rPr>
          <w:rFonts w:ascii="Arial" w:eastAsia="Arial" w:hAnsi="Arial" w:cs="Arial"/>
          <w:sz w:val="20"/>
          <w:szCs w:val="20"/>
        </w:rPr>
        <w:t>Laurent Chardonnet</w:t>
      </w:r>
    </w:p>
    <w:p w:rsidR="000728AD" w:rsidRDefault="000728AD">
      <w:pPr>
        <w:spacing w:line="16" w:lineRule="exact"/>
        <w:rPr>
          <w:sz w:val="20"/>
          <w:szCs w:val="20"/>
        </w:rPr>
      </w:pPr>
    </w:p>
    <w:p w:rsidR="000728AD" w:rsidRDefault="000561BE">
      <w:pPr>
        <w:ind w:left="5340"/>
        <w:rPr>
          <w:sz w:val="20"/>
          <w:szCs w:val="20"/>
        </w:rPr>
      </w:pPr>
      <w:r>
        <w:rPr>
          <w:rFonts w:ascii="Arial" w:eastAsia="Arial" w:hAnsi="Arial" w:cs="Arial"/>
          <w:sz w:val="20"/>
          <w:szCs w:val="20"/>
        </w:rPr>
        <w:t xml:space="preserve">Senior Vice President and </w:t>
      </w:r>
      <w:r>
        <w:rPr>
          <w:rFonts w:ascii="Arial" w:eastAsia="Arial" w:hAnsi="Arial" w:cs="Arial"/>
          <w:sz w:val="20"/>
          <w:szCs w:val="20"/>
        </w:rPr>
        <w:t>Chief Financial Officer</w:t>
      </w:r>
    </w:p>
    <w:p w:rsidR="000728AD" w:rsidRDefault="000728AD">
      <w:pPr>
        <w:spacing w:line="4" w:lineRule="exact"/>
        <w:rPr>
          <w:sz w:val="20"/>
          <w:szCs w:val="20"/>
        </w:rPr>
      </w:pPr>
    </w:p>
    <w:p w:rsidR="000728AD" w:rsidRDefault="000561BE">
      <w:pPr>
        <w:ind w:left="5340"/>
        <w:rPr>
          <w:sz w:val="20"/>
          <w:szCs w:val="20"/>
        </w:rPr>
      </w:pPr>
      <w:r>
        <w:rPr>
          <w:rFonts w:ascii="Arial" w:eastAsia="Arial" w:hAnsi="Arial" w:cs="Arial"/>
          <w:sz w:val="20"/>
          <w:szCs w:val="20"/>
        </w:rPr>
        <w:t>(Principal Financial Officer)</w:t>
      </w:r>
    </w:p>
    <w:p w:rsidR="000728AD" w:rsidRDefault="000728AD">
      <w:pPr>
        <w:sectPr w:rsidR="000728AD">
          <w:pgSz w:w="11900" w:h="16838"/>
          <w:pgMar w:top="115" w:right="339" w:bottom="1440" w:left="320" w:header="0" w:footer="0" w:gutter="0"/>
          <w:cols w:space="720" w:equalWidth="0">
            <w:col w:w="11240"/>
          </w:cols>
        </w:sectPr>
      </w:pPr>
    </w:p>
    <w:p w:rsidR="000728AD" w:rsidRDefault="000561BE">
      <w:pPr>
        <w:jc w:val="right"/>
        <w:rPr>
          <w:sz w:val="20"/>
          <w:szCs w:val="20"/>
        </w:rPr>
      </w:pPr>
      <w:bookmarkStart w:id="115" w:name="page115"/>
      <w:bookmarkEnd w:id="115"/>
      <w:r>
        <w:rPr>
          <w:rFonts w:ascii="Arial" w:eastAsia="Arial" w:hAnsi="Arial" w:cs="Arial"/>
          <w:b/>
          <w:bCs/>
          <w:sz w:val="20"/>
          <w:szCs w:val="20"/>
        </w:rPr>
        <w:lastRenderedPageBreak/>
        <w:t>Exhibit 32.1</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67" w:lineRule="exact"/>
        <w:rPr>
          <w:sz w:val="20"/>
          <w:szCs w:val="20"/>
        </w:rPr>
      </w:pPr>
    </w:p>
    <w:p w:rsidR="000728AD" w:rsidRDefault="000561BE">
      <w:pPr>
        <w:jc w:val="center"/>
        <w:rPr>
          <w:sz w:val="20"/>
          <w:szCs w:val="20"/>
        </w:rPr>
      </w:pPr>
      <w:r>
        <w:rPr>
          <w:rFonts w:ascii="Arial" w:eastAsia="Arial" w:hAnsi="Arial" w:cs="Arial"/>
          <w:b/>
          <w:bCs/>
          <w:sz w:val="20"/>
          <w:szCs w:val="20"/>
        </w:rPr>
        <w:t>CERTIFICATION PURSUANT TO 18 U.S.C. SECTION 1350,</w:t>
      </w:r>
    </w:p>
    <w:p w:rsidR="000728AD" w:rsidRDefault="000728AD">
      <w:pPr>
        <w:spacing w:line="21" w:lineRule="exact"/>
        <w:rPr>
          <w:sz w:val="20"/>
          <w:szCs w:val="20"/>
        </w:rPr>
      </w:pPr>
    </w:p>
    <w:p w:rsidR="000728AD" w:rsidRDefault="000561BE">
      <w:pPr>
        <w:jc w:val="center"/>
        <w:rPr>
          <w:sz w:val="20"/>
          <w:szCs w:val="20"/>
        </w:rPr>
      </w:pPr>
      <w:r>
        <w:rPr>
          <w:rFonts w:ascii="Arial" w:eastAsia="Arial" w:hAnsi="Arial" w:cs="Arial"/>
          <w:b/>
          <w:bCs/>
          <w:sz w:val="20"/>
          <w:szCs w:val="20"/>
        </w:rPr>
        <w:t>AS ADOPTED PURSUANT TO</w:t>
      </w:r>
    </w:p>
    <w:p w:rsidR="000728AD" w:rsidRDefault="000561BE">
      <w:pPr>
        <w:jc w:val="center"/>
        <w:rPr>
          <w:sz w:val="20"/>
          <w:szCs w:val="20"/>
        </w:rPr>
      </w:pPr>
      <w:r>
        <w:rPr>
          <w:rFonts w:ascii="Arial" w:eastAsia="Arial" w:hAnsi="Arial" w:cs="Arial"/>
          <w:b/>
          <w:bCs/>
          <w:sz w:val="20"/>
          <w:szCs w:val="20"/>
        </w:rPr>
        <w:t>SECTION 906 OF THE SARBANES-OXLEY ACT OF 2002</w:t>
      </w:r>
    </w:p>
    <w:p w:rsidR="000728AD" w:rsidRDefault="000728AD">
      <w:pPr>
        <w:spacing w:line="254" w:lineRule="exact"/>
        <w:rPr>
          <w:sz w:val="20"/>
          <w:szCs w:val="20"/>
        </w:rPr>
      </w:pPr>
    </w:p>
    <w:p w:rsidR="000728AD" w:rsidRDefault="000561BE">
      <w:pPr>
        <w:spacing w:line="260" w:lineRule="auto"/>
        <w:ind w:right="40" w:firstLine="486"/>
        <w:rPr>
          <w:sz w:val="20"/>
          <w:szCs w:val="20"/>
        </w:rPr>
      </w:pPr>
      <w:r>
        <w:rPr>
          <w:rFonts w:ascii="Arial" w:eastAsia="Arial" w:hAnsi="Arial" w:cs="Arial"/>
          <w:sz w:val="19"/>
          <w:szCs w:val="19"/>
        </w:rPr>
        <w:t xml:space="preserve">In connection with the Quarterly </w:t>
      </w:r>
      <w:r>
        <w:rPr>
          <w:rFonts w:ascii="Arial" w:eastAsia="Arial" w:hAnsi="Arial" w:cs="Arial"/>
          <w:sz w:val="19"/>
          <w:szCs w:val="19"/>
        </w:rPr>
        <w:t>Report on Form 10-Q of Axcella Health Inc. (the “Company”) for the quarterly period ended June 30, 2021 as filed with the Securities and Exchange Commission on the date hereof (the “Report”), each of the undersigned, William R. Hinshaw, Jr., Chief Executiv</w:t>
      </w:r>
      <w:r>
        <w:rPr>
          <w:rFonts w:ascii="Arial" w:eastAsia="Arial" w:hAnsi="Arial" w:cs="Arial"/>
          <w:sz w:val="19"/>
          <w:szCs w:val="19"/>
        </w:rPr>
        <w:t>e Officer, President and Director of the Company, and Laurent Chardonnet, Senior Vice President of Finance and Chief Financial Officer of the Company, hereby certifies, pursuant to 18 U.S.C. Section 1350, as adopted pursuant to Section 906 of the Sarbanes-</w:t>
      </w:r>
      <w:r>
        <w:rPr>
          <w:rFonts w:ascii="Arial" w:eastAsia="Arial" w:hAnsi="Arial" w:cs="Arial"/>
          <w:sz w:val="19"/>
          <w:szCs w:val="19"/>
        </w:rPr>
        <w:t>Oxley Act of 2002, that, to the best of his knowledge:</w:t>
      </w:r>
    </w:p>
    <w:p w:rsidR="000728AD" w:rsidRDefault="000728AD">
      <w:pPr>
        <w:spacing w:line="234" w:lineRule="exact"/>
        <w:rPr>
          <w:sz w:val="20"/>
          <w:szCs w:val="20"/>
        </w:rPr>
      </w:pPr>
    </w:p>
    <w:p w:rsidR="000728AD" w:rsidRDefault="000561BE">
      <w:pPr>
        <w:numPr>
          <w:ilvl w:val="0"/>
          <w:numId w:val="59"/>
        </w:numPr>
        <w:tabs>
          <w:tab w:val="left" w:pos="780"/>
        </w:tabs>
        <w:ind w:left="780" w:hanging="286"/>
        <w:rPr>
          <w:rFonts w:ascii="Arial" w:eastAsia="Arial" w:hAnsi="Arial" w:cs="Arial"/>
          <w:sz w:val="18"/>
          <w:szCs w:val="18"/>
        </w:rPr>
      </w:pPr>
      <w:r>
        <w:rPr>
          <w:rFonts w:ascii="Arial" w:eastAsia="Arial" w:hAnsi="Arial" w:cs="Arial"/>
          <w:sz w:val="18"/>
          <w:szCs w:val="18"/>
        </w:rPr>
        <w:t>the Report fully complies with the requirements of Section 13(a) or 15(d) of the Securities Exchange Act of 1934, as amended; and</w:t>
      </w:r>
    </w:p>
    <w:p w:rsidR="000728AD" w:rsidRDefault="000728AD">
      <w:pPr>
        <w:spacing w:line="292" w:lineRule="exact"/>
        <w:rPr>
          <w:rFonts w:ascii="Arial" w:eastAsia="Arial" w:hAnsi="Arial" w:cs="Arial"/>
          <w:sz w:val="18"/>
          <w:szCs w:val="18"/>
        </w:rPr>
      </w:pPr>
    </w:p>
    <w:p w:rsidR="000728AD" w:rsidRDefault="000561BE">
      <w:pPr>
        <w:numPr>
          <w:ilvl w:val="0"/>
          <w:numId w:val="59"/>
        </w:numPr>
        <w:tabs>
          <w:tab w:val="left" w:pos="766"/>
        </w:tabs>
        <w:spacing w:line="260" w:lineRule="auto"/>
        <w:ind w:right="200" w:firstLine="494"/>
        <w:rPr>
          <w:rFonts w:ascii="Arial" w:eastAsia="Arial" w:hAnsi="Arial" w:cs="Arial"/>
          <w:sz w:val="20"/>
          <w:szCs w:val="20"/>
        </w:rPr>
      </w:pPr>
      <w:r>
        <w:rPr>
          <w:rFonts w:ascii="Arial" w:eastAsia="Arial" w:hAnsi="Arial" w:cs="Arial"/>
          <w:sz w:val="20"/>
          <w:szCs w:val="20"/>
        </w:rPr>
        <w:t>the information contained in the Report fairly presents, in all mater</w:t>
      </w:r>
      <w:r>
        <w:rPr>
          <w:rFonts w:ascii="Arial" w:eastAsia="Arial" w:hAnsi="Arial" w:cs="Arial"/>
          <w:sz w:val="20"/>
          <w:szCs w:val="20"/>
        </w:rPr>
        <w:t>ial respects, the financial condition and results of operations of the Company.</w:t>
      </w:r>
    </w:p>
    <w:p w:rsidR="000728AD" w:rsidRDefault="000728AD">
      <w:pPr>
        <w:spacing w:line="200" w:lineRule="exact"/>
        <w:rPr>
          <w:sz w:val="20"/>
          <w:szCs w:val="20"/>
        </w:rPr>
      </w:pPr>
    </w:p>
    <w:p w:rsidR="000728AD" w:rsidRDefault="000728AD">
      <w:pPr>
        <w:spacing w:line="233" w:lineRule="exact"/>
        <w:rPr>
          <w:sz w:val="20"/>
          <w:szCs w:val="20"/>
        </w:rPr>
      </w:pPr>
    </w:p>
    <w:p w:rsidR="000728AD" w:rsidRDefault="000561BE">
      <w:pPr>
        <w:tabs>
          <w:tab w:val="left" w:pos="4960"/>
        </w:tabs>
        <w:ind w:left="520"/>
        <w:rPr>
          <w:sz w:val="20"/>
          <w:szCs w:val="20"/>
        </w:rPr>
      </w:pPr>
      <w:r>
        <w:rPr>
          <w:rFonts w:ascii="Arial" w:eastAsia="Arial" w:hAnsi="Arial" w:cs="Arial"/>
          <w:sz w:val="20"/>
          <w:szCs w:val="20"/>
        </w:rPr>
        <w:t>Date: July 29, 2021</w:t>
      </w:r>
      <w:r>
        <w:rPr>
          <w:sz w:val="20"/>
          <w:szCs w:val="20"/>
        </w:rPr>
        <w:tab/>
      </w:r>
      <w:r>
        <w:rPr>
          <w:rFonts w:ascii="Arial" w:eastAsia="Arial" w:hAnsi="Arial" w:cs="Arial"/>
          <w:sz w:val="19"/>
          <w:szCs w:val="19"/>
        </w:rPr>
        <w:t>By: /s/ William R. Hinshaw, Jr.</w:t>
      </w:r>
    </w:p>
    <w:p w:rsidR="000728AD" w:rsidRDefault="000561BE">
      <w:pPr>
        <w:spacing w:line="20" w:lineRule="exact"/>
        <w:rPr>
          <w:sz w:val="20"/>
          <w:szCs w:val="20"/>
        </w:rPr>
      </w:pPr>
      <w:r>
        <w:rPr>
          <w:noProof/>
          <w:sz w:val="20"/>
          <w:szCs w:val="20"/>
        </w:rPr>
        <w:drawing>
          <wp:anchor distT="0" distB="0" distL="114300" distR="114300" simplePos="0" relativeHeight="251715584" behindDoc="1" locked="0" layoutInCell="0" allowOverlap="1">
            <wp:simplePos x="0" y="0"/>
            <wp:positionH relativeFrom="column">
              <wp:posOffset>3382645</wp:posOffset>
            </wp:positionH>
            <wp:positionV relativeFrom="paragraph">
              <wp:posOffset>10160</wp:posOffset>
            </wp:positionV>
            <wp:extent cx="3754755" cy="825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
                    <a:srcRect/>
                    <a:stretch>
                      <a:fillRect/>
                    </a:stretch>
                  </pic:blipFill>
                  <pic:spPr bwMode="auto">
                    <a:xfrm>
                      <a:off x="0" y="0"/>
                      <a:ext cx="3754755" cy="8255"/>
                    </a:xfrm>
                    <a:prstGeom prst="rect">
                      <a:avLst/>
                    </a:prstGeom>
                    <a:noFill/>
                  </pic:spPr>
                </pic:pic>
              </a:graphicData>
            </a:graphic>
          </wp:anchor>
        </w:drawing>
      </w:r>
    </w:p>
    <w:p w:rsidR="000728AD" w:rsidRDefault="000728AD">
      <w:pPr>
        <w:spacing w:line="74" w:lineRule="exact"/>
        <w:rPr>
          <w:sz w:val="20"/>
          <w:szCs w:val="20"/>
        </w:rPr>
      </w:pPr>
    </w:p>
    <w:p w:rsidR="000728AD" w:rsidRDefault="000561BE">
      <w:pPr>
        <w:ind w:left="5340"/>
        <w:rPr>
          <w:sz w:val="20"/>
          <w:szCs w:val="20"/>
        </w:rPr>
      </w:pPr>
      <w:r>
        <w:rPr>
          <w:rFonts w:ascii="Arial" w:eastAsia="Arial" w:hAnsi="Arial" w:cs="Arial"/>
          <w:sz w:val="20"/>
          <w:szCs w:val="20"/>
        </w:rPr>
        <w:t>William R. Hinshaw, Jr.</w:t>
      </w:r>
    </w:p>
    <w:p w:rsidR="000728AD" w:rsidRDefault="000728AD">
      <w:pPr>
        <w:spacing w:line="16" w:lineRule="exact"/>
        <w:rPr>
          <w:sz w:val="20"/>
          <w:szCs w:val="20"/>
        </w:rPr>
      </w:pPr>
    </w:p>
    <w:p w:rsidR="000728AD" w:rsidRDefault="000561BE">
      <w:pPr>
        <w:ind w:left="5340"/>
        <w:rPr>
          <w:sz w:val="20"/>
          <w:szCs w:val="20"/>
        </w:rPr>
      </w:pPr>
      <w:r>
        <w:rPr>
          <w:rFonts w:ascii="Arial" w:eastAsia="Arial" w:hAnsi="Arial" w:cs="Arial"/>
          <w:sz w:val="20"/>
          <w:szCs w:val="20"/>
        </w:rPr>
        <w:t>President, Chief Executive Officer and Director</w:t>
      </w:r>
    </w:p>
    <w:p w:rsidR="000728AD" w:rsidRDefault="000728AD">
      <w:pPr>
        <w:spacing w:line="4" w:lineRule="exact"/>
        <w:rPr>
          <w:sz w:val="20"/>
          <w:szCs w:val="20"/>
        </w:rPr>
      </w:pPr>
    </w:p>
    <w:p w:rsidR="000728AD" w:rsidRDefault="000561BE">
      <w:pPr>
        <w:ind w:left="5340"/>
        <w:rPr>
          <w:sz w:val="20"/>
          <w:szCs w:val="20"/>
        </w:rPr>
      </w:pPr>
      <w:r>
        <w:rPr>
          <w:rFonts w:ascii="Arial" w:eastAsia="Arial" w:hAnsi="Arial" w:cs="Arial"/>
          <w:sz w:val="20"/>
          <w:szCs w:val="20"/>
        </w:rPr>
        <w:t>(Principal Executive Officer)</w:t>
      </w:r>
    </w:p>
    <w:p w:rsidR="000728AD" w:rsidRDefault="000728AD">
      <w:pPr>
        <w:spacing w:line="200" w:lineRule="exact"/>
        <w:rPr>
          <w:sz w:val="20"/>
          <w:szCs w:val="20"/>
        </w:rPr>
      </w:pPr>
    </w:p>
    <w:p w:rsidR="000728AD" w:rsidRDefault="000728AD">
      <w:pPr>
        <w:spacing w:line="200" w:lineRule="exact"/>
        <w:rPr>
          <w:sz w:val="20"/>
          <w:szCs w:val="20"/>
        </w:rPr>
      </w:pPr>
    </w:p>
    <w:p w:rsidR="000728AD" w:rsidRDefault="000728AD">
      <w:pPr>
        <w:spacing w:line="240" w:lineRule="exact"/>
        <w:rPr>
          <w:sz w:val="20"/>
          <w:szCs w:val="20"/>
        </w:rPr>
      </w:pPr>
    </w:p>
    <w:p w:rsidR="000728AD" w:rsidRDefault="000561BE">
      <w:pPr>
        <w:tabs>
          <w:tab w:val="left" w:pos="4960"/>
        </w:tabs>
        <w:ind w:left="520"/>
        <w:rPr>
          <w:sz w:val="20"/>
          <w:szCs w:val="20"/>
        </w:rPr>
      </w:pPr>
      <w:r>
        <w:rPr>
          <w:rFonts w:ascii="Arial" w:eastAsia="Arial" w:hAnsi="Arial" w:cs="Arial"/>
          <w:sz w:val="20"/>
          <w:szCs w:val="20"/>
        </w:rPr>
        <w:t xml:space="preserve">Date: </w:t>
      </w:r>
      <w:r>
        <w:rPr>
          <w:rFonts w:ascii="Arial" w:eastAsia="Arial" w:hAnsi="Arial" w:cs="Arial"/>
          <w:sz w:val="20"/>
          <w:szCs w:val="20"/>
        </w:rPr>
        <w:t>July 29, 2021</w:t>
      </w:r>
      <w:r>
        <w:rPr>
          <w:sz w:val="20"/>
          <w:szCs w:val="20"/>
        </w:rPr>
        <w:tab/>
      </w:r>
      <w:r>
        <w:rPr>
          <w:rFonts w:ascii="Arial" w:eastAsia="Arial" w:hAnsi="Arial" w:cs="Arial"/>
          <w:sz w:val="18"/>
          <w:szCs w:val="18"/>
        </w:rPr>
        <w:t>By: /s/ Laurent Chardonnet</w:t>
      </w:r>
    </w:p>
    <w:p w:rsidR="000728AD" w:rsidRDefault="000561BE">
      <w:pPr>
        <w:spacing w:line="20" w:lineRule="exact"/>
        <w:rPr>
          <w:sz w:val="20"/>
          <w:szCs w:val="20"/>
        </w:rPr>
      </w:pPr>
      <w:r>
        <w:rPr>
          <w:noProof/>
          <w:sz w:val="20"/>
          <w:szCs w:val="20"/>
        </w:rPr>
        <w:drawing>
          <wp:anchor distT="0" distB="0" distL="114300" distR="114300" simplePos="0" relativeHeight="251716608" behindDoc="1" locked="0" layoutInCell="0" allowOverlap="1">
            <wp:simplePos x="0" y="0"/>
            <wp:positionH relativeFrom="column">
              <wp:posOffset>3382645</wp:posOffset>
            </wp:positionH>
            <wp:positionV relativeFrom="paragraph">
              <wp:posOffset>10160</wp:posOffset>
            </wp:positionV>
            <wp:extent cx="3754755" cy="825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
                    <a:srcRect/>
                    <a:stretch>
                      <a:fillRect/>
                    </a:stretch>
                  </pic:blipFill>
                  <pic:spPr bwMode="auto">
                    <a:xfrm>
                      <a:off x="0" y="0"/>
                      <a:ext cx="3754755" cy="8255"/>
                    </a:xfrm>
                    <a:prstGeom prst="rect">
                      <a:avLst/>
                    </a:prstGeom>
                    <a:noFill/>
                  </pic:spPr>
                </pic:pic>
              </a:graphicData>
            </a:graphic>
          </wp:anchor>
        </w:drawing>
      </w:r>
    </w:p>
    <w:p w:rsidR="000728AD" w:rsidRDefault="000728AD">
      <w:pPr>
        <w:spacing w:line="61" w:lineRule="exact"/>
        <w:rPr>
          <w:sz w:val="20"/>
          <w:szCs w:val="20"/>
        </w:rPr>
      </w:pPr>
    </w:p>
    <w:p w:rsidR="000728AD" w:rsidRDefault="000561BE">
      <w:pPr>
        <w:ind w:left="5340"/>
        <w:rPr>
          <w:sz w:val="20"/>
          <w:szCs w:val="20"/>
        </w:rPr>
      </w:pPr>
      <w:r>
        <w:rPr>
          <w:rFonts w:ascii="Arial" w:eastAsia="Arial" w:hAnsi="Arial" w:cs="Arial"/>
          <w:sz w:val="20"/>
          <w:szCs w:val="20"/>
        </w:rPr>
        <w:t>Laurent Chardonnet</w:t>
      </w:r>
    </w:p>
    <w:p w:rsidR="000728AD" w:rsidRDefault="000728AD">
      <w:pPr>
        <w:spacing w:line="16" w:lineRule="exact"/>
        <w:rPr>
          <w:sz w:val="20"/>
          <w:szCs w:val="20"/>
        </w:rPr>
      </w:pPr>
    </w:p>
    <w:p w:rsidR="000728AD" w:rsidRDefault="000561BE">
      <w:pPr>
        <w:ind w:left="5340"/>
        <w:rPr>
          <w:sz w:val="20"/>
          <w:szCs w:val="20"/>
        </w:rPr>
      </w:pPr>
      <w:r>
        <w:rPr>
          <w:rFonts w:ascii="Arial" w:eastAsia="Arial" w:hAnsi="Arial" w:cs="Arial"/>
          <w:sz w:val="20"/>
          <w:szCs w:val="20"/>
        </w:rPr>
        <w:t>Senior Vice President and Chief Financial Officer</w:t>
      </w:r>
    </w:p>
    <w:p w:rsidR="000728AD" w:rsidRDefault="000728AD">
      <w:pPr>
        <w:spacing w:line="11" w:lineRule="exact"/>
        <w:rPr>
          <w:sz w:val="20"/>
          <w:szCs w:val="20"/>
        </w:rPr>
      </w:pPr>
    </w:p>
    <w:p w:rsidR="000728AD" w:rsidRDefault="000561BE">
      <w:pPr>
        <w:ind w:left="5340"/>
        <w:rPr>
          <w:sz w:val="20"/>
          <w:szCs w:val="20"/>
        </w:rPr>
      </w:pPr>
      <w:r>
        <w:rPr>
          <w:rFonts w:ascii="Arial" w:eastAsia="Arial" w:hAnsi="Arial" w:cs="Arial"/>
          <w:sz w:val="20"/>
          <w:szCs w:val="20"/>
        </w:rPr>
        <w:t>(Principal Financial Officer)</w:t>
      </w:r>
    </w:p>
    <w:sectPr w:rsidR="000728AD">
      <w:pgSz w:w="11900" w:h="16838"/>
      <w:pgMar w:top="115" w:right="339" w:bottom="1440" w:left="320" w:header="0" w:footer="0" w:gutter="0"/>
      <w:cols w:space="720" w:equalWidth="0">
        <w:col w:w="11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2367"/>
    <w:multiLevelType w:val="hybridMultilevel"/>
    <w:tmpl w:val="DA3251BE"/>
    <w:lvl w:ilvl="0" w:tplc="6E9848DC">
      <w:start w:val="1"/>
      <w:numFmt w:val="bullet"/>
      <w:lvlText w:val="•"/>
      <w:lvlJc w:val="left"/>
    </w:lvl>
    <w:lvl w:ilvl="1" w:tplc="A906F05A">
      <w:numFmt w:val="decimal"/>
      <w:lvlText w:val=""/>
      <w:lvlJc w:val="left"/>
    </w:lvl>
    <w:lvl w:ilvl="2" w:tplc="73C855B8">
      <w:numFmt w:val="decimal"/>
      <w:lvlText w:val=""/>
      <w:lvlJc w:val="left"/>
    </w:lvl>
    <w:lvl w:ilvl="3" w:tplc="F18AEC1C">
      <w:numFmt w:val="decimal"/>
      <w:lvlText w:val=""/>
      <w:lvlJc w:val="left"/>
    </w:lvl>
    <w:lvl w:ilvl="4" w:tplc="93B4020E">
      <w:numFmt w:val="decimal"/>
      <w:lvlText w:val=""/>
      <w:lvlJc w:val="left"/>
    </w:lvl>
    <w:lvl w:ilvl="5" w:tplc="351605FA">
      <w:numFmt w:val="decimal"/>
      <w:lvlText w:val=""/>
      <w:lvlJc w:val="left"/>
    </w:lvl>
    <w:lvl w:ilvl="6" w:tplc="86CA6022">
      <w:numFmt w:val="decimal"/>
      <w:lvlText w:val=""/>
      <w:lvlJc w:val="left"/>
    </w:lvl>
    <w:lvl w:ilvl="7" w:tplc="6D12E300">
      <w:numFmt w:val="decimal"/>
      <w:lvlText w:val=""/>
      <w:lvlJc w:val="left"/>
    </w:lvl>
    <w:lvl w:ilvl="8" w:tplc="1BF869E4">
      <w:numFmt w:val="decimal"/>
      <w:lvlText w:val=""/>
      <w:lvlJc w:val="left"/>
    </w:lvl>
  </w:abstractNum>
  <w:abstractNum w:abstractNumId="1" w15:restartNumberingAfterBreak="0">
    <w:nsid w:val="08138641"/>
    <w:multiLevelType w:val="hybridMultilevel"/>
    <w:tmpl w:val="DE68F470"/>
    <w:lvl w:ilvl="0" w:tplc="180A938E">
      <w:start w:val="1"/>
      <w:numFmt w:val="bullet"/>
      <w:lvlText w:val="☒"/>
      <w:lvlJc w:val="left"/>
    </w:lvl>
    <w:lvl w:ilvl="1" w:tplc="59A68D0A">
      <w:numFmt w:val="decimal"/>
      <w:lvlText w:val=""/>
      <w:lvlJc w:val="left"/>
    </w:lvl>
    <w:lvl w:ilvl="2" w:tplc="1D2C9CC4">
      <w:numFmt w:val="decimal"/>
      <w:lvlText w:val=""/>
      <w:lvlJc w:val="left"/>
    </w:lvl>
    <w:lvl w:ilvl="3" w:tplc="960251C6">
      <w:numFmt w:val="decimal"/>
      <w:lvlText w:val=""/>
      <w:lvlJc w:val="left"/>
    </w:lvl>
    <w:lvl w:ilvl="4" w:tplc="82DEE752">
      <w:numFmt w:val="decimal"/>
      <w:lvlText w:val=""/>
      <w:lvlJc w:val="left"/>
    </w:lvl>
    <w:lvl w:ilvl="5" w:tplc="D416C980">
      <w:numFmt w:val="decimal"/>
      <w:lvlText w:val=""/>
      <w:lvlJc w:val="left"/>
    </w:lvl>
    <w:lvl w:ilvl="6" w:tplc="C548EA76">
      <w:numFmt w:val="decimal"/>
      <w:lvlText w:val=""/>
      <w:lvlJc w:val="left"/>
    </w:lvl>
    <w:lvl w:ilvl="7" w:tplc="41327160">
      <w:numFmt w:val="decimal"/>
      <w:lvlText w:val=""/>
      <w:lvlJc w:val="left"/>
    </w:lvl>
    <w:lvl w:ilvl="8" w:tplc="05889842">
      <w:numFmt w:val="decimal"/>
      <w:lvlText w:val=""/>
      <w:lvlJc w:val="left"/>
    </w:lvl>
  </w:abstractNum>
  <w:abstractNum w:abstractNumId="2" w15:restartNumberingAfterBreak="0">
    <w:nsid w:val="12E685FB"/>
    <w:multiLevelType w:val="hybridMultilevel"/>
    <w:tmpl w:val="398E6F9A"/>
    <w:lvl w:ilvl="0" w:tplc="F4CAA9D6">
      <w:start w:val="1"/>
      <w:numFmt w:val="lowerLetter"/>
      <w:lvlText w:val="(%1)"/>
      <w:lvlJc w:val="left"/>
    </w:lvl>
    <w:lvl w:ilvl="1" w:tplc="0A9A0720">
      <w:numFmt w:val="decimal"/>
      <w:lvlText w:val=""/>
      <w:lvlJc w:val="left"/>
    </w:lvl>
    <w:lvl w:ilvl="2" w:tplc="A656CFD2">
      <w:numFmt w:val="decimal"/>
      <w:lvlText w:val=""/>
      <w:lvlJc w:val="left"/>
    </w:lvl>
    <w:lvl w:ilvl="3" w:tplc="3D708272">
      <w:numFmt w:val="decimal"/>
      <w:lvlText w:val=""/>
      <w:lvlJc w:val="left"/>
    </w:lvl>
    <w:lvl w:ilvl="4" w:tplc="F0A6D67C">
      <w:numFmt w:val="decimal"/>
      <w:lvlText w:val=""/>
      <w:lvlJc w:val="left"/>
    </w:lvl>
    <w:lvl w:ilvl="5" w:tplc="D98AFC42">
      <w:numFmt w:val="decimal"/>
      <w:lvlText w:val=""/>
      <w:lvlJc w:val="left"/>
    </w:lvl>
    <w:lvl w:ilvl="6" w:tplc="21DC78DE">
      <w:numFmt w:val="decimal"/>
      <w:lvlText w:val=""/>
      <w:lvlJc w:val="left"/>
    </w:lvl>
    <w:lvl w:ilvl="7" w:tplc="6E3455FA">
      <w:numFmt w:val="decimal"/>
      <w:lvlText w:val=""/>
      <w:lvlJc w:val="left"/>
    </w:lvl>
    <w:lvl w:ilvl="8" w:tplc="E24C187E">
      <w:numFmt w:val="decimal"/>
      <w:lvlText w:val=""/>
      <w:lvlJc w:val="left"/>
    </w:lvl>
  </w:abstractNum>
  <w:abstractNum w:abstractNumId="3" w15:restartNumberingAfterBreak="0">
    <w:nsid w:val="153EA438"/>
    <w:multiLevelType w:val="hybridMultilevel"/>
    <w:tmpl w:val="4FE803CA"/>
    <w:lvl w:ilvl="0" w:tplc="BF8AC14A">
      <w:start w:val="1"/>
      <w:numFmt w:val="bullet"/>
      <w:lvlText w:val="•"/>
      <w:lvlJc w:val="left"/>
    </w:lvl>
    <w:lvl w:ilvl="1" w:tplc="C448B668">
      <w:numFmt w:val="decimal"/>
      <w:lvlText w:val=""/>
      <w:lvlJc w:val="left"/>
    </w:lvl>
    <w:lvl w:ilvl="2" w:tplc="40AA10D2">
      <w:numFmt w:val="decimal"/>
      <w:lvlText w:val=""/>
      <w:lvlJc w:val="left"/>
    </w:lvl>
    <w:lvl w:ilvl="3" w:tplc="B91AAC0E">
      <w:numFmt w:val="decimal"/>
      <w:lvlText w:val=""/>
      <w:lvlJc w:val="left"/>
    </w:lvl>
    <w:lvl w:ilvl="4" w:tplc="00DA03A0">
      <w:numFmt w:val="decimal"/>
      <w:lvlText w:val=""/>
      <w:lvlJc w:val="left"/>
    </w:lvl>
    <w:lvl w:ilvl="5" w:tplc="7F22A7AC">
      <w:numFmt w:val="decimal"/>
      <w:lvlText w:val=""/>
      <w:lvlJc w:val="left"/>
    </w:lvl>
    <w:lvl w:ilvl="6" w:tplc="DE7A898E">
      <w:numFmt w:val="decimal"/>
      <w:lvlText w:val=""/>
      <w:lvlJc w:val="left"/>
    </w:lvl>
    <w:lvl w:ilvl="7" w:tplc="723A8D56">
      <w:numFmt w:val="decimal"/>
      <w:lvlText w:val=""/>
      <w:lvlJc w:val="left"/>
    </w:lvl>
    <w:lvl w:ilvl="8" w:tplc="B8366394">
      <w:numFmt w:val="decimal"/>
      <w:lvlText w:val=""/>
      <w:lvlJc w:val="left"/>
    </w:lvl>
  </w:abstractNum>
  <w:abstractNum w:abstractNumId="4" w15:restartNumberingAfterBreak="0">
    <w:nsid w:val="180115BE"/>
    <w:multiLevelType w:val="hybridMultilevel"/>
    <w:tmpl w:val="19BEE094"/>
    <w:lvl w:ilvl="0" w:tplc="29889958">
      <w:start w:val="14"/>
      <w:numFmt w:val="decimal"/>
      <w:lvlText w:val="%1."/>
      <w:lvlJc w:val="left"/>
    </w:lvl>
    <w:lvl w:ilvl="1" w:tplc="3B50B6CA">
      <w:numFmt w:val="decimal"/>
      <w:lvlText w:val=""/>
      <w:lvlJc w:val="left"/>
    </w:lvl>
    <w:lvl w:ilvl="2" w:tplc="192AC560">
      <w:numFmt w:val="decimal"/>
      <w:lvlText w:val=""/>
      <w:lvlJc w:val="left"/>
    </w:lvl>
    <w:lvl w:ilvl="3" w:tplc="AF5CD19E">
      <w:numFmt w:val="decimal"/>
      <w:lvlText w:val=""/>
      <w:lvlJc w:val="left"/>
    </w:lvl>
    <w:lvl w:ilvl="4" w:tplc="28C2F61A">
      <w:numFmt w:val="decimal"/>
      <w:lvlText w:val=""/>
      <w:lvlJc w:val="left"/>
    </w:lvl>
    <w:lvl w:ilvl="5" w:tplc="05862F9C">
      <w:numFmt w:val="decimal"/>
      <w:lvlText w:val=""/>
      <w:lvlJc w:val="left"/>
    </w:lvl>
    <w:lvl w:ilvl="6" w:tplc="ED903108">
      <w:numFmt w:val="decimal"/>
      <w:lvlText w:val=""/>
      <w:lvlJc w:val="left"/>
    </w:lvl>
    <w:lvl w:ilvl="7" w:tplc="6598E07A">
      <w:numFmt w:val="decimal"/>
      <w:lvlText w:val=""/>
      <w:lvlJc w:val="left"/>
    </w:lvl>
    <w:lvl w:ilvl="8" w:tplc="4D6EEC52">
      <w:numFmt w:val="decimal"/>
      <w:lvlText w:val=""/>
      <w:lvlJc w:val="left"/>
    </w:lvl>
  </w:abstractNum>
  <w:abstractNum w:abstractNumId="5" w15:restartNumberingAfterBreak="0">
    <w:nsid w:val="1BA026FA"/>
    <w:multiLevelType w:val="hybridMultilevel"/>
    <w:tmpl w:val="9D680C56"/>
    <w:lvl w:ilvl="0" w:tplc="9D3A4E36">
      <w:start w:val="1"/>
      <w:numFmt w:val="decimal"/>
      <w:lvlText w:val="%1."/>
      <w:lvlJc w:val="left"/>
    </w:lvl>
    <w:lvl w:ilvl="1" w:tplc="F398AE98">
      <w:start w:val="1"/>
      <w:numFmt w:val="lowerLetter"/>
      <w:lvlText w:val="(%2)"/>
      <w:lvlJc w:val="left"/>
    </w:lvl>
    <w:lvl w:ilvl="2" w:tplc="8B3C032E">
      <w:numFmt w:val="decimal"/>
      <w:lvlText w:val=""/>
      <w:lvlJc w:val="left"/>
    </w:lvl>
    <w:lvl w:ilvl="3" w:tplc="3FBEBFE4">
      <w:numFmt w:val="decimal"/>
      <w:lvlText w:val=""/>
      <w:lvlJc w:val="left"/>
    </w:lvl>
    <w:lvl w:ilvl="4" w:tplc="07B88410">
      <w:numFmt w:val="decimal"/>
      <w:lvlText w:val=""/>
      <w:lvlJc w:val="left"/>
    </w:lvl>
    <w:lvl w:ilvl="5" w:tplc="D38C3C8C">
      <w:numFmt w:val="decimal"/>
      <w:lvlText w:val=""/>
      <w:lvlJc w:val="left"/>
    </w:lvl>
    <w:lvl w:ilvl="6" w:tplc="55D8B2D6">
      <w:numFmt w:val="decimal"/>
      <w:lvlText w:val=""/>
      <w:lvlJc w:val="left"/>
    </w:lvl>
    <w:lvl w:ilvl="7" w:tplc="45262798">
      <w:numFmt w:val="decimal"/>
      <w:lvlText w:val=""/>
      <w:lvlJc w:val="left"/>
    </w:lvl>
    <w:lvl w:ilvl="8" w:tplc="508EDD10">
      <w:numFmt w:val="decimal"/>
      <w:lvlText w:val=""/>
      <w:lvlJc w:val="left"/>
    </w:lvl>
  </w:abstractNum>
  <w:abstractNum w:abstractNumId="6" w15:restartNumberingAfterBreak="0">
    <w:nsid w:val="1CF10FD8"/>
    <w:multiLevelType w:val="hybridMultilevel"/>
    <w:tmpl w:val="9D707D66"/>
    <w:lvl w:ilvl="0" w:tplc="1F42B298">
      <w:start w:val="8"/>
      <w:numFmt w:val="decimal"/>
      <w:lvlText w:val="%1."/>
      <w:lvlJc w:val="left"/>
    </w:lvl>
    <w:lvl w:ilvl="1" w:tplc="06C4DDD8">
      <w:numFmt w:val="decimal"/>
      <w:lvlText w:val=""/>
      <w:lvlJc w:val="left"/>
    </w:lvl>
    <w:lvl w:ilvl="2" w:tplc="3FD8A360">
      <w:numFmt w:val="decimal"/>
      <w:lvlText w:val=""/>
      <w:lvlJc w:val="left"/>
    </w:lvl>
    <w:lvl w:ilvl="3" w:tplc="0FDA7C34">
      <w:numFmt w:val="decimal"/>
      <w:lvlText w:val=""/>
      <w:lvlJc w:val="left"/>
    </w:lvl>
    <w:lvl w:ilvl="4" w:tplc="3B34B80A">
      <w:numFmt w:val="decimal"/>
      <w:lvlText w:val=""/>
      <w:lvlJc w:val="left"/>
    </w:lvl>
    <w:lvl w:ilvl="5" w:tplc="E27C37D0">
      <w:numFmt w:val="decimal"/>
      <w:lvlText w:val=""/>
      <w:lvlJc w:val="left"/>
    </w:lvl>
    <w:lvl w:ilvl="6" w:tplc="723A80DC">
      <w:numFmt w:val="decimal"/>
      <w:lvlText w:val=""/>
      <w:lvlJc w:val="left"/>
    </w:lvl>
    <w:lvl w:ilvl="7" w:tplc="D7AC9072">
      <w:numFmt w:val="decimal"/>
      <w:lvlText w:val=""/>
      <w:lvlJc w:val="left"/>
    </w:lvl>
    <w:lvl w:ilvl="8" w:tplc="F0E41110">
      <w:numFmt w:val="decimal"/>
      <w:lvlText w:val=""/>
      <w:lvlJc w:val="left"/>
    </w:lvl>
  </w:abstractNum>
  <w:abstractNum w:abstractNumId="7" w15:restartNumberingAfterBreak="0">
    <w:nsid w:val="1D4ED43B"/>
    <w:multiLevelType w:val="hybridMultilevel"/>
    <w:tmpl w:val="8F0C26FE"/>
    <w:lvl w:ilvl="0" w:tplc="348AF4A4">
      <w:start w:val="1"/>
      <w:numFmt w:val="bullet"/>
      <w:lvlText w:val="•"/>
      <w:lvlJc w:val="left"/>
    </w:lvl>
    <w:lvl w:ilvl="1" w:tplc="F90004F6">
      <w:numFmt w:val="decimal"/>
      <w:lvlText w:val=""/>
      <w:lvlJc w:val="left"/>
    </w:lvl>
    <w:lvl w:ilvl="2" w:tplc="C4380F88">
      <w:numFmt w:val="decimal"/>
      <w:lvlText w:val=""/>
      <w:lvlJc w:val="left"/>
    </w:lvl>
    <w:lvl w:ilvl="3" w:tplc="22384342">
      <w:numFmt w:val="decimal"/>
      <w:lvlText w:val=""/>
      <w:lvlJc w:val="left"/>
    </w:lvl>
    <w:lvl w:ilvl="4" w:tplc="898EA062">
      <w:numFmt w:val="decimal"/>
      <w:lvlText w:val=""/>
      <w:lvlJc w:val="left"/>
    </w:lvl>
    <w:lvl w:ilvl="5" w:tplc="7F6E0F92">
      <w:numFmt w:val="decimal"/>
      <w:lvlText w:val=""/>
      <w:lvlJc w:val="left"/>
    </w:lvl>
    <w:lvl w:ilvl="6" w:tplc="D2245958">
      <w:numFmt w:val="decimal"/>
      <w:lvlText w:val=""/>
      <w:lvlJc w:val="left"/>
    </w:lvl>
    <w:lvl w:ilvl="7" w:tplc="D60E7AFE">
      <w:numFmt w:val="decimal"/>
      <w:lvlText w:val=""/>
      <w:lvlJc w:val="left"/>
    </w:lvl>
    <w:lvl w:ilvl="8" w:tplc="06122C38">
      <w:numFmt w:val="decimal"/>
      <w:lvlText w:val=""/>
      <w:lvlJc w:val="left"/>
    </w:lvl>
  </w:abstractNum>
  <w:abstractNum w:abstractNumId="8" w15:restartNumberingAfterBreak="0">
    <w:nsid w:val="1E7FF521"/>
    <w:multiLevelType w:val="hybridMultilevel"/>
    <w:tmpl w:val="C64AAB62"/>
    <w:lvl w:ilvl="0" w:tplc="6DB886D4">
      <w:start w:val="1"/>
      <w:numFmt w:val="bullet"/>
      <w:lvlText w:val="☐"/>
      <w:lvlJc w:val="left"/>
    </w:lvl>
    <w:lvl w:ilvl="1" w:tplc="057CE7CA">
      <w:numFmt w:val="decimal"/>
      <w:lvlText w:val=""/>
      <w:lvlJc w:val="left"/>
    </w:lvl>
    <w:lvl w:ilvl="2" w:tplc="D7243238">
      <w:numFmt w:val="decimal"/>
      <w:lvlText w:val=""/>
      <w:lvlJc w:val="left"/>
    </w:lvl>
    <w:lvl w:ilvl="3" w:tplc="02944AF4">
      <w:numFmt w:val="decimal"/>
      <w:lvlText w:val=""/>
      <w:lvlJc w:val="left"/>
    </w:lvl>
    <w:lvl w:ilvl="4" w:tplc="093CB9F6">
      <w:numFmt w:val="decimal"/>
      <w:lvlText w:val=""/>
      <w:lvlJc w:val="left"/>
    </w:lvl>
    <w:lvl w:ilvl="5" w:tplc="C90AF990">
      <w:numFmt w:val="decimal"/>
      <w:lvlText w:val=""/>
      <w:lvlJc w:val="left"/>
    </w:lvl>
    <w:lvl w:ilvl="6" w:tplc="B6DE0008">
      <w:numFmt w:val="decimal"/>
      <w:lvlText w:val=""/>
      <w:lvlJc w:val="left"/>
    </w:lvl>
    <w:lvl w:ilvl="7" w:tplc="A8042722">
      <w:numFmt w:val="decimal"/>
      <w:lvlText w:val=""/>
      <w:lvlJc w:val="left"/>
    </w:lvl>
    <w:lvl w:ilvl="8" w:tplc="B678C710">
      <w:numFmt w:val="decimal"/>
      <w:lvlText w:val=""/>
      <w:lvlJc w:val="left"/>
    </w:lvl>
  </w:abstractNum>
  <w:abstractNum w:abstractNumId="9" w15:restartNumberingAfterBreak="0">
    <w:nsid w:val="22221A70"/>
    <w:multiLevelType w:val="hybridMultilevel"/>
    <w:tmpl w:val="9BA0C48E"/>
    <w:lvl w:ilvl="0" w:tplc="F7B4450A">
      <w:start w:val="1"/>
      <w:numFmt w:val="bullet"/>
      <w:lvlText w:val="•"/>
      <w:lvlJc w:val="left"/>
    </w:lvl>
    <w:lvl w:ilvl="1" w:tplc="1010BCA8">
      <w:numFmt w:val="decimal"/>
      <w:lvlText w:val=""/>
      <w:lvlJc w:val="left"/>
    </w:lvl>
    <w:lvl w:ilvl="2" w:tplc="03DC7870">
      <w:numFmt w:val="decimal"/>
      <w:lvlText w:val=""/>
      <w:lvlJc w:val="left"/>
    </w:lvl>
    <w:lvl w:ilvl="3" w:tplc="F984E57C">
      <w:numFmt w:val="decimal"/>
      <w:lvlText w:val=""/>
      <w:lvlJc w:val="left"/>
    </w:lvl>
    <w:lvl w:ilvl="4" w:tplc="808875FE">
      <w:numFmt w:val="decimal"/>
      <w:lvlText w:val=""/>
      <w:lvlJc w:val="left"/>
    </w:lvl>
    <w:lvl w:ilvl="5" w:tplc="270A08E4">
      <w:numFmt w:val="decimal"/>
      <w:lvlText w:val=""/>
      <w:lvlJc w:val="left"/>
    </w:lvl>
    <w:lvl w:ilvl="6" w:tplc="8424C230">
      <w:numFmt w:val="decimal"/>
      <w:lvlText w:val=""/>
      <w:lvlJc w:val="left"/>
    </w:lvl>
    <w:lvl w:ilvl="7" w:tplc="1CC07522">
      <w:numFmt w:val="decimal"/>
      <w:lvlText w:val=""/>
      <w:lvlJc w:val="left"/>
    </w:lvl>
    <w:lvl w:ilvl="8" w:tplc="16DC75BC">
      <w:numFmt w:val="decimal"/>
      <w:lvlText w:val=""/>
      <w:lvlJc w:val="left"/>
    </w:lvl>
  </w:abstractNum>
  <w:abstractNum w:abstractNumId="10" w15:restartNumberingAfterBreak="0">
    <w:nsid w:val="235BA861"/>
    <w:multiLevelType w:val="hybridMultilevel"/>
    <w:tmpl w:val="9A100168"/>
    <w:lvl w:ilvl="0" w:tplc="61D233C0">
      <w:start w:val="1"/>
      <w:numFmt w:val="decimal"/>
      <w:lvlText w:val="%1."/>
      <w:lvlJc w:val="left"/>
    </w:lvl>
    <w:lvl w:ilvl="1" w:tplc="AD843934">
      <w:start w:val="1"/>
      <w:numFmt w:val="lowerLetter"/>
      <w:lvlText w:val="%2."/>
      <w:lvlJc w:val="left"/>
    </w:lvl>
    <w:lvl w:ilvl="2" w:tplc="D720A30C">
      <w:numFmt w:val="decimal"/>
      <w:lvlText w:val=""/>
      <w:lvlJc w:val="left"/>
    </w:lvl>
    <w:lvl w:ilvl="3" w:tplc="87B6EC1E">
      <w:numFmt w:val="decimal"/>
      <w:lvlText w:val=""/>
      <w:lvlJc w:val="left"/>
    </w:lvl>
    <w:lvl w:ilvl="4" w:tplc="F9143FBE">
      <w:numFmt w:val="decimal"/>
      <w:lvlText w:val=""/>
      <w:lvlJc w:val="left"/>
    </w:lvl>
    <w:lvl w:ilvl="5" w:tplc="C16A7098">
      <w:numFmt w:val="decimal"/>
      <w:lvlText w:val=""/>
      <w:lvlJc w:val="left"/>
    </w:lvl>
    <w:lvl w:ilvl="6" w:tplc="DA4A024A">
      <w:numFmt w:val="decimal"/>
      <w:lvlText w:val=""/>
      <w:lvlJc w:val="left"/>
    </w:lvl>
    <w:lvl w:ilvl="7" w:tplc="204EA27A">
      <w:numFmt w:val="decimal"/>
      <w:lvlText w:val=""/>
      <w:lvlJc w:val="left"/>
    </w:lvl>
    <w:lvl w:ilvl="8" w:tplc="A7888802">
      <w:numFmt w:val="decimal"/>
      <w:lvlText w:val=""/>
      <w:lvlJc w:val="left"/>
    </w:lvl>
  </w:abstractNum>
  <w:abstractNum w:abstractNumId="11" w15:restartNumberingAfterBreak="0">
    <w:nsid w:val="23F9C13C"/>
    <w:multiLevelType w:val="hybridMultilevel"/>
    <w:tmpl w:val="BE126E12"/>
    <w:lvl w:ilvl="0" w:tplc="1C56634A">
      <w:start w:val="6"/>
      <w:numFmt w:val="decimal"/>
      <w:lvlText w:val="%1."/>
      <w:lvlJc w:val="left"/>
    </w:lvl>
    <w:lvl w:ilvl="1" w:tplc="7DD60CA0">
      <w:start w:val="1"/>
      <w:numFmt w:val="lowerLetter"/>
      <w:lvlText w:val="(%2)"/>
      <w:lvlJc w:val="left"/>
    </w:lvl>
    <w:lvl w:ilvl="2" w:tplc="A3744030">
      <w:numFmt w:val="decimal"/>
      <w:lvlText w:val=""/>
      <w:lvlJc w:val="left"/>
    </w:lvl>
    <w:lvl w:ilvl="3" w:tplc="02AC0144">
      <w:numFmt w:val="decimal"/>
      <w:lvlText w:val=""/>
      <w:lvlJc w:val="left"/>
    </w:lvl>
    <w:lvl w:ilvl="4" w:tplc="E6222384">
      <w:numFmt w:val="decimal"/>
      <w:lvlText w:val=""/>
      <w:lvlJc w:val="left"/>
    </w:lvl>
    <w:lvl w:ilvl="5" w:tplc="04847396">
      <w:numFmt w:val="decimal"/>
      <w:lvlText w:val=""/>
      <w:lvlJc w:val="left"/>
    </w:lvl>
    <w:lvl w:ilvl="6" w:tplc="C2C495AE">
      <w:numFmt w:val="decimal"/>
      <w:lvlText w:val=""/>
      <w:lvlJc w:val="left"/>
    </w:lvl>
    <w:lvl w:ilvl="7" w:tplc="D5EEBA30">
      <w:numFmt w:val="decimal"/>
      <w:lvlText w:val=""/>
      <w:lvlJc w:val="left"/>
    </w:lvl>
    <w:lvl w:ilvl="8" w:tplc="67EAFFC6">
      <w:numFmt w:val="decimal"/>
      <w:lvlText w:val=""/>
      <w:lvlJc w:val="left"/>
    </w:lvl>
  </w:abstractNum>
  <w:abstractNum w:abstractNumId="12" w15:restartNumberingAfterBreak="0">
    <w:nsid w:val="2463B9EA"/>
    <w:multiLevelType w:val="hybridMultilevel"/>
    <w:tmpl w:val="BA389EC2"/>
    <w:lvl w:ilvl="0" w:tplc="FD38FCAC">
      <w:start w:val="1"/>
      <w:numFmt w:val="bullet"/>
      <w:lvlText w:val="•"/>
      <w:lvlJc w:val="left"/>
    </w:lvl>
    <w:lvl w:ilvl="1" w:tplc="E02EF756">
      <w:numFmt w:val="decimal"/>
      <w:lvlText w:val=""/>
      <w:lvlJc w:val="left"/>
    </w:lvl>
    <w:lvl w:ilvl="2" w:tplc="56F0CDF0">
      <w:numFmt w:val="decimal"/>
      <w:lvlText w:val=""/>
      <w:lvlJc w:val="left"/>
    </w:lvl>
    <w:lvl w:ilvl="3" w:tplc="122C6E92">
      <w:numFmt w:val="decimal"/>
      <w:lvlText w:val=""/>
      <w:lvlJc w:val="left"/>
    </w:lvl>
    <w:lvl w:ilvl="4" w:tplc="43D002F6">
      <w:numFmt w:val="decimal"/>
      <w:lvlText w:val=""/>
      <w:lvlJc w:val="left"/>
    </w:lvl>
    <w:lvl w:ilvl="5" w:tplc="D166BD64">
      <w:numFmt w:val="decimal"/>
      <w:lvlText w:val=""/>
      <w:lvlJc w:val="left"/>
    </w:lvl>
    <w:lvl w:ilvl="6" w:tplc="26FAA5CA">
      <w:numFmt w:val="decimal"/>
      <w:lvlText w:val=""/>
      <w:lvlJc w:val="left"/>
    </w:lvl>
    <w:lvl w:ilvl="7" w:tplc="CE32FD98">
      <w:numFmt w:val="decimal"/>
      <w:lvlText w:val=""/>
      <w:lvlJc w:val="left"/>
    </w:lvl>
    <w:lvl w:ilvl="8" w:tplc="6C30E37A">
      <w:numFmt w:val="decimal"/>
      <w:lvlText w:val=""/>
      <w:lvlJc w:val="left"/>
    </w:lvl>
  </w:abstractNum>
  <w:abstractNum w:abstractNumId="13" w15:restartNumberingAfterBreak="0">
    <w:nsid w:val="275AC794"/>
    <w:multiLevelType w:val="hybridMultilevel"/>
    <w:tmpl w:val="543AAC06"/>
    <w:lvl w:ilvl="0" w:tplc="D7F6A6C4">
      <w:start w:val="2"/>
      <w:numFmt w:val="lowerLetter"/>
      <w:lvlText w:val="(%1)"/>
      <w:lvlJc w:val="left"/>
    </w:lvl>
    <w:lvl w:ilvl="1" w:tplc="487AF9C6">
      <w:start w:val="1"/>
      <w:numFmt w:val="lowerRoman"/>
      <w:lvlText w:val="(%2)"/>
      <w:lvlJc w:val="left"/>
    </w:lvl>
    <w:lvl w:ilvl="2" w:tplc="D1A669DA">
      <w:numFmt w:val="decimal"/>
      <w:lvlText w:val=""/>
      <w:lvlJc w:val="left"/>
    </w:lvl>
    <w:lvl w:ilvl="3" w:tplc="57C6A77A">
      <w:numFmt w:val="decimal"/>
      <w:lvlText w:val=""/>
      <w:lvlJc w:val="left"/>
    </w:lvl>
    <w:lvl w:ilvl="4" w:tplc="A64C3236">
      <w:numFmt w:val="decimal"/>
      <w:lvlText w:val=""/>
      <w:lvlJc w:val="left"/>
    </w:lvl>
    <w:lvl w:ilvl="5" w:tplc="B176A2EE">
      <w:numFmt w:val="decimal"/>
      <w:lvlText w:val=""/>
      <w:lvlJc w:val="left"/>
    </w:lvl>
    <w:lvl w:ilvl="6" w:tplc="1020F9C0">
      <w:numFmt w:val="decimal"/>
      <w:lvlText w:val=""/>
      <w:lvlJc w:val="left"/>
    </w:lvl>
    <w:lvl w:ilvl="7" w:tplc="CFBA91E6">
      <w:numFmt w:val="decimal"/>
      <w:lvlText w:val=""/>
      <w:lvlJc w:val="left"/>
    </w:lvl>
    <w:lvl w:ilvl="8" w:tplc="9C20F1B0">
      <w:numFmt w:val="decimal"/>
      <w:lvlText w:val=""/>
      <w:lvlJc w:val="left"/>
    </w:lvl>
  </w:abstractNum>
  <w:abstractNum w:abstractNumId="14" w15:restartNumberingAfterBreak="0">
    <w:nsid w:val="2A487CB0"/>
    <w:multiLevelType w:val="hybridMultilevel"/>
    <w:tmpl w:val="70108854"/>
    <w:lvl w:ilvl="0" w:tplc="91B8CDE8">
      <w:start w:val="1"/>
      <w:numFmt w:val="bullet"/>
      <w:lvlText w:val="•"/>
      <w:lvlJc w:val="left"/>
    </w:lvl>
    <w:lvl w:ilvl="1" w:tplc="D8DE33DA">
      <w:numFmt w:val="decimal"/>
      <w:lvlText w:val=""/>
      <w:lvlJc w:val="left"/>
    </w:lvl>
    <w:lvl w:ilvl="2" w:tplc="95E03E4E">
      <w:numFmt w:val="decimal"/>
      <w:lvlText w:val=""/>
      <w:lvlJc w:val="left"/>
    </w:lvl>
    <w:lvl w:ilvl="3" w:tplc="B74209B2">
      <w:numFmt w:val="decimal"/>
      <w:lvlText w:val=""/>
      <w:lvlJc w:val="left"/>
    </w:lvl>
    <w:lvl w:ilvl="4" w:tplc="5846E258">
      <w:numFmt w:val="decimal"/>
      <w:lvlText w:val=""/>
      <w:lvlJc w:val="left"/>
    </w:lvl>
    <w:lvl w:ilvl="5" w:tplc="C7047EF4">
      <w:numFmt w:val="decimal"/>
      <w:lvlText w:val=""/>
      <w:lvlJc w:val="left"/>
    </w:lvl>
    <w:lvl w:ilvl="6" w:tplc="BA1679E4">
      <w:numFmt w:val="decimal"/>
      <w:lvlText w:val=""/>
      <w:lvlJc w:val="left"/>
    </w:lvl>
    <w:lvl w:ilvl="7" w:tplc="911420C2">
      <w:numFmt w:val="decimal"/>
      <w:lvlText w:val=""/>
      <w:lvlJc w:val="left"/>
    </w:lvl>
    <w:lvl w:ilvl="8" w:tplc="1498808A">
      <w:numFmt w:val="decimal"/>
      <w:lvlText w:val=""/>
      <w:lvlJc w:val="left"/>
    </w:lvl>
  </w:abstractNum>
  <w:abstractNum w:abstractNumId="15" w15:restartNumberingAfterBreak="0">
    <w:nsid w:val="2CD89A32"/>
    <w:multiLevelType w:val="hybridMultilevel"/>
    <w:tmpl w:val="C128A370"/>
    <w:lvl w:ilvl="0" w:tplc="A08CC8F6">
      <w:start w:val="1"/>
      <w:numFmt w:val="bullet"/>
      <w:lvlText w:val="•"/>
      <w:lvlJc w:val="left"/>
    </w:lvl>
    <w:lvl w:ilvl="1" w:tplc="0CF8E1E2">
      <w:numFmt w:val="decimal"/>
      <w:lvlText w:val=""/>
      <w:lvlJc w:val="left"/>
    </w:lvl>
    <w:lvl w:ilvl="2" w:tplc="5BD0C0B2">
      <w:numFmt w:val="decimal"/>
      <w:lvlText w:val=""/>
      <w:lvlJc w:val="left"/>
    </w:lvl>
    <w:lvl w:ilvl="3" w:tplc="1BDE6032">
      <w:numFmt w:val="decimal"/>
      <w:lvlText w:val=""/>
      <w:lvlJc w:val="left"/>
    </w:lvl>
    <w:lvl w:ilvl="4" w:tplc="C0B8DBA8">
      <w:numFmt w:val="decimal"/>
      <w:lvlText w:val=""/>
      <w:lvlJc w:val="left"/>
    </w:lvl>
    <w:lvl w:ilvl="5" w:tplc="759C416A">
      <w:numFmt w:val="decimal"/>
      <w:lvlText w:val=""/>
      <w:lvlJc w:val="left"/>
    </w:lvl>
    <w:lvl w:ilvl="6" w:tplc="DDFE0DE8">
      <w:numFmt w:val="decimal"/>
      <w:lvlText w:val=""/>
      <w:lvlJc w:val="left"/>
    </w:lvl>
    <w:lvl w:ilvl="7" w:tplc="C4627A66">
      <w:numFmt w:val="decimal"/>
      <w:lvlText w:val=""/>
      <w:lvlJc w:val="left"/>
    </w:lvl>
    <w:lvl w:ilvl="8" w:tplc="3E3AB176">
      <w:numFmt w:val="decimal"/>
      <w:lvlText w:val=""/>
      <w:lvlJc w:val="left"/>
    </w:lvl>
  </w:abstractNum>
  <w:abstractNum w:abstractNumId="16" w15:restartNumberingAfterBreak="0">
    <w:nsid w:val="2D517796"/>
    <w:multiLevelType w:val="hybridMultilevel"/>
    <w:tmpl w:val="1C80B9F8"/>
    <w:lvl w:ilvl="0" w:tplc="DE52A81E">
      <w:start w:val="1"/>
      <w:numFmt w:val="bullet"/>
      <w:lvlText w:val="•"/>
      <w:lvlJc w:val="left"/>
    </w:lvl>
    <w:lvl w:ilvl="1" w:tplc="25E29962">
      <w:numFmt w:val="decimal"/>
      <w:lvlText w:val=""/>
      <w:lvlJc w:val="left"/>
    </w:lvl>
    <w:lvl w:ilvl="2" w:tplc="D496255C">
      <w:numFmt w:val="decimal"/>
      <w:lvlText w:val=""/>
      <w:lvlJc w:val="left"/>
    </w:lvl>
    <w:lvl w:ilvl="3" w:tplc="AA0E6B7E">
      <w:numFmt w:val="decimal"/>
      <w:lvlText w:val=""/>
      <w:lvlJc w:val="left"/>
    </w:lvl>
    <w:lvl w:ilvl="4" w:tplc="5E94E02C">
      <w:numFmt w:val="decimal"/>
      <w:lvlText w:val=""/>
      <w:lvlJc w:val="left"/>
    </w:lvl>
    <w:lvl w:ilvl="5" w:tplc="A5B81806">
      <w:numFmt w:val="decimal"/>
      <w:lvlText w:val=""/>
      <w:lvlJc w:val="left"/>
    </w:lvl>
    <w:lvl w:ilvl="6" w:tplc="13FE6674">
      <w:numFmt w:val="decimal"/>
      <w:lvlText w:val=""/>
      <w:lvlJc w:val="left"/>
    </w:lvl>
    <w:lvl w:ilvl="7" w:tplc="C9AEBD12">
      <w:numFmt w:val="decimal"/>
      <w:lvlText w:val=""/>
      <w:lvlJc w:val="left"/>
    </w:lvl>
    <w:lvl w:ilvl="8" w:tplc="FB9E75B4">
      <w:numFmt w:val="decimal"/>
      <w:lvlText w:val=""/>
      <w:lvlJc w:val="left"/>
    </w:lvl>
  </w:abstractNum>
  <w:abstractNum w:abstractNumId="17" w15:restartNumberingAfterBreak="0">
    <w:nsid w:val="3006C83E"/>
    <w:multiLevelType w:val="hybridMultilevel"/>
    <w:tmpl w:val="64905352"/>
    <w:lvl w:ilvl="0" w:tplc="C836461C">
      <w:start w:val="1"/>
      <w:numFmt w:val="bullet"/>
      <w:lvlText w:val="•"/>
      <w:lvlJc w:val="left"/>
    </w:lvl>
    <w:lvl w:ilvl="1" w:tplc="31223E22">
      <w:numFmt w:val="decimal"/>
      <w:lvlText w:val=""/>
      <w:lvlJc w:val="left"/>
    </w:lvl>
    <w:lvl w:ilvl="2" w:tplc="21B8DD74">
      <w:numFmt w:val="decimal"/>
      <w:lvlText w:val=""/>
      <w:lvlJc w:val="left"/>
    </w:lvl>
    <w:lvl w:ilvl="3" w:tplc="4064B1E8">
      <w:numFmt w:val="decimal"/>
      <w:lvlText w:val=""/>
      <w:lvlJc w:val="left"/>
    </w:lvl>
    <w:lvl w:ilvl="4" w:tplc="AA341D5A">
      <w:numFmt w:val="decimal"/>
      <w:lvlText w:val=""/>
      <w:lvlJc w:val="left"/>
    </w:lvl>
    <w:lvl w:ilvl="5" w:tplc="6916F270">
      <w:numFmt w:val="decimal"/>
      <w:lvlText w:val=""/>
      <w:lvlJc w:val="left"/>
    </w:lvl>
    <w:lvl w:ilvl="6" w:tplc="44B2E70A">
      <w:numFmt w:val="decimal"/>
      <w:lvlText w:val=""/>
      <w:lvlJc w:val="left"/>
    </w:lvl>
    <w:lvl w:ilvl="7" w:tplc="2CA4E194">
      <w:numFmt w:val="decimal"/>
      <w:lvlText w:val=""/>
      <w:lvlJc w:val="left"/>
    </w:lvl>
    <w:lvl w:ilvl="8" w:tplc="6C8E23A0">
      <w:numFmt w:val="decimal"/>
      <w:lvlText w:val=""/>
      <w:lvlJc w:val="left"/>
    </w:lvl>
  </w:abstractNum>
  <w:abstractNum w:abstractNumId="18" w15:restartNumberingAfterBreak="0">
    <w:nsid w:val="32FFF902"/>
    <w:multiLevelType w:val="hybridMultilevel"/>
    <w:tmpl w:val="9392E6EE"/>
    <w:lvl w:ilvl="0" w:tplc="B9BE4F40">
      <w:start w:val="1"/>
      <w:numFmt w:val="bullet"/>
      <w:lvlText w:val="•"/>
      <w:lvlJc w:val="left"/>
    </w:lvl>
    <w:lvl w:ilvl="1" w:tplc="BFA49394">
      <w:numFmt w:val="decimal"/>
      <w:lvlText w:val=""/>
      <w:lvlJc w:val="left"/>
    </w:lvl>
    <w:lvl w:ilvl="2" w:tplc="FB94ED98">
      <w:numFmt w:val="decimal"/>
      <w:lvlText w:val=""/>
      <w:lvlJc w:val="left"/>
    </w:lvl>
    <w:lvl w:ilvl="3" w:tplc="7F1E133A">
      <w:numFmt w:val="decimal"/>
      <w:lvlText w:val=""/>
      <w:lvlJc w:val="left"/>
    </w:lvl>
    <w:lvl w:ilvl="4" w:tplc="09FA3E68">
      <w:numFmt w:val="decimal"/>
      <w:lvlText w:val=""/>
      <w:lvlJc w:val="left"/>
    </w:lvl>
    <w:lvl w:ilvl="5" w:tplc="7A02454A">
      <w:numFmt w:val="decimal"/>
      <w:lvlText w:val=""/>
      <w:lvlJc w:val="left"/>
    </w:lvl>
    <w:lvl w:ilvl="6" w:tplc="BD92FA70">
      <w:numFmt w:val="decimal"/>
      <w:lvlText w:val=""/>
      <w:lvlJc w:val="left"/>
    </w:lvl>
    <w:lvl w:ilvl="7" w:tplc="3A2C0F46">
      <w:numFmt w:val="decimal"/>
      <w:lvlText w:val=""/>
      <w:lvlJc w:val="left"/>
    </w:lvl>
    <w:lvl w:ilvl="8" w:tplc="715C794A">
      <w:numFmt w:val="decimal"/>
      <w:lvlText w:val=""/>
      <w:lvlJc w:val="left"/>
    </w:lvl>
  </w:abstractNum>
  <w:abstractNum w:abstractNumId="19" w15:restartNumberingAfterBreak="0">
    <w:nsid w:val="354FE9F9"/>
    <w:multiLevelType w:val="hybridMultilevel"/>
    <w:tmpl w:val="362CBEA2"/>
    <w:lvl w:ilvl="0" w:tplc="D132E354">
      <w:start w:val="1"/>
      <w:numFmt w:val="decimal"/>
      <w:lvlText w:val="(%1)"/>
      <w:lvlJc w:val="left"/>
    </w:lvl>
    <w:lvl w:ilvl="1" w:tplc="A6161D4C">
      <w:numFmt w:val="decimal"/>
      <w:lvlText w:val=""/>
      <w:lvlJc w:val="left"/>
    </w:lvl>
    <w:lvl w:ilvl="2" w:tplc="30A20134">
      <w:numFmt w:val="decimal"/>
      <w:lvlText w:val=""/>
      <w:lvlJc w:val="left"/>
    </w:lvl>
    <w:lvl w:ilvl="3" w:tplc="75AA949E">
      <w:numFmt w:val="decimal"/>
      <w:lvlText w:val=""/>
      <w:lvlJc w:val="left"/>
    </w:lvl>
    <w:lvl w:ilvl="4" w:tplc="05B404A8">
      <w:numFmt w:val="decimal"/>
      <w:lvlText w:val=""/>
      <w:lvlJc w:val="left"/>
    </w:lvl>
    <w:lvl w:ilvl="5" w:tplc="0E309414">
      <w:numFmt w:val="decimal"/>
      <w:lvlText w:val=""/>
      <w:lvlJc w:val="left"/>
    </w:lvl>
    <w:lvl w:ilvl="6" w:tplc="4E42D20A">
      <w:numFmt w:val="decimal"/>
      <w:lvlText w:val=""/>
      <w:lvlJc w:val="left"/>
    </w:lvl>
    <w:lvl w:ilvl="7" w:tplc="532E5D14">
      <w:numFmt w:val="decimal"/>
      <w:lvlText w:val=""/>
      <w:lvlJc w:val="left"/>
    </w:lvl>
    <w:lvl w:ilvl="8" w:tplc="2FBC945C">
      <w:numFmt w:val="decimal"/>
      <w:lvlText w:val=""/>
      <w:lvlJc w:val="left"/>
    </w:lvl>
  </w:abstractNum>
  <w:abstractNum w:abstractNumId="20" w15:restartNumberingAfterBreak="0">
    <w:nsid w:val="374A3FE6"/>
    <w:multiLevelType w:val="hybridMultilevel"/>
    <w:tmpl w:val="C8AE63BA"/>
    <w:lvl w:ilvl="0" w:tplc="53F07586">
      <w:start w:val="4"/>
      <w:numFmt w:val="decimal"/>
      <w:lvlText w:val="%1."/>
      <w:lvlJc w:val="left"/>
    </w:lvl>
    <w:lvl w:ilvl="1" w:tplc="1F16FD12">
      <w:start w:val="1"/>
      <w:numFmt w:val="lowerLetter"/>
      <w:lvlText w:val="(%2)"/>
      <w:lvlJc w:val="left"/>
    </w:lvl>
    <w:lvl w:ilvl="2" w:tplc="49BC4994">
      <w:numFmt w:val="decimal"/>
      <w:lvlText w:val=""/>
      <w:lvlJc w:val="left"/>
    </w:lvl>
    <w:lvl w:ilvl="3" w:tplc="1B14363E">
      <w:numFmt w:val="decimal"/>
      <w:lvlText w:val=""/>
      <w:lvlJc w:val="left"/>
    </w:lvl>
    <w:lvl w:ilvl="4" w:tplc="63343698">
      <w:numFmt w:val="decimal"/>
      <w:lvlText w:val=""/>
      <w:lvlJc w:val="left"/>
    </w:lvl>
    <w:lvl w:ilvl="5" w:tplc="C4F22314">
      <w:numFmt w:val="decimal"/>
      <w:lvlText w:val=""/>
      <w:lvlJc w:val="left"/>
    </w:lvl>
    <w:lvl w:ilvl="6" w:tplc="26029DB8">
      <w:numFmt w:val="decimal"/>
      <w:lvlText w:val=""/>
      <w:lvlJc w:val="left"/>
    </w:lvl>
    <w:lvl w:ilvl="7" w:tplc="27761ECA">
      <w:numFmt w:val="decimal"/>
      <w:lvlText w:val=""/>
      <w:lvlJc w:val="left"/>
    </w:lvl>
    <w:lvl w:ilvl="8" w:tplc="A74477D4">
      <w:numFmt w:val="decimal"/>
      <w:lvlText w:val=""/>
      <w:lvlJc w:val="left"/>
    </w:lvl>
  </w:abstractNum>
  <w:abstractNum w:abstractNumId="21" w15:restartNumberingAfterBreak="0">
    <w:nsid w:val="3804823E"/>
    <w:multiLevelType w:val="hybridMultilevel"/>
    <w:tmpl w:val="EB12B5B4"/>
    <w:lvl w:ilvl="0" w:tplc="659A1A3E">
      <w:start w:val="1"/>
      <w:numFmt w:val="bullet"/>
      <w:lvlText w:val="•"/>
      <w:lvlJc w:val="left"/>
    </w:lvl>
    <w:lvl w:ilvl="1" w:tplc="3EAC9F90">
      <w:numFmt w:val="decimal"/>
      <w:lvlText w:val=""/>
      <w:lvlJc w:val="left"/>
    </w:lvl>
    <w:lvl w:ilvl="2" w:tplc="09E4B6E2">
      <w:numFmt w:val="decimal"/>
      <w:lvlText w:val=""/>
      <w:lvlJc w:val="left"/>
    </w:lvl>
    <w:lvl w:ilvl="3" w:tplc="8E1C4BCA">
      <w:numFmt w:val="decimal"/>
      <w:lvlText w:val=""/>
      <w:lvlJc w:val="left"/>
    </w:lvl>
    <w:lvl w:ilvl="4" w:tplc="1B283C38">
      <w:numFmt w:val="decimal"/>
      <w:lvlText w:val=""/>
      <w:lvlJc w:val="left"/>
    </w:lvl>
    <w:lvl w:ilvl="5" w:tplc="964C8CE0">
      <w:numFmt w:val="decimal"/>
      <w:lvlText w:val=""/>
      <w:lvlJc w:val="left"/>
    </w:lvl>
    <w:lvl w:ilvl="6" w:tplc="DD746242">
      <w:numFmt w:val="decimal"/>
      <w:lvlText w:val=""/>
      <w:lvlJc w:val="left"/>
    </w:lvl>
    <w:lvl w:ilvl="7" w:tplc="1B96D1E2">
      <w:numFmt w:val="decimal"/>
      <w:lvlText w:val=""/>
      <w:lvlJc w:val="left"/>
    </w:lvl>
    <w:lvl w:ilvl="8" w:tplc="51BCF718">
      <w:numFmt w:val="decimal"/>
      <w:lvlText w:val=""/>
      <w:lvlJc w:val="left"/>
    </w:lvl>
  </w:abstractNum>
  <w:abstractNum w:abstractNumId="22" w15:restartNumberingAfterBreak="0">
    <w:nsid w:val="38437FDB"/>
    <w:multiLevelType w:val="hybridMultilevel"/>
    <w:tmpl w:val="5F780F88"/>
    <w:lvl w:ilvl="0" w:tplc="2C32F9B6">
      <w:start w:val="1"/>
      <w:numFmt w:val="bullet"/>
      <w:lvlText w:val="•"/>
      <w:lvlJc w:val="left"/>
    </w:lvl>
    <w:lvl w:ilvl="1" w:tplc="584E3B68">
      <w:numFmt w:val="decimal"/>
      <w:lvlText w:val=""/>
      <w:lvlJc w:val="left"/>
    </w:lvl>
    <w:lvl w:ilvl="2" w:tplc="6BE47306">
      <w:numFmt w:val="decimal"/>
      <w:lvlText w:val=""/>
      <w:lvlJc w:val="left"/>
    </w:lvl>
    <w:lvl w:ilvl="3" w:tplc="50342FEC">
      <w:numFmt w:val="decimal"/>
      <w:lvlText w:val=""/>
      <w:lvlJc w:val="left"/>
    </w:lvl>
    <w:lvl w:ilvl="4" w:tplc="F0E2C90A">
      <w:numFmt w:val="decimal"/>
      <w:lvlText w:val=""/>
      <w:lvlJc w:val="left"/>
    </w:lvl>
    <w:lvl w:ilvl="5" w:tplc="1BDA0328">
      <w:numFmt w:val="decimal"/>
      <w:lvlText w:val=""/>
      <w:lvlJc w:val="left"/>
    </w:lvl>
    <w:lvl w:ilvl="6" w:tplc="57389AC6">
      <w:numFmt w:val="decimal"/>
      <w:lvlText w:val=""/>
      <w:lvlJc w:val="left"/>
    </w:lvl>
    <w:lvl w:ilvl="7" w:tplc="0860C98C">
      <w:numFmt w:val="decimal"/>
      <w:lvlText w:val=""/>
      <w:lvlJc w:val="left"/>
    </w:lvl>
    <w:lvl w:ilvl="8" w:tplc="7908BAB8">
      <w:numFmt w:val="decimal"/>
      <w:lvlText w:val=""/>
      <w:lvlJc w:val="left"/>
    </w:lvl>
  </w:abstractNum>
  <w:abstractNum w:abstractNumId="23" w15:restartNumberingAfterBreak="0">
    <w:nsid w:val="3855585C"/>
    <w:multiLevelType w:val="hybridMultilevel"/>
    <w:tmpl w:val="7ECCB476"/>
    <w:lvl w:ilvl="0" w:tplc="A12EE6DA">
      <w:start w:val="1"/>
      <w:numFmt w:val="bullet"/>
      <w:lvlText w:val="•"/>
      <w:lvlJc w:val="left"/>
    </w:lvl>
    <w:lvl w:ilvl="1" w:tplc="EBB2B844">
      <w:numFmt w:val="decimal"/>
      <w:lvlText w:val=""/>
      <w:lvlJc w:val="left"/>
    </w:lvl>
    <w:lvl w:ilvl="2" w:tplc="BF38501A">
      <w:numFmt w:val="decimal"/>
      <w:lvlText w:val=""/>
      <w:lvlJc w:val="left"/>
    </w:lvl>
    <w:lvl w:ilvl="3" w:tplc="43FA2336">
      <w:numFmt w:val="decimal"/>
      <w:lvlText w:val=""/>
      <w:lvlJc w:val="left"/>
    </w:lvl>
    <w:lvl w:ilvl="4" w:tplc="15B8A308">
      <w:numFmt w:val="decimal"/>
      <w:lvlText w:val=""/>
      <w:lvlJc w:val="left"/>
    </w:lvl>
    <w:lvl w:ilvl="5" w:tplc="DE5C0474">
      <w:numFmt w:val="decimal"/>
      <w:lvlText w:val=""/>
      <w:lvlJc w:val="left"/>
    </w:lvl>
    <w:lvl w:ilvl="6" w:tplc="23ECA208">
      <w:numFmt w:val="decimal"/>
      <w:lvlText w:val=""/>
      <w:lvlJc w:val="left"/>
    </w:lvl>
    <w:lvl w:ilvl="7" w:tplc="759A0CB4">
      <w:numFmt w:val="decimal"/>
      <w:lvlText w:val=""/>
      <w:lvlJc w:val="left"/>
    </w:lvl>
    <w:lvl w:ilvl="8" w:tplc="AF2CD7A6">
      <w:numFmt w:val="decimal"/>
      <w:lvlText w:val=""/>
      <w:lvlJc w:val="left"/>
    </w:lvl>
  </w:abstractNum>
  <w:abstractNum w:abstractNumId="24" w15:restartNumberingAfterBreak="0">
    <w:nsid w:val="39386575"/>
    <w:multiLevelType w:val="hybridMultilevel"/>
    <w:tmpl w:val="8C006410"/>
    <w:lvl w:ilvl="0" w:tplc="34BA2B62">
      <w:start w:val="7"/>
      <w:numFmt w:val="decimal"/>
      <w:lvlText w:val="%1."/>
      <w:lvlJc w:val="left"/>
    </w:lvl>
    <w:lvl w:ilvl="1" w:tplc="AF1C405E">
      <w:start w:val="1"/>
      <w:numFmt w:val="lowerLetter"/>
      <w:lvlText w:val="(%2)"/>
      <w:lvlJc w:val="left"/>
    </w:lvl>
    <w:lvl w:ilvl="2" w:tplc="C4520C08">
      <w:numFmt w:val="decimal"/>
      <w:lvlText w:val=""/>
      <w:lvlJc w:val="left"/>
    </w:lvl>
    <w:lvl w:ilvl="3" w:tplc="DAFEF9F2">
      <w:numFmt w:val="decimal"/>
      <w:lvlText w:val=""/>
      <w:lvlJc w:val="left"/>
    </w:lvl>
    <w:lvl w:ilvl="4" w:tplc="6B761E98">
      <w:numFmt w:val="decimal"/>
      <w:lvlText w:val=""/>
      <w:lvlJc w:val="left"/>
    </w:lvl>
    <w:lvl w:ilvl="5" w:tplc="18A4C43E">
      <w:numFmt w:val="decimal"/>
      <w:lvlText w:val=""/>
      <w:lvlJc w:val="left"/>
    </w:lvl>
    <w:lvl w:ilvl="6" w:tplc="F3B6337E">
      <w:numFmt w:val="decimal"/>
      <w:lvlText w:val=""/>
      <w:lvlJc w:val="left"/>
    </w:lvl>
    <w:lvl w:ilvl="7" w:tplc="EF6C86C6">
      <w:numFmt w:val="decimal"/>
      <w:lvlText w:val=""/>
      <w:lvlJc w:val="left"/>
    </w:lvl>
    <w:lvl w:ilvl="8" w:tplc="D0341B38">
      <w:numFmt w:val="decimal"/>
      <w:lvlText w:val=""/>
      <w:lvlJc w:val="left"/>
    </w:lvl>
  </w:abstractNum>
  <w:abstractNum w:abstractNumId="25" w15:restartNumberingAfterBreak="0">
    <w:nsid w:val="3DC240FB"/>
    <w:multiLevelType w:val="hybridMultilevel"/>
    <w:tmpl w:val="211A6E6E"/>
    <w:lvl w:ilvl="0" w:tplc="F01871F6">
      <w:start w:val="1"/>
      <w:numFmt w:val="bullet"/>
      <w:lvlText w:val="**"/>
      <w:lvlJc w:val="left"/>
    </w:lvl>
    <w:lvl w:ilvl="1" w:tplc="615C6776">
      <w:start w:val="1"/>
      <w:numFmt w:val="bullet"/>
      <w:lvlText w:val="#"/>
      <w:lvlJc w:val="left"/>
    </w:lvl>
    <w:lvl w:ilvl="2" w:tplc="789C8EEC">
      <w:numFmt w:val="decimal"/>
      <w:lvlText w:val=""/>
      <w:lvlJc w:val="left"/>
    </w:lvl>
    <w:lvl w:ilvl="3" w:tplc="55BC9D9C">
      <w:numFmt w:val="decimal"/>
      <w:lvlText w:val=""/>
      <w:lvlJc w:val="left"/>
    </w:lvl>
    <w:lvl w:ilvl="4" w:tplc="D6AE7560">
      <w:numFmt w:val="decimal"/>
      <w:lvlText w:val=""/>
      <w:lvlJc w:val="left"/>
    </w:lvl>
    <w:lvl w:ilvl="5" w:tplc="6DBC375C">
      <w:numFmt w:val="decimal"/>
      <w:lvlText w:val=""/>
      <w:lvlJc w:val="left"/>
    </w:lvl>
    <w:lvl w:ilvl="6" w:tplc="3D206262">
      <w:numFmt w:val="decimal"/>
      <w:lvlText w:val=""/>
      <w:lvlJc w:val="left"/>
    </w:lvl>
    <w:lvl w:ilvl="7" w:tplc="CC78AF24">
      <w:numFmt w:val="decimal"/>
      <w:lvlText w:val=""/>
      <w:lvlJc w:val="left"/>
    </w:lvl>
    <w:lvl w:ilvl="8" w:tplc="9132BB14">
      <w:numFmt w:val="decimal"/>
      <w:lvlText w:val=""/>
      <w:lvlJc w:val="left"/>
    </w:lvl>
  </w:abstractNum>
  <w:abstractNum w:abstractNumId="26" w15:restartNumberingAfterBreak="0">
    <w:nsid w:val="419AC241"/>
    <w:multiLevelType w:val="hybridMultilevel"/>
    <w:tmpl w:val="73CEFEEC"/>
    <w:lvl w:ilvl="0" w:tplc="52B205F2">
      <w:start w:val="1"/>
      <w:numFmt w:val="bullet"/>
      <w:lvlText w:val="•"/>
      <w:lvlJc w:val="left"/>
    </w:lvl>
    <w:lvl w:ilvl="1" w:tplc="6E426332">
      <w:numFmt w:val="decimal"/>
      <w:lvlText w:val=""/>
      <w:lvlJc w:val="left"/>
    </w:lvl>
    <w:lvl w:ilvl="2" w:tplc="F08CD654">
      <w:numFmt w:val="decimal"/>
      <w:lvlText w:val=""/>
      <w:lvlJc w:val="left"/>
    </w:lvl>
    <w:lvl w:ilvl="3" w:tplc="F1E0DDA2">
      <w:numFmt w:val="decimal"/>
      <w:lvlText w:val=""/>
      <w:lvlJc w:val="left"/>
    </w:lvl>
    <w:lvl w:ilvl="4" w:tplc="1652B600">
      <w:numFmt w:val="decimal"/>
      <w:lvlText w:val=""/>
      <w:lvlJc w:val="left"/>
    </w:lvl>
    <w:lvl w:ilvl="5" w:tplc="A3A8F816">
      <w:numFmt w:val="decimal"/>
      <w:lvlText w:val=""/>
      <w:lvlJc w:val="left"/>
    </w:lvl>
    <w:lvl w:ilvl="6" w:tplc="2540845E">
      <w:numFmt w:val="decimal"/>
      <w:lvlText w:val=""/>
      <w:lvlJc w:val="left"/>
    </w:lvl>
    <w:lvl w:ilvl="7" w:tplc="B21A468E">
      <w:numFmt w:val="decimal"/>
      <w:lvlText w:val=""/>
      <w:lvlJc w:val="left"/>
    </w:lvl>
    <w:lvl w:ilvl="8" w:tplc="0AD600F8">
      <w:numFmt w:val="decimal"/>
      <w:lvlText w:val=""/>
      <w:lvlJc w:val="left"/>
    </w:lvl>
  </w:abstractNum>
  <w:abstractNum w:abstractNumId="27" w15:restartNumberingAfterBreak="0">
    <w:nsid w:val="440BADFC"/>
    <w:multiLevelType w:val="hybridMultilevel"/>
    <w:tmpl w:val="E54AD20C"/>
    <w:lvl w:ilvl="0" w:tplc="903A8438">
      <w:start w:val="1"/>
      <w:numFmt w:val="bullet"/>
      <w:lvlText w:val="•"/>
      <w:lvlJc w:val="left"/>
    </w:lvl>
    <w:lvl w:ilvl="1" w:tplc="E28A511C">
      <w:numFmt w:val="decimal"/>
      <w:lvlText w:val=""/>
      <w:lvlJc w:val="left"/>
    </w:lvl>
    <w:lvl w:ilvl="2" w:tplc="F2CC22A0">
      <w:numFmt w:val="decimal"/>
      <w:lvlText w:val=""/>
      <w:lvlJc w:val="left"/>
    </w:lvl>
    <w:lvl w:ilvl="3" w:tplc="B43E2D3E">
      <w:numFmt w:val="decimal"/>
      <w:lvlText w:val=""/>
      <w:lvlJc w:val="left"/>
    </w:lvl>
    <w:lvl w:ilvl="4" w:tplc="2C3436D0">
      <w:numFmt w:val="decimal"/>
      <w:lvlText w:val=""/>
      <w:lvlJc w:val="left"/>
    </w:lvl>
    <w:lvl w:ilvl="5" w:tplc="3C644D7A">
      <w:numFmt w:val="decimal"/>
      <w:lvlText w:val=""/>
      <w:lvlJc w:val="left"/>
    </w:lvl>
    <w:lvl w:ilvl="6" w:tplc="AB0C9124">
      <w:numFmt w:val="decimal"/>
      <w:lvlText w:val=""/>
      <w:lvlJc w:val="left"/>
    </w:lvl>
    <w:lvl w:ilvl="7" w:tplc="B936E9AC">
      <w:numFmt w:val="decimal"/>
      <w:lvlText w:val=""/>
      <w:lvlJc w:val="left"/>
    </w:lvl>
    <w:lvl w:ilvl="8" w:tplc="F5B4B150">
      <w:numFmt w:val="decimal"/>
      <w:lvlText w:val=""/>
      <w:lvlJc w:val="left"/>
    </w:lvl>
  </w:abstractNum>
  <w:abstractNum w:abstractNumId="28" w15:restartNumberingAfterBreak="0">
    <w:nsid w:val="4516DDE9"/>
    <w:multiLevelType w:val="hybridMultilevel"/>
    <w:tmpl w:val="086A14E4"/>
    <w:lvl w:ilvl="0" w:tplc="B950D8F6">
      <w:start w:val="1"/>
      <w:numFmt w:val="bullet"/>
      <w:lvlText w:val="•"/>
      <w:lvlJc w:val="left"/>
    </w:lvl>
    <w:lvl w:ilvl="1" w:tplc="0492C23C">
      <w:numFmt w:val="decimal"/>
      <w:lvlText w:val=""/>
      <w:lvlJc w:val="left"/>
    </w:lvl>
    <w:lvl w:ilvl="2" w:tplc="01E87E0C">
      <w:numFmt w:val="decimal"/>
      <w:lvlText w:val=""/>
      <w:lvlJc w:val="left"/>
    </w:lvl>
    <w:lvl w:ilvl="3" w:tplc="2E84C68E">
      <w:numFmt w:val="decimal"/>
      <w:lvlText w:val=""/>
      <w:lvlJc w:val="left"/>
    </w:lvl>
    <w:lvl w:ilvl="4" w:tplc="E3B65390">
      <w:numFmt w:val="decimal"/>
      <w:lvlText w:val=""/>
      <w:lvlJc w:val="left"/>
    </w:lvl>
    <w:lvl w:ilvl="5" w:tplc="46245494">
      <w:numFmt w:val="decimal"/>
      <w:lvlText w:val=""/>
      <w:lvlJc w:val="left"/>
    </w:lvl>
    <w:lvl w:ilvl="6" w:tplc="4790F5A2">
      <w:numFmt w:val="decimal"/>
      <w:lvlText w:val=""/>
      <w:lvlJc w:val="left"/>
    </w:lvl>
    <w:lvl w:ilvl="7" w:tplc="DC704AFE">
      <w:numFmt w:val="decimal"/>
      <w:lvlText w:val=""/>
      <w:lvlJc w:val="left"/>
    </w:lvl>
    <w:lvl w:ilvl="8" w:tplc="4FA00F40">
      <w:numFmt w:val="decimal"/>
      <w:lvlText w:val=""/>
      <w:lvlJc w:val="left"/>
    </w:lvl>
  </w:abstractNum>
  <w:abstractNum w:abstractNumId="29" w15:restartNumberingAfterBreak="0">
    <w:nsid w:val="47398C89"/>
    <w:multiLevelType w:val="hybridMultilevel"/>
    <w:tmpl w:val="1F429E98"/>
    <w:lvl w:ilvl="0" w:tplc="AED6E4D0">
      <w:start w:val="1"/>
      <w:numFmt w:val="decimal"/>
      <w:lvlText w:val="%1."/>
      <w:lvlJc w:val="left"/>
    </w:lvl>
    <w:lvl w:ilvl="1" w:tplc="AE8A98D8">
      <w:start w:val="1"/>
      <w:numFmt w:val="lowerLetter"/>
      <w:lvlText w:val="%2."/>
      <w:lvlJc w:val="left"/>
    </w:lvl>
    <w:lvl w:ilvl="2" w:tplc="FF9CD204">
      <w:numFmt w:val="decimal"/>
      <w:lvlText w:val=""/>
      <w:lvlJc w:val="left"/>
    </w:lvl>
    <w:lvl w:ilvl="3" w:tplc="5D7E4984">
      <w:numFmt w:val="decimal"/>
      <w:lvlText w:val=""/>
      <w:lvlJc w:val="left"/>
    </w:lvl>
    <w:lvl w:ilvl="4" w:tplc="E338787E">
      <w:numFmt w:val="decimal"/>
      <w:lvlText w:val=""/>
      <w:lvlJc w:val="left"/>
    </w:lvl>
    <w:lvl w:ilvl="5" w:tplc="FDFEAA56">
      <w:numFmt w:val="decimal"/>
      <w:lvlText w:val=""/>
      <w:lvlJc w:val="left"/>
    </w:lvl>
    <w:lvl w:ilvl="6" w:tplc="313C1CFA">
      <w:numFmt w:val="decimal"/>
      <w:lvlText w:val=""/>
      <w:lvlJc w:val="left"/>
    </w:lvl>
    <w:lvl w:ilvl="7" w:tplc="F6BC2732">
      <w:numFmt w:val="decimal"/>
      <w:lvlText w:val=""/>
      <w:lvlJc w:val="left"/>
    </w:lvl>
    <w:lvl w:ilvl="8" w:tplc="114E23FE">
      <w:numFmt w:val="decimal"/>
      <w:lvlText w:val=""/>
      <w:lvlJc w:val="left"/>
    </w:lvl>
  </w:abstractNum>
  <w:abstractNum w:abstractNumId="30" w15:restartNumberingAfterBreak="0">
    <w:nsid w:val="4B588F54"/>
    <w:multiLevelType w:val="hybridMultilevel"/>
    <w:tmpl w:val="9CE2F47E"/>
    <w:lvl w:ilvl="0" w:tplc="4E800F34">
      <w:start w:val="1"/>
      <w:numFmt w:val="bullet"/>
      <w:lvlText w:val="•"/>
      <w:lvlJc w:val="left"/>
    </w:lvl>
    <w:lvl w:ilvl="1" w:tplc="85A0C740">
      <w:numFmt w:val="decimal"/>
      <w:lvlText w:val=""/>
      <w:lvlJc w:val="left"/>
    </w:lvl>
    <w:lvl w:ilvl="2" w:tplc="926A70EE">
      <w:numFmt w:val="decimal"/>
      <w:lvlText w:val=""/>
      <w:lvlJc w:val="left"/>
    </w:lvl>
    <w:lvl w:ilvl="3" w:tplc="CC069234">
      <w:numFmt w:val="decimal"/>
      <w:lvlText w:val=""/>
      <w:lvlJc w:val="left"/>
    </w:lvl>
    <w:lvl w:ilvl="4" w:tplc="3DFA2364">
      <w:numFmt w:val="decimal"/>
      <w:lvlText w:val=""/>
      <w:lvlJc w:val="left"/>
    </w:lvl>
    <w:lvl w:ilvl="5" w:tplc="0818D99A">
      <w:numFmt w:val="decimal"/>
      <w:lvlText w:val=""/>
      <w:lvlJc w:val="left"/>
    </w:lvl>
    <w:lvl w:ilvl="6" w:tplc="8C44A498">
      <w:numFmt w:val="decimal"/>
      <w:lvlText w:val=""/>
      <w:lvlJc w:val="left"/>
    </w:lvl>
    <w:lvl w:ilvl="7" w:tplc="D4520FAE">
      <w:numFmt w:val="decimal"/>
      <w:lvlText w:val=""/>
      <w:lvlJc w:val="left"/>
    </w:lvl>
    <w:lvl w:ilvl="8" w:tplc="05C23E20">
      <w:numFmt w:val="decimal"/>
      <w:lvlText w:val=""/>
      <w:lvlJc w:val="left"/>
    </w:lvl>
  </w:abstractNum>
  <w:abstractNum w:abstractNumId="31" w15:restartNumberingAfterBreak="0">
    <w:nsid w:val="4F4EF005"/>
    <w:multiLevelType w:val="hybridMultilevel"/>
    <w:tmpl w:val="7786B53C"/>
    <w:lvl w:ilvl="0" w:tplc="5F58112C">
      <w:start w:val="1"/>
      <w:numFmt w:val="decimal"/>
      <w:lvlText w:val="%1"/>
      <w:lvlJc w:val="left"/>
    </w:lvl>
    <w:lvl w:ilvl="1" w:tplc="2CEA796A">
      <w:start w:val="3"/>
      <w:numFmt w:val="lowerLetter"/>
      <w:lvlText w:val="(%2)"/>
      <w:lvlJc w:val="left"/>
    </w:lvl>
    <w:lvl w:ilvl="2" w:tplc="768EC3E8">
      <w:numFmt w:val="decimal"/>
      <w:lvlText w:val=""/>
      <w:lvlJc w:val="left"/>
    </w:lvl>
    <w:lvl w:ilvl="3" w:tplc="25A44940">
      <w:numFmt w:val="decimal"/>
      <w:lvlText w:val=""/>
      <w:lvlJc w:val="left"/>
    </w:lvl>
    <w:lvl w:ilvl="4" w:tplc="69684642">
      <w:numFmt w:val="decimal"/>
      <w:lvlText w:val=""/>
      <w:lvlJc w:val="left"/>
    </w:lvl>
    <w:lvl w:ilvl="5" w:tplc="CD828090">
      <w:numFmt w:val="decimal"/>
      <w:lvlText w:val=""/>
      <w:lvlJc w:val="left"/>
    </w:lvl>
    <w:lvl w:ilvl="6" w:tplc="A0EA977C">
      <w:numFmt w:val="decimal"/>
      <w:lvlText w:val=""/>
      <w:lvlJc w:val="left"/>
    </w:lvl>
    <w:lvl w:ilvl="7" w:tplc="13CE4B30">
      <w:numFmt w:val="decimal"/>
      <w:lvlText w:val=""/>
      <w:lvlJc w:val="left"/>
    </w:lvl>
    <w:lvl w:ilvl="8" w:tplc="D73C9D36">
      <w:numFmt w:val="decimal"/>
      <w:lvlText w:val=""/>
      <w:lvlJc w:val="left"/>
    </w:lvl>
  </w:abstractNum>
  <w:abstractNum w:abstractNumId="32" w15:restartNumberingAfterBreak="0">
    <w:nsid w:val="51EAD36B"/>
    <w:multiLevelType w:val="hybridMultilevel"/>
    <w:tmpl w:val="DCE4A136"/>
    <w:lvl w:ilvl="0" w:tplc="3E20A2E6">
      <w:start w:val="1"/>
      <w:numFmt w:val="bullet"/>
      <w:lvlText w:val="•"/>
      <w:lvlJc w:val="left"/>
    </w:lvl>
    <w:lvl w:ilvl="1" w:tplc="DBF048B0">
      <w:numFmt w:val="decimal"/>
      <w:lvlText w:val=""/>
      <w:lvlJc w:val="left"/>
    </w:lvl>
    <w:lvl w:ilvl="2" w:tplc="F134FF24">
      <w:numFmt w:val="decimal"/>
      <w:lvlText w:val=""/>
      <w:lvlJc w:val="left"/>
    </w:lvl>
    <w:lvl w:ilvl="3" w:tplc="B31A70A4">
      <w:numFmt w:val="decimal"/>
      <w:lvlText w:val=""/>
      <w:lvlJc w:val="left"/>
    </w:lvl>
    <w:lvl w:ilvl="4" w:tplc="CEDC8268">
      <w:numFmt w:val="decimal"/>
      <w:lvlText w:val=""/>
      <w:lvlJc w:val="left"/>
    </w:lvl>
    <w:lvl w:ilvl="5" w:tplc="48762EA4">
      <w:numFmt w:val="decimal"/>
      <w:lvlText w:val=""/>
      <w:lvlJc w:val="left"/>
    </w:lvl>
    <w:lvl w:ilvl="6" w:tplc="968E733C">
      <w:numFmt w:val="decimal"/>
      <w:lvlText w:val=""/>
      <w:lvlJc w:val="left"/>
    </w:lvl>
    <w:lvl w:ilvl="7" w:tplc="61407438">
      <w:numFmt w:val="decimal"/>
      <w:lvlText w:val=""/>
      <w:lvlJc w:val="left"/>
    </w:lvl>
    <w:lvl w:ilvl="8" w:tplc="FF0281BA">
      <w:numFmt w:val="decimal"/>
      <w:lvlText w:val=""/>
      <w:lvlJc w:val="left"/>
    </w:lvl>
  </w:abstractNum>
  <w:abstractNum w:abstractNumId="33" w15:restartNumberingAfterBreak="0">
    <w:nsid w:val="520EEDD1"/>
    <w:multiLevelType w:val="hybridMultilevel"/>
    <w:tmpl w:val="B9709206"/>
    <w:lvl w:ilvl="0" w:tplc="66EA817A">
      <w:start w:val="9"/>
      <w:numFmt w:val="lowerLetter"/>
      <w:lvlText w:val="(%1)"/>
      <w:lvlJc w:val="left"/>
    </w:lvl>
    <w:lvl w:ilvl="1" w:tplc="A4B8B60C">
      <w:start w:val="6"/>
      <w:numFmt w:val="lowerLetter"/>
      <w:lvlText w:val="(%2)"/>
      <w:lvlJc w:val="left"/>
    </w:lvl>
    <w:lvl w:ilvl="2" w:tplc="98EE5608">
      <w:numFmt w:val="decimal"/>
      <w:lvlText w:val=""/>
      <w:lvlJc w:val="left"/>
    </w:lvl>
    <w:lvl w:ilvl="3" w:tplc="C4546FA0">
      <w:numFmt w:val="decimal"/>
      <w:lvlText w:val=""/>
      <w:lvlJc w:val="left"/>
    </w:lvl>
    <w:lvl w:ilvl="4" w:tplc="DFAEAB7A">
      <w:numFmt w:val="decimal"/>
      <w:lvlText w:val=""/>
      <w:lvlJc w:val="left"/>
    </w:lvl>
    <w:lvl w:ilvl="5" w:tplc="13D419CE">
      <w:numFmt w:val="decimal"/>
      <w:lvlText w:val=""/>
      <w:lvlJc w:val="left"/>
    </w:lvl>
    <w:lvl w:ilvl="6" w:tplc="375E971C">
      <w:numFmt w:val="decimal"/>
      <w:lvlText w:val=""/>
      <w:lvlJc w:val="left"/>
    </w:lvl>
    <w:lvl w:ilvl="7" w:tplc="BC825482">
      <w:numFmt w:val="decimal"/>
      <w:lvlText w:val=""/>
      <w:lvlJc w:val="left"/>
    </w:lvl>
    <w:lvl w:ilvl="8" w:tplc="8E086764">
      <w:numFmt w:val="decimal"/>
      <w:lvlText w:val=""/>
      <w:lvlJc w:val="left"/>
    </w:lvl>
  </w:abstractNum>
  <w:abstractNum w:abstractNumId="34" w15:restartNumberingAfterBreak="0">
    <w:nsid w:val="542289EC"/>
    <w:multiLevelType w:val="hybridMultilevel"/>
    <w:tmpl w:val="DADCAF8C"/>
    <w:lvl w:ilvl="0" w:tplc="FB64C7CE">
      <w:start w:val="1"/>
      <w:numFmt w:val="bullet"/>
      <w:lvlText w:val="•"/>
      <w:lvlJc w:val="left"/>
    </w:lvl>
    <w:lvl w:ilvl="1" w:tplc="C944D938">
      <w:numFmt w:val="decimal"/>
      <w:lvlText w:val=""/>
      <w:lvlJc w:val="left"/>
    </w:lvl>
    <w:lvl w:ilvl="2" w:tplc="F8322070">
      <w:numFmt w:val="decimal"/>
      <w:lvlText w:val=""/>
      <w:lvlJc w:val="left"/>
    </w:lvl>
    <w:lvl w:ilvl="3" w:tplc="AA1C8902">
      <w:numFmt w:val="decimal"/>
      <w:lvlText w:val=""/>
      <w:lvlJc w:val="left"/>
    </w:lvl>
    <w:lvl w:ilvl="4" w:tplc="827AF1E6">
      <w:numFmt w:val="decimal"/>
      <w:lvlText w:val=""/>
      <w:lvlJc w:val="left"/>
    </w:lvl>
    <w:lvl w:ilvl="5" w:tplc="9C5023B4">
      <w:numFmt w:val="decimal"/>
      <w:lvlText w:val=""/>
      <w:lvlJc w:val="left"/>
    </w:lvl>
    <w:lvl w:ilvl="6" w:tplc="29FE39C2">
      <w:numFmt w:val="decimal"/>
      <w:lvlText w:val=""/>
      <w:lvlJc w:val="left"/>
    </w:lvl>
    <w:lvl w:ilvl="7" w:tplc="28E68894">
      <w:numFmt w:val="decimal"/>
      <w:lvlText w:val=""/>
      <w:lvlJc w:val="left"/>
    </w:lvl>
    <w:lvl w:ilvl="8" w:tplc="03C030E2">
      <w:numFmt w:val="decimal"/>
      <w:lvlText w:val=""/>
      <w:lvlJc w:val="left"/>
    </w:lvl>
  </w:abstractNum>
  <w:abstractNum w:abstractNumId="35" w15:restartNumberingAfterBreak="0">
    <w:nsid w:val="5577F8E1"/>
    <w:multiLevelType w:val="hybridMultilevel"/>
    <w:tmpl w:val="A718F264"/>
    <w:lvl w:ilvl="0" w:tplc="988EF554">
      <w:start w:val="1"/>
      <w:numFmt w:val="bullet"/>
      <w:lvlText w:val="•"/>
      <w:lvlJc w:val="left"/>
    </w:lvl>
    <w:lvl w:ilvl="1" w:tplc="32B82354">
      <w:numFmt w:val="decimal"/>
      <w:lvlText w:val=""/>
      <w:lvlJc w:val="left"/>
    </w:lvl>
    <w:lvl w:ilvl="2" w:tplc="9A2C0E10">
      <w:numFmt w:val="decimal"/>
      <w:lvlText w:val=""/>
      <w:lvlJc w:val="left"/>
    </w:lvl>
    <w:lvl w:ilvl="3" w:tplc="DAF8F462">
      <w:numFmt w:val="decimal"/>
      <w:lvlText w:val=""/>
      <w:lvlJc w:val="left"/>
    </w:lvl>
    <w:lvl w:ilvl="4" w:tplc="0A18B712">
      <w:numFmt w:val="decimal"/>
      <w:lvlText w:val=""/>
      <w:lvlJc w:val="left"/>
    </w:lvl>
    <w:lvl w:ilvl="5" w:tplc="B254D21E">
      <w:numFmt w:val="decimal"/>
      <w:lvlText w:val=""/>
      <w:lvlJc w:val="left"/>
    </w:lvl>
    <w:lvl w:ilvl="6" w:tplc="6E981952">
      <w:numFmt w:val="decimal"/>
      <w:lvlText w:val=""/>
      <w:lvlJc w:val="left"/>
    </w:lvl>
    <w:lvl w:ilvl="7" w:tplc="BC76A29C">
      <w:numFmt w:val="decimal"/>
      <w:lvlText w:val=""/>
      <w:lvlJc w:val="left"/>
    </w:lvl>
    <w:lvl w:ilvl="8" w:tplc="E500D410">
      <w:numFmt w:val="decimal"/>
      <w:lvlText w:val=""/>
      <w:lvlJc w:val="left"/>
    </w:lvl>
  </w:abstractNum>
  <w:abstractNum w:abstractNumId="36" w15:restartNumberingAfterBreak="0">
    <w:nsid w:val="579478FE"/>
    <w:multiLevelType w:val="hybridMultilevel"/>
    <w:tmpl w:val="1AAA5134"/>
    <w:lvl w:ilvl="0" w:tplc="B010F314">
      <w:start w:val="1"/>
      <w:numFmt w:val="bullet"/>
      <w:lvlText w:val="•"/>
      <w:lvlJc w:val="left"/>
    </w:lvl>
    <w:lvl w:ilvl="1" w:tplc="1004EE0C">
      <w:numFmt w:val="decimal"/>
      <w:lvlText w:val=""/>
      <w:lvlJc w:val="left"/>
    </w:lvl>
    <w:lvl w:ilvl="2" w:tplc="E2E0393E">
      <w:numFmt w:val="decimal"/>
      <w:lvlText w:val=""/>
      <w:lvlJc w:val="left"/>
    </w:lvl>
    <w:lvl w:ilvl="3" w:tplc="5A98D1D8">
      <w:numFmt w:val="decimal"/>
      <w:lvlText w:val=""/>
      <w:lvlJc w:val="left"/>
    </w:lvl>
    <w:lvl w:ilvl="4" w:tplc="EEFCEAA2">
      <w:numFmt w:val="decimal"/>
      <w:lvlText w:val=""/>
      <w:lvlJc w:val="left"/>
    </w:lvl>
    <w:lvl w:ilvl="5" w:tplc="CE1A6B72">
      <w:numFmt w:val="decimal"/>
      <w:lvlText w:val=""/>
      <w:lvlJc w:val="left"/>
    </w:lvl>
    <w:lvl w:ilvl="6" w:tplc="8F32D898">
      <w:numFmt w:val="decimal"/>
      <w:lvlText w:val=""/>
      <w:lvlJc w:val="left"/>
    </w:lvl>
    <w:lvl w:ilvl="7" w:tplc="D368D784">
      <w:numFmt w:val="decimal"/>
      <w:lvlText w:val=""/>
      <w:lvlJc w:val="left"/>
    </w:lvl>
    <w:lvl w:ilvl="8" w:tplc="90EAD9EA">
      <w:numFmt w:val="decimal"/>
      <w:lvlText w:val=""/>
      <w:lvlJc w:val="left"/>
    </w:lvl>
  </w:abstractNum>
  <w:abstractNum w:abstractNumId="37" w15:restartNumberingAfterBreak="0">
    <w:nsid w:val="57E4CCAF"/>
    <w:multiLevelType w:val="hybridMultilevel"/>
    <w:tmpl w:val="7B4EEEA8"/>
    <w:lvl w:ilvl="0" w:tplc="21123296">
      <w:start w:val="1"/>
      <w:numFmt w:val="bullet"/>
      <w:lvlText w:val="•"/>
      <w:lvlJc w:val="left"/>
    </w:lvl>
    <w:lvl w:ilvl="1" w:tplc="20F80FAE">
      <w:numFmt w:val="decimal"/>
      <w:lvlText w:val=""/>
      <w:lvlJc w:val="left"/>
    </w:lvl>
    <w:lvl w:ilvl="2" w:tplc="EC2632E6">
      <w:numFmt w:val="decimal"/>
      <w:lvlText w:val=""/>
      <w:lvlJc w:val="left"/>
    </w:lvl>
    <w:lvl w:ilvl="3" w:tplc="2482116E">
      <w:numFmt w:val="decimal"/>
      <w:lvlText w:val=""/>
      <w:lvlJc w:val="left"/>
    </w:lvl>
    <w:lvl w:ilvl="4" w:tplc="1B48F2C2">
      <w:numFmt w:val="decimal"/>
      <w:lvlText w:val=""/>
      <w:lvlJc w:val="left"/>
    </w:lvl>
    <w:lvl w:ilvl="5" w:tplc="86607B24">
      <w:numFmt w:val="decimal"/>
      <w:lvlText w:val=""/>
      <w:lvlJc w:val="left"/>
    </w:lvl>
    <w:lvl w:ilvl="6" w:tplc="B6A443E8">
      <w:numFmt w:val="decimal"/>
      <w:lvlText w:val=""/>
      <w:lvlJc w:val="left"/>
    </w:lvl>
    <w:lvl w:ilvl="7" w:tplc="84CAD5A4">
      <w:numFmt w:val="decimal"/>
      <w:lvlText w:val=""/>
      <w:lvlJc w:val="left"/>
    </w:lvl>
    <w:lvl w:ilvl="8" w:tplc="822E7D72">
      <w:numFmt w:val="decimal"/>
      <w:lvlText w:val=""/>
      <w:lvlJc w:val="left"/>
    </w:lvl>
  </w:abstractNum>
  <w:abstractNum w:abstractNumId="38" w15:restartNumberingAfterBreak="0">
    <w:nsid w:val="580BD78F"/>
    <w:multiLevelType w:val="hybridMultilevel"/>
    <w:tmpl w:val="1A56C838"/>
    <w:lvl w:ilvl="0" w:tplc="9F2E2666">
      <w:start w:val="1"/>
      <w:numFmt w:val="bullet"/>
      <w:lvlText w:val="•"/>
      <w:lvlJc w:val="left"/>
    </w:lvl>
    <w:lvl w:ilvl="1" w:tplc="9364E12E">
      <w:numFmt w:val="decimal"/>
      <w:lvlText w:val=""/>
      <w:lvlJc w:val="left"/>
    </w:lvl>
    <w:lvl w:ilvl="2" w:tplc="4EC8E63A">
      <w:numFmt w:val="decimal"/>
      <w:lvlText w:val=""/>
      <w:lvlJc w:val="left"/>
    </w:lvl>
    <w:lvl w:ilvl="3" w:tplc="BF1C12C6">
      <w:numFmt w:val="decimal"/>
      <w:lvlText w:val=""/>
      <w:lvlJc w:val="left"/>
    </w:lvl>
    <w:lvl w:ilvl="4" w:tplc="83D619C6">
      <w:numFmt w:val="decimal"/>
      <w:lvlText w:val=""/>
      <w:lvlJc w:val="left"/>
    </w:lvl>
    <w:lvl w:ilvl="5" w:tplc="34BECFE0">
      <w:numFmt w:val="decimal"/>
      <w:lvlText w:val=""/>
      <w:lvlJc w:val="left"/>
    </w:lvl>
    <w:lvl w:ilvl="6" w:tplc="45FA1060">
      <w:numFmt w:val="decimal"/>
      <w:lvlText w:val=""/>
      <w:lvlJc w:val="left"/>
    </w:lvl>
    <w:lvl w:ilvl="7" w:tplc="AB462FE2">
      <w:numFmt w:val="decimal"/>
      <w:lvlText w:val=""/>
      <w:lvlJc w:val="left"/>
    </w:lvl>
    <w:lvl w:ilvl="8" w:tplc="5496684A">
      <w:numFmt w:val="decimal"/>
      <w:lvlText w:val=""/>
      <w:lvlJc w:val="left"/>
    </w:lvl>
  </w:abstractNum>
  <w:abstractNum w:abstractNumId="39" w15:restartNumberingAfterBreak="0">
    <w:nsid w:val="5C482A97"/>
    <w:multiLevelType w:val="hybridMultilevel"/>
    <w:tmpl w:val="DFD69E9E"/>
    <w:lvl w:ilvl="0" w:tplc="856E6FC8">
      <w:start w:val="1"/>
      <w:numFmt w:val="bullet"/>
      <w:lvlText w:val="•"/>
      <w:lvlJc w:val="left"/>
    </w:lvl>
    <w:lvl w:ilvl="1" w:tplc="AC7ED336">
      <w:numFmt w:val="decimal"/>
      <w:lvlText w:val=""/>
      <w:lvlJc w:val="left"/>
    </w:lvl>
    <w:lvl w:ilvl="2" w:tplc="5420BB3C">
      <w:numFmt w:val="decimal"/>
      <w:lvlText w:val=""/>
      <w:lvlJc w:val="left"/>
    </w:lvl>
    <w:lvl w:ilvl="3" w:tplc="9A229D8E">
      <w:numFmt w:val="decimal"/>
      <w:lvlText w:val=""/>
      <w:lvlJc w:val="left"/>
    </w:lvl>
    <w:lvl w:ilvl="4" w:tplc="DD36FEAE">
      <w:numFmt w:val="decimal"/>
      <w:lvlText w:val=""/>
      <w:lvlJc w:val="left"/>
    </w:lvl>
    <w:lvl w:ilvl="5" w:tplc="F8DE0936">
      <w:numFmt w:val="decimal"/>
      <w:lvlText w:val=""/>
      <w:lvlJc w:val="left"/>
    </w:lvl>
    <w:lvl w:ilvl="6" w:tplc="E1644200">
      <w:numFmt w:val="decimal"/>
      <w:lvlText w:val=""/>
      <w:lvlJc w:val="left"/>
    </w:lvl>
    <w:lvl w:ilvl="7" w:tplc="7B7A53A6">
      <w:numFmt w:val="decimal"/>
      <w:lvlText w:val=""/>
      <w:lvlJc w:val="left"/>
    </w:lvl>
    <w:lvl w:ilvl="8" w:tplc="7E9EF45A">
      <w:numFmt w:val="decimal"/>
      <w:lvlText w:val=""/>
      <w:lvlJc w:val="left"/>
    </w:lvl>
  </w:abstractNum>
  <w:abstractNum w:abstractNumId="40" w15:restartNumberingAfterBreak="0">
    <w:nsid w:val="5E884ADC"/>
    <w:multiLevelType w:val="hybridMultilevel"/>
    <w:tmpl w:val="7B4A4CFA"/>
    <w:lvl w:ilvl="0" w:tplc="6E42538C">
      <w:start w:val="1"/>
      <w:numFmt w:val="bullet"/>
      <w:lvlText w:val="•"/>
      <w:lvlJc w:val="left"/>
    </w:lvl>
    <w:lvl w:ilvl="1" w:tplc="8CC60928">
      <w:numFmt w:val="decimal"/>
      <w:lvlText w:val=""/>
      <w:lvlJc w:val="left"/>
    </w:lvl>
    <w:lvl w:ilvl="2" w:tplc="7EF63EE2">
      <w:numFmt w:val="decimal"/>
      <w:lvlText w:val=""/>
      <w:lvlJc w:val="left"/>
    </w:lvl>
    <w:lvl w:ilvl="3" w:tplc="D9B0F450">
      <w:numFmt w:val="decimal"/>
      <w:lvlText w:val=""/>
      <w:lvlJc w:val="left"/>
    </w:lvl>
    <w:lvl w:ilvl="4" w:tplc="474E07E0">
      <w:numFmt w:val="decimal"/>
      <w:lvlText w:val=""/>
      <w:lvlJc w:val="left"/>
    </w:lvl>
    <w:lvl w:ilvl="5" w:tplc="8A9E73CA">
      <w:numFmt w:val="decimal"/>
      <w:lvlText w:val=""/>
      <w:lvlJc w:val="left"/>
    </w:lvl>
    <w:lvl w:ilvl="6" w:tplc="A2B8E202">
      <w:numFmt w:val="decimal"/>
      <w:lvlText w:val=""/>
      <w:lvlJc w:val="left"/>
    </w:lvl>
    <w:lvl w:ilvl="7" w:tplc="FD66C4B0">
      <w:numFmt w:val="decimal"/>
      <w:lvlText w:val=""/>
      <w:lvlJc w:val="left"/>
    </w:lvl>
    <w:lvl w:ilvl="8" w:tplc="20A24184">
      <w:numFmt w:val="decimal"/>
      <w:lvlText w:val=""/>
      <w:lvlJc w:val="left"/>
    </w:lvl>
  </w:abstractNum>
  <w:abstractNum w:abstractNumId="41" w15:restartNumberingAfterBreak="0">
    <w:nsid w:val="614FD4A1"/>
    <w:multiLevelType w:val="hybridMultilevel"/>
    <w:tmpl w:val="06E28790"/>
    <w:lvl w:ilvl="0" w:tplc="443AE6A0">
      <w:start w:val="1"/>
      <w:numFmt w:val="bullet"/>
      <w:lvlText w:val="•"/>
      <w:lvlJc w:val="left"/>
    </w:lvl>
    <w:lvl w:ilvl="1" w:tplc="1FE04446">
      <w:numFmt w:val="decimal"/>
      <w:lvlText w:val=""/>
      <w:lvlJc w:val="left"/>
    </w:lvl>
    <w:lvl w:ilvl="2" w:tplc="9EFA5BF8">
      <w:numFmt w:val="decimal"/>
      <w:lvlText w:val=""/>
      <w:lvlJc w:val="left"/>
    </w:lvl>
    <w:lvl w:ilvl="3" w:tplc="A5568438">
      <w:numFmt w:val="decimal"/>
      <w:lvlText w:val=""/>
      <w:lvlJc w:val="left"/>
    </w:lvl>
    <w:lvl w:ilvl="4" w:tplc="BC5EE904">
      <w:numFmt w:val="decimal"/>
      <w:lvlText w:val=""/>
      <w:lvlJc w:val="left"/>
    </w:lvl>
    <w:lvl w:ilvl="5" w:tplc="C2D622AE">
      <w:numFmt w:val="decimal"/>
      <w:lvlText w:val=""/>
      <w:lvlJc w:val="left"/>
    </w:lvl>
    <w:lvl w:ilvl="6" w:tplc="BD1E9CEE">
      <w:numFmt w:val="decimal"/>
      <w:lvlText w:val=""/>
      <w:lvlJc w:val="left"/>
    </w:lvl>
    <w:lvl w:ilvl="7" w:tplc="F4DC4EA2">
      <w:numFmt w:val="decimal"/>
      <w:lvlText w:val=""/>
      <w:lvlJc w:val="left"/>
    </w:lvl>
    <w:lvl w:ilvl="8" w:tplc="049A00DC">
      <w:numFmt w:val="decimal"/>
      <w:lvlText w:val=""/>
      <w:lvlJc w:val="left"/>
    </w:lvl>
  </w:abstractNum>
  <w:abstractNum w:abstractNumId="42" w15:restartNumberingAfterBreak="0">
    <w:nsid w:val="649BB77C"/>
    <w:multiLevelType w:val="hybridMultilevel"/>
    <w:tmpl w:val="0B94A36E"/>
    <w:lvl w:ilvl="0" w:tplc="61743762">
      <w:start w:val="1"/>
      <w:numFmt w:val="lowerRoman"/>
      <w:lvlText w:val="(%1)"/>
      <w:lvlJc w:val="left"/>
    </w:lvl>
    <w:lvl w:ilvl="1" w:tplc="02A2688A">
      <w:numFmt w:val="decimal"/>
      <w:lvlText w:val=""/>
      <w:lvlJc w:val="left"/>
    </w:lvl>
    <w:lvl w:ilvl="2" w:tplc="EF5422E4">
      <w:numFmt w:val="decimal"/>
      <w:lvlText w:val=""/>
      <w:lvlJc w:val="left"/>
    </w:lvl>
    <w:lvl w:ilvl="3" w:tplc="064274B8">
      <w:numFmt w:val="decimal"/>
      <w:lvlText w:val=""/>
      <w:lvlJc w:val="left"/>
    </w:lvl>
    <w:lvl w:ilvl="4" w:tplc="2B3872F6">
      <w:numFmt w:val="decimal"/>
      <w:lvlText w:val=""/>
      <w:lvlJc w:val="left"/>
    </w:lvl>
    <w:lvl w:ilvl="5" w:tplc="A3D6DC9A">
      <w:numFmt w:val="decimal"/>
      <w:lvlText w:val=""/>
      <w:lvlJc w:val="left"/>
    </w:lvl>
    <w:lvl w:ilvl="6" w:tplc="83F605C8">
      <w:numFmt w:val="decimal"/>
      <w:lvlText w:val=""/>
      <w:lvlJc w:val="left"/>
    </w:lvl>
    <w:lvl w:ilvl="7" w:tplc="3FA8A56C">
      <w:numFmt w:val="decimal"/>
      <w:lvlText w:val=""/>
      <w:lvlJc w:val="left"/>
    </w:lvl>
    <w:lvl w:ilvl="8" w:tplc="8A649316">
      <w:numFmt w:val="decimal"/>
      <w:lvlText w:val=""/>
      <w:lvlJc w:val="left"/>
    </w:lvl>
  </w:abstractNum>
  <w:abstractNum w:abstractNumId="43" w15:restartNumberingAfterBreak="0">
    <w:nsid w:val="684A481A"/>
    <w:multiLevelType w:val="hybridMultilevel"/>
    <w:tmpl w:val="784A4B5A"/>
    <w:lvl w:ilvl="0" w:tplc="2E862972">
      <w:start w:val="1"/>
      <w:numFmt w:val="bullet"/>
      <w:lvlText w:val="•"/>
      <w:lvlJc w:val="left"/>
    </w:lvl>
    <w:lvl w:ilvl="1" w:tplc="899ED2E8">
      <w:numFmt w:val="decimal"/>
      <w:lvlText w:val=""/>
      <w:lvlJc w:val="left"/>
    </w:lvl>
    <w:lvl w:ilvl="2" w:tplc="957E65CE">
      <w:numFmt w:val="decimal"/>
      <w:lvlText w:val=""/>
      <w:lvlJc w:val="left"/>
    </w:lvl>
    <w:lvl w:ilvl="3" w:tplc="E7F8DCCE">
      <w:numFmt w:val="decimal"/>
      <w:lvlText w:val=""/>
      <w:lvlJc w:val="left"/>
    </w:lvl>
    <w:lvl w:ilvl="4" w:tplc="893A1B24">
      <w:numFmt w:val="decimal"/>
      <w:lvlText w:val=""/>
      <w:lvlJc w:val="left"/>
    </w:lvl>
    <w:lvl w:ilvl="5" w:tplc="9A6496CA">
      <w:numFmt w:val="decimal"/>
      <w:lvlText w:val=""/>
      <w:lvlJc w:val="left"/>
    </w:lvl>
    <w:lvl w:ilvl="6" w:tplc="7040A934">
      <w:numFmt w:val="decimal"/>
      <w:lvlText w:val=""/>
      <w:lvlJc w:val="left"/>
    </w:lvl>
    <w:lvl w:ilvl="7" w:tplc="D2F6DC06">
      <w:numFmt w:val="decimal"/>
      <w:lvlText w:val=""/>
      <w:lvlJc w:val="left"/>
    </w:lvl>
    <w:lvl w:ilvl="8" w:tplc="8B527342">
      <w:numFmt w:val="decimal"/>
      <w:lvlText w:val=""/>
      <w:lvlJc w:val="left"/>
    </w:lvl>
  </w:abstractNum>
  <w:abstractNum w:abstractNumId="44" w15:restartNumberingAfterBreak="0">
    <w:nsid w:val="6A2342EC"/>
    <w:multiLevelType w:val="hybridMultilevel"/>
    <w:tmpl w:val="05562B94"/>
    <w:lvl w:ilvl="0" w:tplc="4B64B80A">
      <w:start w:val="1"/>
      <w:numFmt w:val="bullet"/>
      <w:lvlText w:val="•"/>
      <w:lvlJc w:val="left"/>
    </w:lvl>
    <w:lvl w:ilvl="1" w:tplc="F35C9F34">
      <w:numFmt w:val="decimal"/>
      <w:lvlText w:val=""/>
      <w:lvlJc w:val="left"/>
    </w:lvl>
    <w:lvl w:ilvl="2" w:tplc="2D28BBA6">
      <w:numFmt w:val="decimal"/>
      <w:lvlText w:val=""/>
      <w:lvlJc w:val="left"/>
    </w:lvl>
    <w:lvl w:ilvl="3" w:tplc="4EA6910E">
      <w:numFmt w:val="decimal"/>
      <w:lvlText w:val=""/>
      <w:lvlJc w:val="left"/>
    </w:lvl>
    <w:lvl w:ilvl="4" w:tplc="62641C92">
      <w:numFmt w:val="decimal"/>
      <w:lvlText w:val=""/>
      <w:lvlJc w:val="left"/>
    </w:lvl>
    <w:lvl w:ilvl="5" w:tplc="838630C2">
      <w:numFmt w:val="decimal"/>
      <w:lvlText w:val=""/>
      <w:lvlJc w:val="left"/>
    </w:lvl>
    <w:lvl w:ilvl="6" w:tplc="117ACA36">
      <w:numFmt w:val="decimal"/>
      <w:lvlText w:val=""/>
      <w:lvlJc w:val="left"/>
    </w:lvl>
    <w:lvl w:ilvl="7" w:tplc="EE945A74">
      <w:numFmt w:val="decimal"/>
      <w:lvlText w:val=""/>
      <w:lvlJc w:val="left"/>
    </w:lvl>
    <w:lvl w:ilvl="8" w:tplc="9F8AED34">
      <w:numFmt w:val="decimal"/>
      <w:lvlText w:val=""/>
      <w:lvlJc w:val="left"/>
    </w:lvl>
  </w:abstractNum>
  <w:abstractNum w:abstractNumId="45" w15:restartNumberingAfterBreak="0">
    <w:nsid w:val="6CEAF087"/>
    <w:multiLevelType w:val="hybridMultilevel"/>
    <w:tmpl w:val="EDC424F0"/>
    <w:lvl w:ilvl="0" w:tplc="94C86586">
      <w:start w:val="1"/>
      <w:numFmt w:val="bullet"/>
      <w:lvlText w:val="•"/>
      <w:lvlJc w:val="left"/>
    </w:lvl>
    <w:lvl w:ilvl="1" w:tplc="3AA064F8">
      <w:numFmt w:val="decimal"/>
      <w:lvlText w:val=""/>
      <w:lvlJc w:val="left"/>
    </w:lvl>
    <w:lvl w:ilvl="2" w:tplc="0E542C30">
      <w:numFmt w:val="decimal"/>
      <w:lvlText w:val=""/>
      <w:lvlJc w:val="left"/>
    </w:lvl>
    <w:lvl w:ilvl="3" w:tplc="BBBE157A">
      <w:numFmt w:val="decimal"/>
      <w:lvlText w:val=""/>
      <w:lvlJc w:val="left"/>
    </w:lvl>
    <w:lvl w:ilvl="4" w:tplc="2E108218">
      <w:numFmt w:val="decimal"/>
      <w:lvlText w:val=""/>
      <w:lvlJc w:val="left"/>
    </w:lvl>
    <w:lvl w:ilvl="5" w:tplc="303CD4D8">
      <w:numFmt w:val="decimal"/>
      <w:lvlText w:val=""/>
      <w:lvlJc w:val="left"/>
    </w:lvl>
    <w:lvl w:ilvl="6" w:tplc="EE2220B2">
      <w:numFmt w:val="decimal"/>
      <w:lvlText w:val=""/>
      <w:lvlJc w:val="left"/>
    </w:lvl>
    <w:lvl w:ilvl="7" w:tplc="A44C6024">
      <w:numFmt w:val="decimal"/>
      <w:lvlText w:val=""/>
      <w:lvlJc w:val="left"/>
    </w:lvl>
    <w:lvl w:ilvl="8" w:tplc="C8621038">
      <w:numFmt w:val="decimal"/>
      <w:lvlText w:val=""/>
      <w:lvlJc w:val="left"/>
    </w:lvl>
  </w:abstractNum>
  <w:abstractNum w:abstractNumId="46" w15:restartNumberingAfterBreak="0">
    <w:nsid w:val="6DE91B18"/>
    <w:multiLevelType w:val="hybridMultilevel"/>
    <w:tmpl w:val="98BE2E12"/>
    <w:lvl w:ilvl="0" w:tplc="CBE6EF8C">
      <w:start w:val="1"/>
      <w:numFmt w:val="bullet"/>
      <w:lvlText w:val="•"/>
      <w:lvlJc w:val="left"/>
    </w:lvl>
    <w:lvl w:ilvl="1" w:tplc="4EF22E06">
      <w:numFmt w:val="decimal"/>
      <w:lvlText w:val=""/>
      <w:lvlJc w:val="left"/>
    </w:lvl>
    <w:lvl w:ilvl="2" w:tplc="2A2428BA">
      <w:numFmt w:val="decimal"/>
      <w:lvlText w:val=""/>
      <w:lvlJc w:val="left"/>
    </w:lvl>
    <w:lvl w:ilvl="3" w:tplc="B078603C">
      <w:numFmt w:val="decimal"/>
      <w:lvlText w:val=""/>
      <w:lvlJc w:val="left"/>
    </w:lvl>
    <w:lvl w:ilvl="4" w:tplc="673A96E4">
      <w:numFmt w:val="decimal"/>
      <w:lvlText w:val=""/>
      <w:lvlJc w:val="left"/>
    </w:lvl>
    <w:lvl w:ilvl="5" w:tplc="29CCD93A">
      <w:numFmt w:val="decimal"/>
      <w:lvlText w:val=""/>
      <w:lvlJc w:val="left"/>
    </w:lvl>
    <w:lvl w:ilvl="6" w:tplc="31E4775A">
      <w:numFmt w:val="decimal"/>
      <w:lvlText w:val=""/>
      <w:lvlJc w:val="left"/>
    </w:lvl>
    <w:lvl w:ilvl="7" w:tplc="1720987E">
      <w:numFmt w:val="decimal"/>
      <w:lvlText w:val=""/>
      <w:lvlJc w:val="left"/>
    </w:lvl>
    <w:lvl w:ilvl="8" w:tplc="B9988846">
      <w:numFmt w:val="decimal"/>
      <w:lvlText w:val=""/>
      <w:lvlJc w:val="left"/>
    </w:lvl>
  </w:abstractNum>
  <w:abstractNum w:abstractNumId="47" w15:restartNumberingAfterBreak="0">
    <w:nsid w:val="70A64E2A"/>
    <w:multiLevelType w:val="hybridMultilevel"/>
    <w:tmpl w:val="7A4AED1A"/>
    <w:lvl w:ilvl="0" w:tplc="A17E02F4">
      <w:start w:val="1"/>
      <w:numFmt w:val="bullet"/>
      <w:lvlText w:val="•"/>
      <w:lvlJc w:val="left"/>
    </w:lvl>
    <w:lvl w:ilvl="1" w:tplc="947E2080">
      <w:numFmt w:val="decimal"/>
      <w:lvlText w:val=""/>
      <w:lvlJc w:val="left"/>
    </w:lvl>
    <w:lvl w:ilvl="2" w:tplc="21982950">
      <w:numFmt w:val="decimal"/>
      <w:lvlText w:val=""/>
      <w:lvlJc w:val="left"/>
    </w:lvl>
    <w:lvl w:ilvl="3" w:tplc="490A6320">
      <w:numFmt w:val="decimal"/>
      <w:lvlText w:val=""/>
      <w:lvlJc w:val="left"/>
    </w:lvl>
    <w:lvl w:ilvl="4" w:tplc="3C0CE796">
      <w:numFmt w:val="decimal"/>
      <w:lvlText w:val=""/>
      <w:lvlJc w:val="left"/>
    </w:lvl>
    <w:lvl w:ilvl="5" w:tplc="2D0A54EE">
      <w:numFmt w:val="decimal"/>
      <w:lvlText w:val=""/>
      <w:lvlJc w:val="left"/>
    </w:lvl>
    <w:lvl w:ilvl="6" w:tplc="98AA512C">
      <w:numFmt w:val="decimal"/>
      <w:lvlText w:val=""/>
      <w:lvlJc w:val="left"/>
    </w:lvl>
    <w:lvl w:ilvl="7" w:tplc="979A6762">
      <w:numFmt w:val="decimal"/>
      <w:lvlText w:val=""/>
      <w:lvlJc w:val="left"/>
    </w:lvl>
    <w:lvl w:ilvl="8" w:tplc="B148C166">
      <w:numFmt w:val="decimal"/>
      <w:lvlText w:val=""/>
      <w:lvlJc w:val="left"/>
    </w:lvl>
  </w:abstractNum>
  <w:abstractNum w:abstractNumId="48" w15:restartNumberingAfterBreak="0">
    <w:nsid w:val="70C6A529"/>
    <w:multiLevelType w:val="hybridMultilevel"/>
    <w:tmpl w:val="F4063050"/>
    <w:lvl w:ilvl="0" w:tplc="C2CA55B2">
      <w:start w:val="1"/>
      <w:numFmt w:val="lowerLetter"/>
      <w:lvlText w:val="%1"/>
      <w:lvlJc w:val="left"/>
    </w:lvl>
    <w:lvl w:ilvl="1" w:tplc="F348BD22">
      <w:start w:val="5"/>
      <w:numFmt w:val="lowerLetter"/>
      <w:lvlText w:val="(%2)"/>
      <w:lvlJc w:val="left"/>
    </w:lvl>
    <w:lvl w:ilvl="2" w:tplc="5418A62A">
      <w:numFmt w:val="decimal"/>
      <w:lvlText w:val=""/>
      <w:lvlJc w:val="left"/>
    </w:lvl>
    <w:lvl w:ilvl="3" w:tplc="39A6EC4C">
      <w:numFmt w:val="decimal"/>
      <w:lvlText w:val=""/>
      <w:lvlJc w:val="left"/>
    </w:lvl>
    <w:lvl w:ilvl="4" w:tplc="9F18FCF6">
      <w:numFmt w:val="decimal"/>
      <w:lvlText w:val=""/>
      <w:lvlJc w:val="left"/>
    </w:lvl>
    <w:lvl w:ilvl="5" w:tplc="3372F7A8">
      <w:numFmt w:val="decimal"/>
      <w:lvlText w:val=""/>
      <w:lvlJc w:val="left"/>
    </w:lvl>
    <w:lvl w:ilvl="6" w:tplc="AA2E2FB6">
      <w:numFmt w:val="decimal"/>
      <w:lvlText w:val=""/>
      <w:lvlJc w:val="left"/>
    </w:lvl>
    <w:lvl w:ilvl="7" w:tplc="E9DAFC40">
      <w:numFmt w:val="decimal"/>
      <w:lvlText w:val=""/>
      <w:lvlJc w:val="left"/>
    </w:lvl>
    <w:lvl w:ilvl="8" w:tplc="E4681F0E">
      <w:numFmt w:val="decimal"/>
      <w:lvlText w:val=""/>
      <w:lvlJc w:val="left"/>
    </w:lvl>
  </w:abstractNum>
  <w:abstractNum w:abstractNumId="49" w15:restartNumberingAfterBreak="0">
    <w:nsid w:val="725A06FB"/>
    <w:multiLevelType w:val="hybridMultilevel"/>
    <w:tmpl w:val="DD92A828"/>
    <w:lvl w:ilvl="0" w:tplc="7F78BEEC">
      <w:start w:val="1"/>
      <w:numFmt w:val="bullet"/>
      <w:lvlText w:val="•"/>
      <w:lvlJc w:val="left"/>
    </w:lvl>
    <w:lvl w:ilvl="1" w:tplc="001EE162">
      <w:numFmt w:val="decimal"/>
      <w:lvlText w:val=""/>
      <w:lvlJc w:val="left"/>
    </w:lvl>
    <w:lvl w:ilvl="2" w:tplc="2008458C">
      <w:numFmt w:val="decimal"/>
      <w:lvlText w:val=""/>
      <w:lvlJc w:val="left"/>
    </w:lvl>
    <w:lvl w:ilvl="3" w:tplc="5FB4D57A">
      <w:numFmt w:val="decimal"/>
      <w:lvlText w:val=""/>
      <w:lvlJc w:val="left"/>
    </w:lvl>
    <w:lvl w:ilvl="4" w:tplc="1F9CE630">
      <w:numFmt w:val="decimal"/>
      <w:lvlText w:val=""/>
      <w:lvlJc w:val="left"/>
    </w:lvl>
    <w:lvl w:ilvl="5" w:tplc="5024E244">
      <w:numFmt w:val="decimal"/>
      <w:lvlText w:val=""/>
      <w:lvlJc w:val="left"/>
    </w:lvl>
    <w:lvl w:ilvl="6" w:tplc="EABCE9A4">
      <w:numFmt w:val="decimal"/>
      <w:lvlText w:val=""/>
      <w:lvlJc w:val="left"/>
    </w:lvl>
    <w:lvl w:ilvl="7" w:tplc="B922D6EC">
      <w:numFmt w:val="decimal"/>
      <w:lvlText w:val=""/>
      <w:lvlJc w:val="left"/>
    </w:lvl>
    <w:lvl w:ilvl="8" w:tplc="C4E8A0B4">
      <w:numFmt w:val="decimal"/>
      <w:lvlText w:val=""/>
      <w:lvlJc w:val="left"/>
    </w:lvl>
  </w:abstractNum>
  <w:abstractNum w:abstractNumId="50" w15:restartNumberingAfterBreak="0">
    <w:nsid w:val="737B8DDC"/>
    <w:multiLevelType w:val="hybridMultilevel"/>
    <w:tmpl w:val="CAF0D8A4"/>
    <w:lvl w:ilvl="0" w:tplc="A2C043DE">
      <w:start w:val="1"/>
      <w:numFmt w:val="bullet"/>
      <w:lvlText w:val="•"/>
      <w:lvlJc w:val="left"/>
    </w:lvl>
    <w:lvl w:ilvl="1" w:tplc="29B42166">
      <w:numFmt w:val="decimal"/>
      <w:lvlText w:val=""/>
      <w:lvlJc w:val="left"/>
    </w:lvl>
    <w:lvl w:ilvl="2" w:tplc="B142A64A">
      <w:numFmt w:val="decimal"/>
      <w:lvlText w:val=""/>
      <w:lvlJc w:val="left"/>
    </w:lvl>
    <w:lvl w:ilvl="3" w:tplc="E5D49798">
      <w:numFmt w:val="decimal"/>
      <w:lvlText w:val=""/>
      <w:lvlJc w:val="left"/>
    </w:lvl>
    <w:lvl w:ilvl="4" w:tplc="3AE4C978">
      <w:numFmt w:val="decimal"/>
      <w:lvlText w:val=""/>
      <w:lvlJc w:val="left"/>
    </w:lvl>
    <w:lvl w:ilvl="5" w:tplc="AC4ED4E4">
      <w:numFmt w:val="decimal"/>
      <w:lvlText w:val=""/>
      <w:lvlJc w:val="left"/>
    </w:lvl>
    <w:lvl w:ilvl="6" w:tplc="D0AE4B0C">
      <w:numFmt w:val="decimal"/>
      <w:lvlText w:val=""/>
      <w:lvlJc w:val="left"/>
    </w:lvl>
    <w:lvl w:ilvl="7" w:tplc="5E60FC28">
      <w:numFmt w:val="decimal"/>
      <w:lvlText w:val=""/>
      <w:lvlJc w:val="left"/>
    </w:lvl>
    <w:lvl w:ilvl="8" w:tplc="26806688">
      <w:numFmt w:val="decimal"/>
      <w:lvlText w:val=""/>
      <w:lvlJc w:val="left"/>
    </w:lvl>
  </w:abstractNum>
  <w:abstractNum w:abstractNumId="51" w15:restartNumberingAfterBreak="0">
    <w:nsid w:val="749ABB43"/>
    <w:multiLevelType w:val="hybridMultilevel"/>
    <w:tmpl w:val="6A0247EA"/>
    <w:lvl w:ilvl="0" w:tplc="51C8C69E">
      <w:start w:val="1"/>
      <w:numFmt w:val="bullet"/>
      <w:lvlText w:val="•"/>
      <w:lvlJc w:val="left"/>
    </w:lvl>
    <w:lvl w:ilvl="1" w:tplc="177417FC">
      <w:numFmt w:val="decimal"/>
      <w:lvlText w:val=""/>
      <w:lvlJc w:val="left"/>
    </w:lvl>
    <w:lvl w:ilvl="2" w:tplc="5C42D95C">
      <w:numFmt w:val="decimal"/>
      <w:lvlText w:val=""/>
      <w:lvlJc w:val="left"/>
    </w:lvl>
    <w:lvl w:ilvl="3" w:tplc="34065502">
      <w:numFmt w:val="decimal"/>
      <w:lvlText w:val=""/>
      <w:lvlJc w:val="left"/>
    </w:lvl>
    <w:lvl w:ilvl="4" w:tplc="8B5822CE">
      <w:numFmt w:val="decimal"/>
      <w:lvlText w:val=""/>
      <w:lvlJc w:val="left"/>
    </w:lvl>
    <w:lvl w:ilvl="5" w:tplc="834091AE">
      <w:numFmt w:val="decimal"/>
      <w:lvlText w:val=""/>
      <w:lvlJc w:val="left"/>
    </w:lvl>
    <w:lvl w:ilvl="6" w:tplc="39D88C38">
      <w:numFmt w:val="decimal"/>
      <w:lvlText w:val=""/>
      <w:lvlJc w:val="left"/>
    </w:lvl>
    <w:lvl w:ilvl="7" w:tplc="D52E0344">
      <w:numFmt w:val="decimal"/>
      <w:lvlText w:val=""/>
      <w:lvlJc w:val="left"/>
    </w:lvl>
    <w:lvl w:ilvl="8" w:tplc="A5D0982A">
      <w:numFmt w:val="decimal"/>
      <w:lvlText w:val=""/>
      <w:lvlJc w:val="left"/>
    </w:lvl>
  </w:abstractNum>
  <w:abstractNum w:abstractNumId="52" w15:restartNumberingAfterBreak="0">
    <w:nsid w:val="75C6C33A"/>
    <w:multiLevelType w:val="hybridMultilevel"/>
    <w:tmpl w:val="D1D2E4B0"/>
    <w:lvl w:ilvl="0" w:tplc="DF4E447C">
      <w:start w:val="3"/>
      <w:numFmt w:val="decimal"/>
      <w:lvlText w:val="%1."/>
      <w:lvlJc w:val="left"/>
    </w:lvl>
    <w:lvl w:ilvl="1" w:tplc="A58C6EAA">
      <w:start w:val="1"/>
      <w:numFmt w:val="lowerLetter"/>
      <w:lvlText w:val="%2"/>
      <w:lvlJc w:val="left"/>
    </w:lvl>
    <w:lvl w:ilvl="2" w:tplc="FBCC8F4C">
      <w:numFmt w:val="decimal"/>
      <w:lvlText w:val=""/>
      <w:lvlJc w:val="left"/>
    </w:lvl>
    <w:lvl w:ilvl="3" w:tplc="FF3EBA06">
      <w:numFmt w:val="decimal"/>
      <w:lvlText w:val=""/>
      <w:lvlJc w:val="left"/>
    </w:lvl>
    <w:lvl w:ilvl="4" w:tplc="059A25A8">
      <w:numFmt w:val="decimal"/>
      <w:lvlText w:val=""/>
      <w:lvlJc w:val="left"/>
    </w:lvl>
    <w:lvl w:ilvl="5" w:tplc="F4B2DB6E">
      <w:numFmt w:val="decimal"/>
      <w:lvlText w:val=""/>
      <w:lvlJc w:val="left"/>
    </w:lvl>
    <w:lvl w:ilvl="6" w:tplc="956CB4AE">
      <w:numFmt w:val="decimal"/>
      <w:lvlText w:val=""/>
      <w:lvlJc w:val="left"/>
    </w:lvl>
    <w:lvl w:ilvl="7" w:tplc="0EFC278A">
      <w:numFmt w:val="decimal"/>
      <w:lvlText w:val=""/>
      <w:lvlJc w:val="left"/>
    </w:lvl>
    <w:lvl w:ilvl="8" w:tplc="4D24B110">
      <w:numFmt w:val="decimal"/>
      <w:lvlText w:val=""/>
      <w:lvlJc w:val="left"/>
    </w:lvl>
  </w:abstractNum>
  <w:abstractNum w:abstractNumId="53" w15:restartNumberingAfterBreak="0">
    <w:nsid w:val="7644A45C"/>
    <w:multiLevelType w:val="hybridMultilevel"/>
    <w:tmpl w:val="9CB8DE2C"/>
    <w:lvl w:ilvl="0" w:tplc="015446BC">
      <w:start w:val="1"/>
      <w:numFmt w:val="bullet"/>
      <w:lvlText w:val="•"/>
      <w:lvlJc w:val="left"/>
    </w:lvl>
    <w:lvl w:ilvl="1" w:tplc="2B98D7E8">
      <w:numFmt w:val="decimal"/>
      <w:lvlText w:val=""/>
      <w:lvlJc w:val="left"/>
    </w:lvl>
    <w:lvl w:ilvl="2" w:tplc="80B4037C">
      <w:numFmt w:val="decimal"/>
      <w:lvlText w:val=""/>
      <w:lvlJc w:val="left"/>
    </w:lvl>
    <w:lvl w:ilvl="3" w:tplc="EEAC04C2">
      <w:numFmt w:val="decimal"/>
      <w:lvlText w:val=""/>
      <w:lvlJc w:val="left"/>
    </w:lvl>
    <w:lvl w:ilvl="4" w:tplc="03DC566C">
      <w:numFmt w:val="decimal"/>
      <w:lvlText w:val=""/>
      <w:lvlJc w:val="left"/>
    </w:lvl>
    <w:lvl w:ilvl="5" w:tplc="EF4A9900">
      <w:numFmt w:val="decimal"/>
      <w:lvlText w:val=""/>
      <w:lvlJc w:val="left"/>
    </w:lvl>
    <w:lvl w:ilvl="6" w:tplc="01849268">
      <w:numFmt w:val="decimal"/>
      <w:lvlText w:val=""/>
      <w:lvlJc w:val="left"/>
    </w:lvl>
    <w:lvl w:ilvl="7" w:tplc="3A66CE84">
      <w:numFmt w:val="decimal"/>
      <w:lvlText w:val=""/>
      <w:lvlJc w:val="left"/>
    </w:lvl>
    <w:lvl w:ilvl="8" w:tplc="16EA8980">
      <w:numFmt w:val="decimal"/>
      <w:lvlText w:val=""/>
      <w:lvlJc w:val="left"/>
    </w:lvl>
  </w:abstractNum>
  <w:abstractNum w:abstractNumId="54" w15:restartNumberingAfterBreak="0">
    <w:nsid w:val="7724C67E"/>
    <w:multiLevelType w:val="hybridMultilevel"/>
    <w:tmpl w:val="E862BEE4"/>
    <w:lvl w:ilvl="0" w:tplc="E3F4BC9A">
      <w:start w:val="1"/>
      <w:numFmt w:val="bullet"/>
      <w:lvlText w:val="•"/>
      <w:lvlJc w:val="left"/>
    </w:lvl>
    <w:lvl w:ilvl="1" w:tplc="DB8C1CF8">
      <w:numFmt w:val="decimal"/>
      <w:lvlText w:val=""/>
      <w:lvlJc w:val="left"/>
    </w:lvl>
    <w:lvl w:ilvl="2" w:tplc="DDFCAFE8">
      <w:numFmt w:val="decimal"/>
      <w:lvlText w:val=""/>
      <w:lvlJc w:val="left"/>
    </w:lvl>
    <w:lvl w:ilvl="3" w:tplc="EA347E2E">
      <w:numFmt w:val="decimal"/>
      <w:lvlText w:val=""/>
      <w:lvlJc w:val="left"/>
    </w:lvl>
    <w:lvl w:ilvl="4" w:tplc="43E0460C">
      <w:numFmt w:val="decimal"/>
      <w:lvlText w:val=""/>
      <w:lvlJc w:val="left"/>
    </w:lvl>
    <w:lvl w:ilvl="5" w:tplc="9EA4A542">
      <w:numFmt w:val="decimal"/>
      <w:lvlText w:val=""/>
      <w:lvlJc w:val="left"/>
    </w:lvl>
    <w:lvl w:ilvl="6" w:tplc="4D040402">
      <w:numFmt w:val="decimal"/>
      <w:lvlText w:val=""/>
      <w:lvlJc w:val="left"/>
    </w:lvl>
    <w:lvl w:ilvl="7" w:tplc="39F27456">
      <w:numFmt w:val="decimal"/>
      <w:lvlText w:val=""/>
      <w:lvlJc w:val="left"/>
    </w:lvl>
    <w:lvl w:ilvl="8" w:tplc="79007638">
      <w:numFmt w:val="decimal"/>
      <w:lvlText w:val=""/>
      <w:lvlJc w:val="left"/>
    </w:lvl>
  </w:abstractNum>
  <w:abstractNum w:abstractNumId="55" w15:restartNumberingAfterBreak="0">
    <w:nsid w:val="77465F01"/>
    <w:multiLevelType w:val="hybridMultilevel"/>
    <w:tmpl w:val="1C5A248E"/>
    <w:lvl w:ilvl="0" w:tplc="CD326F64">
      <w:start w:val="1"/>
      <w:numFmt w:val="bullet"/>
      <w:lvlText w:val="•"/>
      <w:lvlJc w:val="left"/>
    </w:lvl>
    <w:lvl w:ilvl="1" w:tplc="C62C0F18">
      <w:numFmt w:val="decimal"/>
      <w:lvlText w:val=""/>
      <w:lvlJc w:val="left"/>
    </w:lvl>
    <w:lvl w:ilvl="2" w:tplc="7EFC0F2E">
      <w:numFmt w:val="decimal"/>
      <w:lvlText w:val=""/>
      <w:lvlJc w:val="left"/>
    </w:lvl>
    <w:lvl w:ilvl="3" w:tplc="97E488EE">
      <w:numFmt w:val="decimal"/>
      <w:lvlText w:val=""/>
      <w:lvlJc w:val="left"/>
    </w:lvl>
    <w:lvl w:ilvl="4" w:tplc="A648A23C">
      <w:numFmt w:val="decimal"/>
      <w:lvlText w:val=""/>
      <w:lvlJc w:val="left"/>
    </w:lvl>
    <w:lvl w:ilvl="5" w:tplc="724EBA56">
      <w:numFmt w:val="decimal"/>
      <w:lvlText w:val=""/>
      <w:lvlJc w:val="left"/>
    </w:lvl>
    <w:lvl w:ilvl="6" w:tplc="00CA945A">
      <w:numFmt w:val="decimal"/>
      <w:lvlText w:val=""/>
      <w:lvlJc w:val="left"/>
    </w:lvl>
    <w:lvl w:ilvl="7" w:tplc="C106A0D6">
      <w:numFmt w:val="decimal"/>
      <w:lvlText w:val=""/>
      <w:lvlJc w:val="left"/>
    </w:lvl>
    <w:lvl w:ilvl="8" w:tplc="DD72D982">
      <w:numFmt w:val="decimal"/>
      <w:lvlText w:val=""/>
      <w:lvlJc w:val="left"/>
    </w:lvl>
  </w:abstractNum>
  <w:abstractNum w:abstractNumId="56" w15:restartNumberingAfterBreak="0">
    <w:nsid w:val="79A1DEAA"/>
    <w:multiLevelType w:val="hybridMultilevel"/>
    <w:tmpl w:val="2DE62BC2"/>
    <w:lvl w:ilvl="0" w:tplc="FD124E80">
      <w:start w:val="1"/>
      <w:numFmt w:val="decimal"/>
      <w:lvlText w:val="%1"/>
      <w:lvlJc w:val="left"/>
    </w:lvl>
    <w:lvl w:ilvl="1" w:tplc="DE585518">
      <w:start w:val="3"/>
      <w:numFmt w:val="lowerLetter"/>
      <w:lvlText w:val="(%2)"/>
      <w:lvlJc w:val="left"/>
    </w:lvl>
    <w:lvl w:ilvl="2" w:tplc="FFB8BD7A">
      <w:numFmt w:val="decimal"/>
      <w:lvlText w:val=""/>
      <w:lvlJc w:val="left"/>
    </w:lvl>
    <w:lvl w:ilvl="3" w:tplc="760645B2">
      <w:numFmt w:val="decimal"/>
      <w:lvlText w:val=""/>
      <w:lvlJc w:val="left"/>
    </w:lvl>
    <w:lvl w:ilvl="4" w:tplc="4E185874">
      <w:numFmt w:val="decimal"/>
      <w:lvlText w:val=""/>
      <w:lvlJc w:val="left"/>
    </w:lvl>
    <w:lvl w:ilvl="5" w:tplc="C9460D0E">
      <w:numFmt w:val="decimal"/>
      <w:lvlText w:val=""/>
      <w:lvlJc w:val="left"/>
    </w:lvl>
    <w:lvl w:ilvl="6" w:tplc="50BA7732">
      <w:numFmt w:val="decimal"/>
      <w:lvlText w:val=""/>
      <w:lvlJc w:val="left"/>
    </w:lvl>
    <w:lvl w:ilvl="7" w:tplc="2214E27E">
      <w:numFmt w:val="decimal"/>
      <w:lvlText w:val=""/>
      <w:lvlJc w:val="left"/>
    </w:lvl>
    <w:lvl w:ilvl="8" w:tplc="9AECC206">
      <w:numFmt w:val="decimal"/>
      <w:lvlText w:val=""/>
      <w:lvlJc w:val="left"/>
    </w:lvl>
  </w:abstractNum>
  <w:abstractNum w:abstractNumId="57" w15:restartNumberingAfterBreak="0">
    <w:nsid w:val="7A6D8D3C"/>
    <w:multiLevelType w:val="hybridMultilevel"/>
    <w:tmpl w:val="0ECCEC08"/>
    <w:lvl w:ilvl="0" w:tplc="B1023D5A">
      <w:start w:val="1"/>
      <w:numFmt w:val="bullet"/>
      <w:lvlText w:val="•"/>
      <w:lvlJc w:val="left"/>
    </w:lvl>
    <w:lvl w:ilvl="1" w:tplc="36EEBE92">
      <w:numFmt w:val="decimal"/>
      <w:lvlText w:val=""/>
      <w:lvlJc w:val="left"/>
    </w:lvl>
    <w:lvl w:ilvl="2" w:tplc="6EA87B9C">
      <w:numFmt w:val="decimal"/>
      <w:lvlText w:val=""/>
      <w:lvlJc w:val="left"/>
    </w:lvl>
    <w:lvl w:ilvl="3" w:tplc="A01269A0">
      <w:numFmt w:val="decimal"/>
      <w:lvlText w:val=""/>
      <w:lvlJc w:val="left"/>
    </w:lvl>
    <w:lvl w:ilvl="4" w:tplc="7BC21D2E">
      <w:numFmt w:val="decimal"/>
      <w:lvlText w:val=""/>
      <w:lvlJc w:val="left"/>
    </w:lvl>
    <w:lvl w:ilvl="5" w:tplc="F30E1210">
      <w:numFmt w:val="decimal"/>
      <w:lvlText w:val=""/>
      <w:lvlJc w:val="left"/>
    </w:lvl>
    <w:lvl w:ilvl="6" w:tplc="5A223E56">
      <w:numFmt w:val="decimal"/>
      <w:lvlText w:val=""/>
      <w:lvlJc w:val="left"/>
    </w:lvl>
    <w:lvl w:ilvl="7" w:tplc="E5C429A2">
      <w:numFmt w:val="decimal"/>
      <w:lvlText w:val=""/>
      <w:lvlJc w:val="left"/>
    </w:lvl>
    <w:lvl w:ilvl="8" w:tplc="75A4705A">
      <w:numFmt w:val="decimal"/>
      <w:lvlText w:val=""/>
      <w:lvlJc w:val="left"/>
    </w:lvl>
  </w:abstractNum>
  <w:abstractNum w:abstractNumId="58" w15:restartNumberingAfterBreak="0">
    <w:nsid w:val="7C3DBD3D"/>
    <w:multiLevelType w:val="hybridMultilevel"/>
    <w:tmpl w:val="65D04496"/>
    <w:lvl w:ilvl="0" w:tplc="964A3ECE">
      <w:start w:val="1"/>
      <w:numFmt w:val="bullet"/>
      <w:lvlText w:val="•"/>
      <w:lvlJc w:val="left"/>
    </w:lvl>
    <w:lvl w:ilvl="1" w:tplc="F7146616">
      <w:numFmt w:val="decimal"/>
      <w:lvlText w:val=""/>
      <w:lvlJc w:val="left"/>
    </w:lvl>
    <w:lvl w:ilvl="2" w:tplc="BC464830">
      <w:numFmt w:val="decimal"/>
      <w:lvlText w:val=""/>
      <w:lvlJc w:val="left"/>
    </w:lvl>
    <w:lvl w:ilvl="3" w:tplc="DA52158E">
      <w:numFmt w:val="decimal"/>
      <w:lvlText w:val=""/>
      <w:lvlJc w:val="left"/>
    </w:lvl>
    <w:lvl w:ilvl="4" w:tplc="3CE442E2">
      <w:numFmt w:val="decimal"/>
      <w:lvlText w:val=""/>
      <w:lvlJc w:val="left"/>
    </w:lvl>
    <w:lvl w:ilvl="5" w:tplc="2E828AF2">
      <w:numFmt w:val="decimal"/>
      <w:lvlText w:val=""/>
      <w:lvlJc w:val="left"/>
    </w:lvl>
    <w:lvl w:ilvl="6" w:tplc="C7D007F4">
      <w:numFmt w:val="decimal"/>
      <w:lvlText w:val=""/>
      <w:lvlJc w:val="left"/>
    </w:lvl>
    <w:lvl w:ilvl="7" w:tplc="5BAC6C2E">
      <w:numFmt w:val="decimal"/>
      <w:lvlText w:val=""/>
      <w:lvlJc w:val="left"/>
    </w:lvl>
    <w:lvl w:ilvl="8" w:tplc="9FAE3D9A">
      <w:numFmt w:val="decimal"/>
      <w:lvlText w:val=""/>
      <w:lvlJc w:val="left"/>
    </w:lvl>
  </w:abstractNum>
  <w:num w:numId="1">
    <w:abstractNumId w:val="1"/>
  </w:num>
  <w:num w:numId="2">
    <w:abstractNumId w:val="8"/>
  </w:num>
  <w:num w:numId="3">
    <w:abstractNumId w:val="58"/>
  </w:num>
  <w:num w:numId="4">
    <w:abstractNumId w:val="50"/>
  </w:num>
  <w:num w:numId="5">
    <w:abstractNumId w:val="45"/>
  </w:num>
  <w:num w:numId="6">
    <w:abstractNumId w:val="9"/>
  </w:num>
  <w:num w:numId="7">
    <w:abstractNumId w:val="28"/>
  </w:num>
  <w:num w:numId="8">
    <w:abstractNumId w:val="17"/>
  </w:num>
  <w:num w:numId="9">
    <w:abstractNumId w:val="41"/>
  </w:num>
  <w:num w:numId="10">
    <w:abstractNumId w:val="26"/>
  </w:num>
  <w:num w:numId="11">
    <w:abstractNumId w:val="35"/>
  </w:num>
  <w:num w:numId="12">
    <w:abstractNumId w:val="27"/>
  </w:num>
  <w:num w:numId="13">
    <w:abstractNumId w:val="0"/>
  </w:num>
  <w:num w:numId="14">
    <w:abstractNumId w:val="21"/>
  </w:num>
  <w:num w:numId="15">
    <w:abstractNumId w:val="55"/>
  </w:num>
  <w:num w:numId="16">
    <w:abstractNumId w:val="54"/>
  </w:num>
  <w:num w:numId="17">
    <w:abstractNumId w:val="39"/>
  </w:num>
  <w:num w:numId="18">
    <w:abstractNumId w:val="12"/>
  </w:num>
  <w:num w:numId="19">
    <w:abstractNumId w:val="40"/>
  </w:num>
  <w:num w:numId="20">
    <w:abstractNumId w:val="32"/>
  </w:num>
  <w:num w:numId="21">
    <w:abstractNumId w:val="16"/>
  </w:num>
  <w:num w:numId="22">
    <w:abstractNumId w:val="38"/>
  </w:num>
  <w:num w:numId="23">
    <w:abstractNumId w:val="3"/>
  </w:num>
  <w:num w:numId="24">
    <w:abstractNumId w:val="23"/>
  </w:num>
  <w:num w:numId="25">
    <w:abstractNumId w:val="47"/>
  </w:num>
  <w:num w:numId="26">
    <w:abstractNumId w:val="44"/>
  </w:num>
  <w:num w:numId="27">
    <w:abstractNumId w:val="14"/>
  </w:num>
  <w:num w:numId="28">
    <w:abstractNumId w:val="7"/>
  </w:num>
  <w:num w:numId="29">
    <w:abstractNumId w:val="49"/>
  </w:num>
  <w:num w:numId="30">
    <w:abstractNumId w:val="15"/>
  </w:num>
  <w:num w:numId="31">
    <w:abstractNumId w:val="37"/>
  </w:num>
  <w:num w:numId="32">
    <w:abstractNumId w:val="57"/>
  </w:num>
  <w:num w:numId="33">
    <w:abstractNumId w:val="30"/>
  </w:num>
  <w:num w:numId="34">
    <w:abstractNumId w:val="34"/>
  </w:num>
  <w:num w:numId="35">
    <w:abstractNumId w:val="46"/>
  </w:num>
  <w:num w:numId="36">
    <w:abstractNumId w:val="22"/>
  </w:num>
  <w:num w:numId="37">
    <w:abstractNumId w:val="53"/>
  </w:num>
  <w:num w:numId="38">
    <w:abstractNumId w:val="18"/>
  </w:num>
  <w:num w:numId="39">
    <w:abstractNumId w:val="43"/>
  </w:num>
  <w:num w:numId="40">
    <w:abstractNumId w:val="36"/>
  </w:num>
  <w:num w:numId="41">
    <w:abstractNumId w:val="51"/>
  </w:num>
  <w:num w:numId="42">
    <w:abstractNumId w:val="25"/>
  </w:num>
  <w:num w:numId="43">
    <w:abstractNumId w:val="5"/>
  </w:num>
  <w:num w:numId="44">
    <w:abstractNumId w:val="56"/>
  </w:num>
  <w:num w:numId="45">
    <w:abstractNumId w:val="52"/>
  </w:num>
  <w:num w:numId="46">
    <w:abstractNumId w:val="2"/>
  </w:num>
  <w:num w:numId="47">
    <w:abstractNumId w:val="48"/>
  </w:num>
  <w:num w:numId="48">
    <w:abstractNumId w:val="33"/>
  </w:num>
  <w:num w:numId="49">
    <w:abstractNumId w:val="20"/>
  </w:num>
  <w:num w:numId="50">
    <w:abstractNumId w:val="31"/>
  </w:num>
  <w:num w:numId="51">
    <w:abstractNumId w:val="11"/>
  </w:num>
  <w:num w:numId="52">
    <w:abstractNumId w:val="42"/>
  </w:num>
  <w:num w:numId="53">
    <w:abstractNumId w:val="13"/>
  </w:num>
  <w:num w:numId="54">
    <w:abstractNumId w:val="24"/>
  </w:num>
  <w:num w:numId="55">
    <w:abstractNumId w:val="6"/>
  </w:num>
  <w:num w:numId="56">
    <w:abstractNumId w:val="4"/>
  </w:num>
  <w:num w:numId="57">
    <w:abstractNumId w:val="10"/>
  </w:num>
  <w:num w:numId="58">
    <w:abstractNumId w:val="29"/>
  </w:num>
  <w:num w:numId="59">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AD"/>
    <w:rsid w:val="000561BE"/>
    <w:rsid w:val="0007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3199F-3D59-413A-8641-C8AF057A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60508</Words>
  <Characters>344898</Characters>
  <Application>Microsoft Office Word</Application>
  <DocSecurity>0</DocSecurity>
  <Lines>2874</Lines>
  <Paragraphs>809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Segal, Jennifer L.</cp:lastModifiedBy>
  <cp:revision>3</cp:revision>
  <dcterms:created xsi:type="dcterms:W3CDTF">2021-07-29T21:49:00Z</dcterms:created>
  <dcterms:modified xsi:type="dcterms:W3CDTF">2021-07-29T21:49:00Z</dcterms:modified>
</cp:coreProperties>
</file>